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26FF" w14:textId="77777777" w:rsidR="00B77918" w:rsidRPr="00B77918" w:rsidRDefault="00B77918" w:rsidP="00B77918">
      <w:pPr>
        <w:spacing w:after="60"/>
        <w:rPr>
          <w:rFonts w:ascii="Times New Roman" w:hAnsi="Times New Roman" w:cs="Times New Roman"/>
        </w:rPr>
      </w:pPr>
      <w:r w:rsidRPr="00B77918">
        <w:rPr>
          <w:rFonts w:ascii="Times New Roman" w:hAnsi="Times New Roman" w:cs="Times New Roman"/>
          <w:b/>
          <w:color w:val="1F4E79"/>
          <w:sz w:val="38"/>
        </w:rPr>
        <w:t>Module 3: Paired multiome interpretation with MOFA</w:t>
      </w:r>
    </w:p>
    <w:p w14:paraId="2F4E08F6" w14:textId="77777777" w:rsidR="00B77918" w:rsidRPr="00B77918" w:rsidRDefault="00B77918" w:rsidP="00B77918">
      <w:pPr>
        <w:spacing w:after="200"/>
        <w:rPr>
          <w:rFonts w:ascii="Times New Roman" w:hAnsi="Times New Roman" w:cs="Times New Roman"/>
        </w:rPr>
      </w:pPr>
      <w:r w:rsidRPr="00B77918">
        <w:rPr>
          <w:rFonts w:ascii="Times New Roman" w:hAnsi="Times New Roman" w:cs="Times New Roman"/>
          <w:color w:val="444444"/>
          <w:sz w:val="19"/>
        </w:rPr>
        <w:t>Instructional time: 30 min. Bloom: Analyze. Notebook: notebooks/03_multiome.ipynb</w:t>
      </w:r>
    </w:p>
    <w:p w14:paraId="5FBA96AA" w14:textId="77777777" w:rsidR="00B77918" w:rsidRPr="00B77918" w:rsidRDefault="00B77918" w:rsidP="00B77918">
      <w:pPr>
        <w:pBdr>
          <w:bottom w:val="single" w:sz="12" w:space="0" w:color="1F4E79"/>
        </w:pBdr>
        <w:rPr>
          <w:rFonts w:ascii="Times New Roman" w:hAnsi="Times New Roman" w:cs="Times New Roman"/>
        </w:rPr>
      </w:pPr>
    </w:p>
    <w:p w14:paraId="1432D4AC"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t>1. Overview</w:t>
      </w:r>
    </w:p>
    <w:p w14:paraId="7D1586F3"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Module 3 interprets a fitted MOFA model on HuBMAP SNARE-seq2 data from Donor_2 (</w:t>
      </w:r>
      <w:r w:rsidRPr="00B77918">
        <w:rPr>
          <w:rFonts w:ascii="Times New Roman" w:hAnsi="Times New Roman" w:cs="Times New Roman"/>
          <w:color w:val="1A3E6E"/>
          <w:sz w:val="19"/>
        </w:rPr>
        <w:t>HBM828.GPVG.252</w:t>
      </w:r>
      <w:r w:rsidRPr="00B77918">
        <w:rPr>
          <w:rFonts w:ascii="Times New Roman" w:hAnsi="Times New Roman" w:cs="Times New Roman"/>
        </w:rPr>
        <w:t>). That multiome shares a block and a section with the Donor_2 10x snRNA teaching block used in Modules 1-2, so the two assays can be compared as a matched pair (different nuclei; no per-nucleus join). The lesson asks whether RNA and ATAC share latent structure, whether MOFA found cell identity at all, what the ATAC gene-activity view actually encodes, and whether a second integrator (WNN) does better.</w:t>
      </w:r>
    </w:p>
    <w:p w14:paraId="3DE70885"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Key components.</w:t>
      </w:r>
      <w:r w:rsidRPr="00B77918">
        <w:rPr>
          <w:rFonts w:ascii="Times New Roman" w:hAnsi="Times New Roman" w:cs="Times New Roman"/>
        </w:rPr>
        <w:t xml:space="preserve"> </w:t>
      </w:r>
      <w:r w:rsidRPr="00B77918">
        <w:rPr>
          <w:rFonts w:ascii="Times New Roman" w:hAnsi="Times New Roman" w:cs="Times New Roman"/>
          <w:color w:val="1A3E6E"/>
          <w:sz w:val="19"/>
        </w:rPr>
        <w:t>multiome_mofa.hdf5</w:t>
      </w:r>
      <w:r w:rsidRPr="00B77918">
        <w:rPr>
          <w:rFonts w:ascii="Times New Roman" w:hAnsi="Times New Roman" w:cs="Times New Roman"/>
        </w:rPr>
        <w:t xml:space="preserve"> as the default download; a committed Azimuth / WNN label cache in the package; variance and dominance tables; cluster concordance; QC association; factor versus label association; genome-wide and focus-gene bridges.</w:t>
      </w:r>
    </w:p>
    <w:p w14:paraId="633EB3E6"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Learning objectives.</w:t>
      </w:r>
    </w:p>
    <w:p w14:paraId="778879BC"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Explain what paired multiome adds beyond Module 1/2 snRNA-seq, and what a matched block licenses.</w:t>
      </w:r>
    </w:p>
    <w:p w14:paraId="49B312D0"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Read MOFA variance tables and recognize modality-private factors.</w:t>
      </w:r>
    </w:p>
    <w:p w14:paraId="75E59697"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Tell a broken model from an absent ATAC signal using cell-type and QC diagnostics.</w:t>
      </w:r>
    </w:p>
    <w:p w14:paraId="03CF27AE"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Separate ATAC gene activity from RNA expression when interpreting correlations.</w:t>
      </w:r>
    </w:p>
    <w:p w14:paraId="3D31E540"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Default compute stays inside the course RAM floor of 8 GB, with 16 GB recommended (</w:t>
      </w:r>
      <w:r w:rsidRPr="00B77918">
        <w:rPr>
          <w:rFonts w:ascii="Times New Roman" w:hAnsi="Times New Roman" w:cs="Times New Roman"/>
          <w:color w:val="1A3E6E"/>
          <w:sz w:val="19"/>
        </w:rPr>
        <w:t>load_h5mu: false</w:t>
      </w:r>
      <w:r w:rsidRPr="00B77918">
        <w:rPr>
          <w:rFonts w:ascii="Times New Roman" w:hAnsi="Times New Roman" w:cs="Times New Roman"/>
        </w:rPr>
        <w:t>). Learners do not download the ~14.7 GiB MuData file.</w:t>
      </w:r>
    </w:p>
    <w:p w14:paraId="3E349414"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t>2. Before you begin</w:t>
      </w:r>
    </w:p>
    <w:p w14:paraId="02219637"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Prerequisites.</w:t>
      </w:r>
      <w:r w:rsidRPr="00B77918">
        <w:rPr>
          <w:rFonts w:ascii="Times New Roman" w:hAnsi="Times New Roman" w:cs="Times New Roman"/>
        </w:rPr>
        <w:t xml:space="preserve"> Module 1 (QC objects) and Module 2 (integrated HuBMAP object / pseudobulk exports). Conda env </w:t>
      </w:r>
      <w:r w:rsidRPr="00B77918">
        <w:rPr>
          <w:rFonts w:ascii="Times New Roman" w:hAnsi="Times New Roman" w:cs="Times New Roman"/>
          <w:color w:val="1A3E6E"/>
          <w:sz w:val="19"/>
        </w:rPr>
        <w:t>CFDE_lung_env</w:t>
      </w:r>
      <w:r w:rsidRPr="00B77918">
        <w:rPr>
          <w:rFonts w:ascii="Times New Roman" w:hAnsi="Times New Roman" w:cs="Times New Roman"/>
        </w:rPr>
        <w:t xml:space="preserve"> (or the pinned pip venv). Default path uses the fitted MOFA HDF5 plus the committed label cache; full MuData is not a learner download.</w:t>
      </w:r>
    </w:p>
    <w:p w14:paraId="5D8C7260"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Time.</w:t>
      </w:r>
      <w:r w:rsidRPr="00B77918">
        <w:rPr>
          <w:rFonts w:ascii="Times New Roman" w:hAnsi="Times New Roman" w:cs="Times New Roman"/>
        </w:rPr>
        <w:t xml:space="preserve"> Instructional: 30 min. Compute is short on the default path. Measured peak RSS 7.1 GB; 16 GB recommended, 8 GB is the minimum.</w:t>
      </w:r>
    </w:p>
    <w:p w14:paraId="700CC822"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Biological question</w:t>
      </w:r>
    </w:p>
    <w:p w14:paraId="3566A97A"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In Donor_2 SNARE-seq2 nuclei, do RNA and ATAC share latent structure in the shipped MOFA model? If not, did the method fail, or is the ATAC gene-activity view empty of cell-type information?</w:t>
      </w:r>
    </w:p>
    <w:p w14:paraId="3E80812A"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Data used here</w:t>
      </w:r>
    </w:p>
    <w:tbl>
      <w:tblPr>
        <w:tblStyle w:val="TableGrid"/>
        <w:tblW w:w="0" w:type="auto"/>
        <w:jc w:val="center"/>
        <w:tblLook w:val="04A0" w:firstRow="1" w:lastRow="0" w:firstColumn="1" w:lastColumn="0" w:noHBand="0" w:noVBand="1"/>
      </w:tblPr>
      <w:tblGrid>
        <w:gridCol w:w="1817"/>
        <w:gridCol w:w="5520"/>
        <w:gridCol w:w="2013"/>
      </w:tblGrid>
      <w:tr w:rsidR="00B77918" w:rsidRPr="00B77918" w14:paraId="1D00D8A7" w14:textId="77777777" w:rsidTr="00151104">
        <w:trPr>
          <w:jc w:val="center"/>
        </w:trPr>
        <w:tc>
          <w:tcPr>
            <w:tcW w:w="3120" w:type="dxa"/>
            <w:shd w:val="clear" w:color="auto" w:fill="DCE6F1"/>
          </w:tcPr>
          <w:p w14:paraId="62E80BE9"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File</w:t>
            </w:r>
          </w:p>
        </w:tc>
        <w:tc>
          <w:tcPr>
            <w:tcW w:w="3120" w:type="dxa"/>
            <w:shd w:val="clear" w:color="auto" w:fill="DCE6F1"/>
          </w:tcPr>
          <w:p w14:paraId="7B1DD9CF"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Local path</w:t>
            </w:r>
          </w:p>
        </w:tc>
        <w:tc>
          <w:tcPr>
            <w:tcW w:w="3120" w:type="dxa"/>
            <w:shd w:val="clear" w:color="auto" w:fill="DCE6F1"/>
          </w:tcPr>
          <w:p w14:paraId="4339D72E"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Role</w:t>
            </w:r>
          </w:p>
        </w:tc>
      </w:tr>
      <w:tr w:rsidR="00B77918" w:rsidRPr="00B77918" w14:paraId="06238D63" w14:textId="77777777" w:rsidTr="00151104">
        <w:trPr>
          <w:jc w:val="center"/>
        </w:trPr>
        <w:tc>
          <w:tcPr>
            <w:tcW w:w="3120" w:type="dxa"/>
          </w:tcPr>
          <w:p w14:paraId="44844972"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multiome_mofa.hdf5</w:t>
            </w:r>
          </w:p>
        </w:tc>
        <w:tc>
          <w:tcPr>
            <w:tcW w:w="3120" w:type="dxa"/>
          </w:tcPr>
          <w:p w14:paraId="22027EE5"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data/source/HUBMAP/Donor_2/SNAREseq/HBM828.GPVG.252/multiome_mofa.hdf5</w:t>
            </w:r>
          </w:p>
        </w:tc>
        <w:tc>
          <w:tcPr>
            <w:tcW w:w="3120" w:type="dxa"/>
          </w:tcPr>
          <w:p w14:paraId="54CAE0E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Default interpretation object</w:t>
            </w:r>
          </w:p>
        </w:tc>
      </w:tr>
      <w:tr w:rsidR="00B77918" w:rsidRPr="00B77918" w14:paraId="73CCC886" w14:textId="77777777" w:rsidTr="00151104">
        <w:trPr>
          <w:jc w:val="center"/>
        </w:trPr>
        <w:tc>
          <w:tcPr>
            <w:tcW w:w="3120" w:type="dxa"/>
          </w:tcPr>
          <w:p w14:paraId="1CF3C5A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Label cache</w:t>
            </w:r>
          </w:p>
        </w:tc>
        <w:tc>
          <w:tcPr>
            <w:tcW w:w="3120" w:type="dxa"/>
          </w:tcPr>
          <w:p w14:paraId="4EF2D529"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outputs/tables/module3_label_cache_HBM828.GPVG.252.tsv</w:t>
            </w:r>
          </w:p>
        </w:tc>
        <w:tc>
          <w:tcPr>
            <w:tcW w:w="3120" w:type="dxa"/>
          </w:tcPr>
          <w:p w14:paraId="54E86DE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Committed Azimuth labels, WNN Leiden, WNN UMAP</w:t>
            </w:r>
          </w:p>
        </w:tc>
      </w:tr>
      <w:tr w:rsidR="00B77918" w:rsidRPr="00B77918" w14:paraId="60120B5E" w14:textId="77777777" w:rsidTr="00151104">
        <w:trPr>
          <w:jc w:val="center"/>
        </w:trPr>
        <w:tc>
          <w:tcPr>
            <w:tcW w:w="3120" w:type="dxa"/>
          </w:tcPr>
          <w:p w14:paraId="1235B0D2"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lastRenderedPageBreak/>
              <w:t>secondary_analysis.h5mu</w:t>
            </w:r>
            <w:r w:rsidRPr="00B77918">
              <w:rPr>
                <w:rFonts w:ascii="Times New Roman" w:hAnsi="Times New Roman" w:cs="Times New Roman"/>
                <w:sz w:val="17"/>
              </w:rPr>
              <w:t xml:space="preserve"> (optional)</w:t>
            </w:r>
          </w:p>
        </w:tc>
        <w:tc>
          <w:tcPr>
            <w:tcW w:w="3120" w:type="dxa"/>
          </w:tcPr>
          <w:p w14:paraId="30CD309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same SNARE directory</w:t>
            </w:r>
          </w:p>
        </w:tc>
        <w:tc>
          <w:tcPr>
            <w:tcW w:w="3120" w:type="dxa"/>
          </w:tcPr>
          <w:p w14:paraId="4ACE1BE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Full MuData if </w:t>
            </w:r>
            <w:r w:rsidRPr="00B77918">
              <w:rPr>
                <w:rFonts w:ascii="Times New Roman" w:hAnsi="Times New Roman" w:cs="Times New Roman"/>
                <w:color w:val="1A3E6E"/>
                <w:sz w:val="15"/>
              </w:rPr>
              <w:t>module3.params.load_h5mu: true</w:t>
            </w:r>
            <w:r w:rsidRPr="00B77918">
              <w:rPr>
                <w:rFonts w:ascii="Times New Roman" w:hAnsi="Times New Roman" w:cs="Times New Roman"/>
                <w:sz w:val="17"/>
              </w:rPr>
              <w:t xml:space="preserve"> (~14.7 GiB; not a learner download)</w:t>
            </w:r>
          </w:p>
        </w:tc>
      </w:tr>
    </w:tbl>
    <w:p w14:paraId="2F4AFECC"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Portal: </w:t>
      </w:r>
      <w:hyperlink r:id="rId5">
        <w:r w:rsidRPr="00B77918">
          <w:rPr>
            <w:rFonts w:ascii="Times New Roman" w:hAnsi="Times New Roman" w:cs="Times New Roman"/>
            <w:color w:val="0B4F8A"/>
            <w:u w:val="single"/>
          </w:rPr>
          <w:t>HBM828.GPVG.252</w:t>
        </w:r>
      </w:hyperlink>
      <w:r w:rsidRPr="00B77918">
        <w:rPr>
          <w:rFonts w:ascii="Times New Roman" w:hAnsi="Times New Roman" w:cs="Times New Roman"/>
        </w:rPr>
        <w:t xml:space="preserve">. Modules 1-2 use 10x snRNA-seq on Donor_2 block </w:t>
      </w:r>
      <w:r w:rsidRPr="00B77918">
        <w:rPr>
          <w:rFonts w:ascii="Times New Roman" w:hAnsi="Times New Roman" w:cs="Times New Roman"/>
          <w:color w:val="1A3E6E"/>
          <w:sz w:val="19"/>
        </w:rPr>
        <w:t>HBM473.NKMR.872</w:t>
      </w:r>
      <w:r w:rsidRPr="00B77918">
        <w:rPr>
          <w:rFonts w:ascii="Times New Roman" w:hAnsi="Times New Roman" w:cs="Times New Roman"/>
        </w:rPr>
        <w:t>, which shares a block and a section with this multiome.</w:t>
      </w:r>
    </w:p>
    <w:p w14:paraId="6B1DB64B"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SNARE folders are named by the public processed dataset ID, not by a distinct primary block ID. That is the exception relative to the 10x snRNA teaching folders.</w:t>
      </w:r>
    </w:p>
    <w:p w14:paraId="6DE74172"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t>3. Methods</w:t>
      </w:r>
    </w:p>
    <w:p w14:paraId="5BC6A953"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Parameters below are live values under </w:t>
      </w:r>
      <w:r w:rsidRPr="00B77918">
        <w:rPr>
          <w:rFonts w:ascii="Times New Roman" w:hAnsi="Times New Roman" w:cs="Times New Roman"/>
          <w:color w:val="1A3E6E"/>
          <w:sz w:val="19"/>
        </w:rPr>
        <w:t>module3</w:t>
      </w:r>
      <w:r w:rsidRPr="00B77918">
        <w:rPr>
          <w:rFonts w:ascii="Times New Roman" w:hAnsi="Times New Roman" w:cs="Times New Roman"/>
        </w:rPr>
        <w:t xml:space="preserve"> in </w:t>
      </w:r>
      <w:r w:rsidRPr="00B77918">
        <w:rPr>
          <w:rFonts w:ascii="Times New Roman" w:hAnsi="Times New Roman" w:cs="Times New Roman"/>
          <w:color w:val="1A3E6E"/>
          <w:sz w:val="19"/>
        </w:rPr>
        <w:t>config/paths.yaml</w:t>
      </w:r>
      <w:r w:rsidRPr="00B77918">
        <w:rPr>
          <w:rFonts w:ascii="Times New Roman" w:hAnsi="Times New Roman" w:cs="Times New Roman"/>
        </w:rPr>
        <w:t xml:space="preserve">, collected in the Appendix. Scripts live in </w:t>
      </w:r>
      <w:r w:rsidRPr="00B77918">
        <w:rPr>
          <w:rFonts w:ascii="Times New Roman" w:hAnsi="Times New Roman" w:cs="Times New Roman"/>
          <w:color w:val="1A3E6E"/>
          <w:sz w:val="19"/>
        </w:rPr>
        <w:t>scripts/nb05_multimodal/</w:t>
      </w:r>
      <w:r w:rsidRPr="00B77918">
        <w:rPr>
          <w:rFonts w:ascii="Times New Roman" w:hAnsi="Times New Roman" w:cs="Times New Roman"/>
        </w:rPr>
        <w:t>. Default compute is interpretation-only from the shipped MOFA HDF5 plus the committed cache; full MuData is optional and is not required.</w:t>
      </w:r>
    </w:p>
    <w:p w14:paraId="6F5AB92E"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Each Methods step below corresponds to a section of </w:t>
      </w:r>
      <w:r w:rsidRPr="00B77918">
        <w:rPr>
          <w:rFonts w:ascii="Times New Roman" w:hAnsi="Times New Roman" w:cs="Times New Roman"/>
          <w:color w:val="1A3E6E"/>
          <w:sz w:val="19"/>
        </w:rPr>
        <w:t>notebooks/03_multiome.ipynb</w:t>
      </w:r>
      <w:r w:rsidRPr="00B77918">
        <w:rPr>
          <w:rFonts w:ascii="Times New Roman" w:hAnsi="Times New Roman" w:cs="Times New Roman"/>
        </w:rPr>
        <w:t>. The notebook is organized by the question each diagnostic answers rather than by step, so several Methods steps feed one notebook section:</w:t>
      </w:r>
    </w:p>
    <w:tbl>
      <w:tblPr>
        <w:tblStyle w:val="TableGrid"/>
        <w:tblW w:w="0" w:type="auto"/>
        <w:jc w:val="center"/>
        <w:tblLook w:val="04A0" w:firstRow="1" w:lastRow="0" w:firstColumn="1" w:lastColumn="0" w:noHBand="0" w:noVBand="1"/>
      </w:tblPr>
      <w:tblGrid>
        <w:gridCol w:w="4675"/>
        <w:gridCol w:w="4675"/>
      </w:tblGrid>
      <w:tr w:rsidR="00B77918" w:rsidRPr="00B77918" w14:paraId="3F8DB223" w14:textId="77777777" w:rsidTr="00151104">
        <w:trPr>
          <w:jc w:val="center"/>
        </w:trPr>
        <w:tc>
          <w:tcPr>
            <w:tcW w:w="4680" w:type="dxa"/>
            <w:shd w:val="clear" w:color="auto" w:fill="DCE6F1"/>
          </w:tcPr>
          <w:p w14:paraId="067F065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Methods step</w:t>
            </w:r>
          </w:p>
        </w:tc>
        <w:tc>
          <w:tcPr>
            <w:tcW w:w="4680" w:type="dxa"/>
            <w:shd w:val="clear" w:color="auto" w:fill="DCE6F1"/>
          </w:tcPr>
          <w:p w14:paraId="5223B96F"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Notebook section</w:t>
            </w:r>
          </w:p>
        </w:tc>
      </w:tr>
      <w:tr w:rsidR="00B77918" w:rsidRPr="00B77918" w14:paraId="6ED8940E" w14:textId="77777777" w:rsidTr="00151104">
        <w:trPr>
          <w:jc w:val="center"/>
        </w:trPr>
        <w:tc>
          <w:tcPr>
            <w:tcW w:w="4680" w:type="dxa"/>
          </w:tcPr>
          <w:p w14:paraId="39F7C84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 The MOFA model and variance explained per view</w:t>
            </w:r>
          </w:p>
        </w:tc>
        <w:tc>
          <w:tcPr>
            <w:tcW w:w="4680" w:type="dxa"/>
          </w:tcPr>
          <w:p w14:paraId="71CA096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conceptual, no notebook section</w:t>
            </w:r>
          </w:p>
        </w:tc>
      </w:tr>
      <w:tr w:rsidR="00B77918" w:rsidRPr="00B77918" w14:paraId="31C4811E" w14:textId="77777777" w:rsidTr="00151104">
        <w:trPr>
          <w:jc w:val="center"/>
        </w:trPr>
        <w:tc>
          <w:tcPr>
            <w:tcW w:w="4680" w:type="dxa"/>
          </w:tcPr>
          <w:p w14:paraId="05B4C7D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1. Default path: interpret shipped MOFA</w:t>
            </w:r>
          </w:p>
        </w:tc>
        <w:tc>
          <w:tcPr>
            <w:tcW w:w="4680" w:type="dxa"/>
          </w:tcPr>
          <w:p w14:paraId="0364169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1. Object composition and barcode pairing</w:t>
            </w:r>
          </w:p>
        </w:tc>
      </w:tr>
      <w:tr w:rsidR="00B77918" w:rsidRPr="00B77918" w14:paraId="4EFD42A4" w14:textId="77777777" w:rsidTr="00151104">
        <w:trPr>
          <w:jc w:val="center"/>
        </w:trPr>
        <w:tc>
          <w:tcPr>
            <w:tcW w:w="4680" w:type="dxa"/>
          </w:tcPr>
          <w:p w14:paraId="5A9A2DF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 Barcode pairing check</w:t>
            </w:r>
          </w:p>
        </w:tc>
        <w:tc>
          <w:tcPr>
            <w:tcW w:w="4680" w:type="dxa"/>
          </w:tcPr>
          <w:p w14:paraId="67E172C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1. Object composition and barcode pairing</w:t>
            </w:r>
          </w:p>
        </w:tc>
      </w:tr>
      <w:tr w:rsidR="00B77918" w:rsidRPr="00B77918" w14:paraId="178152B6" w14:textId="77777777" w:rsidTr="00151104">
        <w:trPr>
          <w:jc w:val="center"/>
        </w:trPr>
        <w:tc>
          <w:tcPr>
            <w:tcW w:w="4680" w:type="dxa"/>
          </w:tcPr>
          <w:p w14:paraId="64F25B3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 Variance explained and factor dominance</w:t>
            </w:r>
          </w:p>
        </w:tc>
        <w:tc>
          <w:tcPr>
            <w:tcW w:w="4680" w:type="dxa"/>
          </w:tcPr>
          <w:p w14:paraId="40A1BAA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 Variance explained across modalities</w:t>
            </w:r>
          </w:p>
        </w:tc>
      </w:tr>
      <w:tr w:rsidR="00B77918" w:rsidRPr="00B77918" w14:paraId="3255AD51" w14:textId="77777777" w:rsidTr="00151104">
        <w:trPr>
          <w:jc w:val="center"/>
        </w:trPr>
        <w:tc>
          <w:tcPr>
            <w:tcW w:w="4680" w:type="dxa"/>
          </w:tcPr>
          <w:p w14:paraId="574EC7A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4. Factor association with cell identity</w:t>
            </w:r>
          </w:p>
        </w:tc>
        <w:tc>
          <w:tcPr>
            <w:tcW w:w="4680" w:type="dxa"/>
          </w:tcPr>
          <w:p w14:paraId="044DA8E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 Factor association with cell identity</w:t>
            </w:r>
          </w:p>
        </w:tc>
      </w:tr>
      <w:tr w:rsidR="00B77918" w:rsidRPr="00B77918" w14:paraId="57CCC5AC" w14:textId="77777777" w:rsidTr="00151104">
        <w:trPr>
          <w:jc w:val="center"/>
        </w:trPr>
        <w:tc>
          <w:tcPr>
            <w:tcW w:w="4680" w:type="dxa"/>
          </w:tcPr>
          <w:p w14:paraId="1BE6B88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5. Content of the ATAC gene-activity view</w:t>
            </w:r>
          </w:p>
        </w:tc>
        <w:tc>
          <w:tcPr>
            <w:tcW w:w="4680" w:type="dxa"/>
          </w:tcPr>
          <w:p w14:paraId="7D4193B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4. Content of the ATAC gene-activity view</w:t>
            </w:r>
          </w:p>
        </w:tc>
      </w:tr>
      <w:tr w:rsidR="00B77918" w:rsidRPr="00B77918" w14:paraId="570C801A" w14:textId="77777777" w:rsidTr="00151104">
        <w:trPr>
          <w:jc w:val="center"/>
        </w:trPr>
        <w:tc>
          <w:tcPr>
            <w:tcW w:w="4680" w:type="dxa"/>
          </w:tcPr>
          <w:p w14:paraId="65C82A6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 Weighted nearest neighbor as a second integration</w:t>
            </w:r>
          </w:p>
        </w:tc>
        <w:tc>
          <w:tcPr>
            <w:tcW w:w="4680" w:type="dxa"/>
          </w:tcPr>
          <w:p w14:paraId="4B109AB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5. Weighted nearest neighbor concordance</w:t>
            </w:r>
          </w:p>
        </w:tc>
      </w:tr>
      <w:tr w:rsidR="00B77918" w:rsidRPr="00B77918" w14:paraId="30948774" w14:textId="77777777" w:rsidTr="00151104">
        <w:trPr>
          <w:jc w:val="center"/>
        </w:trPr>
        <w:tc>
          <w:tcPr>
            <w:tcW w:w="4680" w:type="dxa"/>
          </w:tcPr>
          <w:p w14:paraId="159B379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7. Genome-wide RNA-ATAC gene bridge</w:t>
            </w:r>
          </w:p>
        </w:tc>
        <w:tc>
          <w:tcPr>
            <w:tcW w:w="4680" w:type="dxa"/>
          </w:tcPr>
          <w:p w14:paraId="7EAF928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 Gene bridge and focus genes</w:t>
            </w:r>
          </w:p>
        </w:tc>
      </w:tr>
      <w:tr w:rsidR="00B77918" w:rsidRPr="00B77918" w14:paraId="4C083C39" w14:textId="77777777" w:rsidTr="00151104">
        <w:trPr>
          <w:jc w:val="center"/>
        </w:trPr>
        <w:tc>
          <w:tcPr>
            <w:tcW w:w="4680" w:type="dxa"/>
          </w:tcPr>
          <w:p w14:paraId="4D1D3B2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8. Focus-gene correlations, global and within cell type</w:t>
            </w:r>
          </w:p>
        </w:tc>
        <w:tc>
          <w:tcPr>
            <w:tcW w:w="4680" w:type="dxa"/>
          </w:tcPr>
          <w:p w14:paraId="7572B14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 Gene bridge and focus genes</w:t>
            </w:r>
          </w:p>
        </w:tc>
      </w:tr>
    </w:tbl>
    <w:p w14:paraId="72FB368A"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Notebook section 0 is environment setup, covered in Module 0.</w:t>
      </w:r>
    </w:p>
    <w:p w14:paraId="2A683230"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0. The MOFA model and variance explained per view</w:t>
      </w:r>
    </w:p>
    <w:p w14:paraId="7A5A1E0C"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MOFA (Multi-Omics Factor Analysis) is an unsupervised factor model. Given two or more matrices measured on the same cells, it learns a small set of latent factors and, for each factor, a set of weights per feature in each modality. A factor is a direction of variation; its weights say which genes or which chromatin features move along it.</w:t>
      </w:r>
    </w:p>
    <w:p w14:paraId="6E3F9E8E"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The quantity that matters for interpretation is </w:t>
      </w:r>
      <w:r w:rsidRPr="00B77918">
        <w:rPr>
          <w:rFonts w:ascii="Times New Roman" w:hAnsi="Times New Roman" w:cs="Times New Roman"/>
          <w:b/>
        </w:rPr>
        <w:t>variance explained per factor per view</w:t>
      </w:r>
      <w:r w:rsidRPr="00B77918">
        <w:rPr>
          <w:rFonts w:ascii="Times New Roman" w:hAnsi="Times New Roman" w:cs="Times New Roman"/>
        </w:rPr>
        <w:t>. For each factor MOFA reports how much of the variance in the RNA view it accounts for, and how much of the variance in the ATAC view. That decomposition is what distinguishes the two outcomes this module asks you to tell apart:</w:t>
      </w:r>
    </w:p>
    <w:p w14:paraId="19B29284"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 xml:space="preserve">A </w:t>
      </w:r>
      <w:r w:rsidRPr="00B77918">
        <w:rPr>
          <w:rFonts w:ascii="Times New Roman" w:hAnsi="Times New Roman" w:cs="Times New Roman"/>
          <w:b/>
        </w:rPr>
        <w:t>shared</w:t>
      </w:r>
      <w:r w:rsidRPr="00B77918">
        <w:rPr>
          <w:rFonts w:ascii="Times New Roman" w:hAnsi="Times New Roman" w:cs="Times New Roman"/>
        </w:rPr>
        <w:t xml:space="preserve"> factor explains a substantial share of variance in </w:t>
      </w:r>
      <w:r w:rsidRPr="00B77918">
        <w:rPr>
          <w:rFonts w:ascii="Times New Roman" w:hAnsi="Times New Roman" w:cs="Times New Roman"/>
          <w:b/>
        </w:rPr>
        <w:t>both</w:t>
      </w:r>
      <w:r w:rsidRPr="00B77918">
        <w:rPr>
          <w:rFonts w:ascii="Times New Roman" w:hAnsi="Times New Roman" w:cs="Times New Roman"/>
        </w:rPr>
        <w:t xml:space="preserve"> views. It represents coordinated variation, where the same biological axis is visible in transcription and in chromatin accessibility.</w:t>
      </w:r>
    </w:p>
    <w:p w14:paraId="72AB9F34"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 xml:space="preserve">A </w:t>
      </w:r>
      <w:r w:rsidRPr="00B77918">
        <w:rPr>
          <w:rFonts w:ascii="Times New Roman" w:hAnsi="Times New Roman" w:cs="Times New Roman"/>
          <w:b/>
        </w:rPr>
        <w:t>modality-private</w:t>
      </w:r>
      <w:r w:rsidRPr="00B77918">
        <w:rPr>
          <w:rFonts w:ascii="Times New Roman" w:hAnsi="Times New Roman" w:cs="Times New Roman"/>
        </w:rPr>
        <w:t xml:space="preserve"> factor explains variance in </w:t>
      </w:r>
      <w:r w:rsidRPr="00B77918">
        <w:rPr>
          <w:rFonts w:ascii="Times New Roman" w:hAnsi="Times New Roman" w:cs="Times New Roman"/>
          <w:b/>
        </w:rPr>
        <w:t>one</w:t>
      </w:r>
      <w:r w:rsidRPr="00B77918">
        <w:rPr>
          <w:rFonts w:ascii="Times New Roman" w:hAnsi="Times New Roman" w:cs="Times New Roman"/>
        </w:rPr>
        <w:t xml:space="preserve"> view and close to none in the other. It represents structure confined to a single assay.</w:t>
      </w:r>
    </w:p>
    <w:p w14:paraId="3D077225"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lastRenderedPageBreak/>
        <w:t>Applied to this dataset, RNA is a count matrix over genes and ATAC is summarized as gene-level accessibility, so both views are indexed by gene and a shared factor is biologically plausible: a gene whose promoter opens might be expected to rise in expression. Whether that coupling is actually present in these nuclei is the empirical question, and the variance decomposition answers it directly rather than by inference.</w:t>
      </w:r>
    </w:p>
    <w:p w14:paraId="61B2D0A1"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Two properties of the method are worth carrying into the interpretation. MOFA is unsupervised, so factors are not labeled by cell type or condition and any biological meaning has to be argued from the weights. And the number of factors is set in advance, so factors beyond the informative ones carry near-zero variance and should be read as absent rather than as weak effects.</w:t>
      </w:r>
    </w:p>
    <w:p w14:paraId="23FA8C81"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1. Default path: interpret shipped MOFA</w:t>
      </w:r>
    </w:p>
    <w:p w14:paraId="5DECE66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Script.</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scripts/nb05_multimodal/load.py</w:t>
      </w:r>
      <w:r w:rsidRPr="00B77918">
        <w:rPr>
          <w:rFonts w:ascii="Times New Roman" w:hAnsi="Times New Roman" w:cs="Times New Roman"/>
        </w:rPr>
        <w:t xml:space="preserve"> (</w:t>
      </w:r>
      <w:r w:rsidRPr="00B77918">
        <w:rPr>
          <w:rFonts w:ascii="Times New Roman" w:hAnsi="Times New Roman" w:cs="Times New Roman"/>
          <w:color w:val="1A3E6E"/>
          <w:sz w:val="19"/>
        </w:rPr>
        <w:t>multiome_paths</w:t>
      </w:r>
      <w:r w:rsidRPr="00B77918">
        <w:rPr>
          <w:rFonts w:ascii="Times New Roman" w:hAnsi="Times New Roman" w:cs="Times New Roman"/>
        </w:rPr>
        <w:t xml:space="preserve">, </w:t>
      </w:r>
      <w:r w:rsidRPr="00B77918">
        <w:rPr>
          <w:rFonts w:ascii="Times New Roman" w:hAnsi="Times New Roman" w:cs="Times New Roman"/>
          <w:color w:val="1A3E6E"/>
          <w:sz w:val="19"/>
        </w:rPr>
        <w:t>load_mofa</w:t>
      </w:r>
      <w:r w:rsidRPr="00B77918">
        <w:rPr>
          <w:rFonts w:ascii="Times New Roman" w:hAnsi="Times New Roman" w:cs="Times New Roman"/>
        </w:rPr>
        <w:t xml:space="preserve">); inventory helpers in </w:t>
      </w:r>
      <w:r w:rsidRPr="00B77918">
        <w:rPr>
          <w:rFonts w:ascii="Times New Roman" w:hAnsi="Times New Roman" w:cs="Times New Roman"/>
          <w:color w:val="1A3E6E"/>
          <w:sz w:val="19"/>
        </w:rPr>
        <w:t>scripts/nb05_multimodal/inventory.py</w:t>
      </w:r>
      <w:r w:rsidRPr="00B77918">
        <w:rPr>
          <w:rFonts w:ascii="Times New Roman" w:hAnsi="Times New Roman" w:cs="Times New Roman"/>
        </w:rPr>
        <w:t>.</w:t>
      </w:r>
    </w:p>
    <w:p w14:paraId="64512BA7"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w:t>
      </w:r>
      <w:r w:rsidRPr="00B77918">
        <w:rPr>
          <w:rFonts w:ascii="Times New Roman" w:hAnsi="Times New Roman" w:cs="Times New Roman"/>
        </w:rPr>
        <w:t xml:space="preserve"> Load </w:t>
      </w:r>
      <w:r w:rsidRPr="00B77918">
        <w:rPr>
          <w:rFonts w:ascii="Times New Roman" w:hAnsi="Times New Roman" w:cs="Times New Roman"/>
          <w:color w:val="1A3E6E"/>
          <w:sz w:val="19"/>
        </w:rPr>
        <w:t>multiome_mofa.hdf5</w:t>
      </w:r>
      <w:r w:rsidRPr="00B77918">
        <w:rPr>
          <w:rFonts w:ascii="Times New Roman" w:hAnsi="Times New Roman" w:cs="Times New Roman"/>
        </w:rPr>
        <w:t xml:space="preserve"> with views configured as </w:t>
      </w:r>
      <w:r w:rsidRPr="00B77918">
        <w:rPr>
          <w:rFonts w:ascii="Times New Roman" w:hAnsi="Times New Roman" w:cs="Times New Roman"/>
          <w:color w:val="1A3E6E"/>
          <w:sz w:val="19"/>
        </w:rPr>
        <w:t>rna</w:t>
      </w:r>
      <w:r w:rsidRPr="00B77918">
        <w:rPr>
          <w:rFonts w:ascii="Times New Roman" w:hAnsi="Times New Roman" w:cs="Times New Roman"/>
        </w:rPr>
        <w:t xml:space="preserve"> and </w:t>
      </w:r>
      <w:r w:rsidRPr="00B77918">
        <w:rPr>
          <w:rFonts w:ascii="Times New Roman" w:hAnsi="Times New Roman" w:cs="Times New Roman"/>
          <w:color w:val="1A3E6E"/>
          <w:sz w:val="19"/>
        </w:rPr>
        <w:t>atac_cbg</w:t>
      </w:r>
      <w:r w:rsidRPr="00B77918">
        <w:rPr>
          <w:rFonts w:ascii="Times New Roman" w:hAnsi="Times New Roman" w:cs="Times New Roman"/>
        </w:rPr>
        <w:t xml:space="preserve"> (</w:t>
      </w:r>
      <w:r w:rsidRPr="00B77918">
        <w:rPr>
          <w:rFonts w:ascii="Times New Roman" w:hAnsi="Times New Roman" w:cs="Times New Roman"/>
          <w:color w:val="1A3E6E"/>
          <w:sz w:val="19"/>
        </w:rPr>
        <w:t>module3.modalities</w:t>
      </w:r>
      <w:r w:rsidRPr="00B77918">
        <w:rPr>
          <w:rFonts w:ascii="Times New Roman" w:hAnsi="Times New Roman" w:cs="Times New Roman"/>
        </w:rPr>
        <w:t xml:space="preserve">). Do </w:t>
      </w:r>
      <w:r w:rsidRPr="00B77918">
        <w:rPr>
          <w:rFonts w:ascii="Times New Roman" w:hAnsi="Times New Roman" w:cs="Times New Roman"/>
          <w:b/>
        </w:rPr>
        <w:t>not</w:t>
      </w:r>
      <w:r w:rsidRPr="00B77918">
        <w:rPr>
          <w:rFonts w:ascii="Times New Roman" w:hAnsi="Times New Roman" w:cs="Times New Roman"/>
        </w:rPr>
        <w:t xml:space="preserve"> refit MOFA in the lesson (</w:t>
      </w:r>
      <w:r w:rsidRPr="00B77918">
        <w:rPr>
          <w:rFonts w:ascii="Times New Roman" w:hAnsi="Times New Roman" w:cs="Times New Roman"/>
          <w:color w:val="1A3E6E"/>
          <w:sz w:val="19"/>
        </w:rPr>
        <w:t>module3.params.interpretation_only: true</w:t>
      </w:r>
      <w:r w:rsidRPr="00B77918">
        <w:rPr>
          <w:rFonts w:ascii="Times New Roman" w:hAnsi="Times New Roman" w:cs="Times New Roman"/>
        </w:rPr>
        <w:t xml:space="preserve">, </w:t>
      </w:r>
      <w:r w:rsidRPr="00B77918">
        <w:rPr>
          <w:rFonts w:ascii="Times New Roman" w:hAnsi="Times New Roman" w:cs="Times New Roman"/>
          <w:color w:val="1A3E6E"/>
          <w:sz w:val="19"/>
        </w:rPr>
        <w:t>load_h5mu: false</w:t>
      </w:r>
      <w:r w:rsidRPr="00B77918">
        <w:rPr>
          <w:rFonts w:ascii="Times New Roman" w:hAnsi="Times New Roman" w:cs="Times New Roman"/>
        </w:rPr>
        <w:t xml:space="preserve">). Optional ATAC bin view </w:t>
      </w:r>
      <w:r w:rsidRPr="00B77918">
        <w:rPr>
          <w:rFonts w:ascii="Times New Roman" w:hAnsi="Times New Roman" w:cs="Times New Roman"/>
          <w:color w:val="1A3E6E"/>
          <w:sz w:val="19"/>
        </w:rPr>
        <w:t>atac_cbb</w:t>
      </w:r>
      <w:r w:rsidRPr="00B77918">
        <w:rPr>
          <w:rFonts w:ascii="Times New Roman" w:hAnsi="Times New Roman" w:cs="Times New Roman"/>
        </w:rPr>
        <w:t xml:space="preserve"> exists in config but </w:t>
      </w:r>
      <w:r w:rsidRPr="00B77918">
        <w:rPr>
          <w:rFonts w:ascii="Times New Roman" w:hAnsi="Times New Roman" w:cs="Times New Roman"/>
          <w:color w:val="1A3E6E"/>
          <w:sz w:val="19"/>
        </w:rPr>
        <w:t>use_atac_bin</w:t>
      </w:r>
      <w:r w:rsidRPr="00B77918">
        <w:rPr>
          <w:rFonts w:ascii="Times New Roman" w:hAnsi="Times New Roman" w:cs="Times New Roman"/>
        </w:rPr>
        <w:t xml:space="preserve"> defaults false. The teaching product is HuBMAP SNARE-seq2 for Donor_2 (</w:t>
      </w:r>
      <w:r w:rsidRPr="00B77918">
        <w:rPr>
          <w:rFonts w:ascii="Times New Roman" w:hAnsi="Times New Roman" w:cs="Times New Roman"/>
          <w:color w:val="1A3E6E"/>
          <w:sz w:val="19"/>
        </w:rPr>
        <w:t>HBM828.GPVG.252</w:t>
      </w:r>
      <w:r w:rsidRPr="00B77918">
        <w:rPr>
          <w:rFonts w:ascii="Times New Roman" w:hAnsi="Times New Roman" w:cs="Times New Roman"/>
        </w:rPr>
        <w:t>), matched to the Donor_2 10x snRNA teaching block.</w:t>
      </w:r>
    </w:p>
    <w:p w14:paraId="1904A520"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Parameters: see Appendix, section 1.</w:t>
      </w:r>
    </w:p>
    <w:p w14:paraId="623F6EFA"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Why.</w:t>
      </w:r>
      <w:r w:rsidRPr="00B77918">
        <w:rPr>
          <w:rFonts w:ascii="Times New Roman" w:hAnsi="Times New Roman" w:cs="Times New Roman"/>
        </w:rPr>
        <w:t xml:space="preserve"> Refitting is slow, non-identical across environments, and unnecessary for teaching how to read a DCC-provided multiome factor model. The HDF5 plus the committed cache keep the module inside the course download budget.</w:t>
      </w:r>
    </w:p>
    <w:p w14:paraId="3691490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Modules 1-2 and 4 are unaffected unless the multiome file is part of the learner download manifest.</w:t>
      </w:r>
    </w:p>
    <w:p w14:paraId="7EAC8EED"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2. Barcode pairing check</w:t>
      </w:r>
    </w:p>
    <w:p w14:paraId="3CF40911"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Script.</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scripts/nb05_multimodal/bridge.py</w:t>
      </w:r>
      <w:r w:rsidRPr="00B77918">
        <w:rPr>
          <w:rFonts w:ascii="Times New Roman" w:hAnsi="Times New Roman" w:cs="Times New Roman"/>
        </w:rPr>
        <w:t xml:space="preserve"> (</w:t>
      </w:r>
      <w:r w:rsidRPr="00B77918">
        <w:rPr>
          <w:rFonts w:ascii="Times New Roman" w:hAnsi="Times New Roman" w:cs="Times New Roman"/>
          <w:color w:val="1A3E6E"/>
          <w:sz w:val="19"/>
        </w:rPr>
        <w:t>barcode_overlap_table</w:t>
      </w:r>
      <w:r w:rsidRPr="00B77918">
        <w:rPr>
          <w:rFonts w:ascii="Times New Roman" w:hAnsi="Times New Roman" w:cs="Times New Roman"/>
        </w:rPr>
        <w:t xml:space="preserve">, </w:t>
      </w:r>
      <w:r w:rsidRPr="00B77918">
        <w:rPr>
          <w:rFonts w:ascii="Times New Roman" w:hAnsi="Times New Roman" w:cs="Times New Roman"/>
          <w:color w:val="1A3E6E"/>
          <w:sz w:val="19"/>
        </w:rPr>
        <w:t>barcode_overlap_from_mofa</w:t>
      </w:r>
      <w:r w:rsidRPr="00B77918">
        <w:rPr>
          <w:rFonts w:ascii="Times New Roman" w:hAnsi="Times New Roman" w:cs="Times New Roman"/>
        </w:rPr>
        <w:t xml:space="preserve">); optional MuData barcode sets in </w:t>
      </w:r>
      <w:r w:rsidRPr="00B77918">
        <w:rPr>
          <w:rFonts w:ascii="Times New Roman" w:hAnsi="Times New Roman" w:cs="Times New Roman"/>
          <w:color w:val="1A3E6E"/>
          <w:sz w:val="19"/>
        </w:rPr>
        <w:t>scripts/nb05_multimodal/load.py</w:t>
      </w:r>
      <w:r w:rsidRPr="00B77918">
        <w:rPr>
          <w:rFonts w:ascii="Times New Roman" w:hAnsi="Times New Roman" w:cs="Times New Roman"/>
        </w:rPr>
        <w:t xml:space="preserve"> (</w:t>
      </w:r>
      <w:r w:rsidRPr="00B77918">
        <w:rPr>
          <w:rFonts w:ascii="Times New Roman" w:hAnsi="Times New Roman" w:cs="Times New Roman"/>
          <w:color w:val="1A3E6E"/>
          <w:sz w:val="19"/>
        </w:rPr>
        <w:t>barcode_sets</w:t>
      </w:r>
      <w:r w:rsidRPr="00B77918">
        <w:rPr>
          <w:rFonts w:ascii="Times New Roman" w:hAnsi="Times New Roman" w:cs="Times New Roman"/>
        </w:rPr>
        <w:t>).</w:t>
      </w:r>
    </w:p>
    <w:p w14:paraId="790CAB76"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w:t>
      </w:r>
      <w:r w:rsidRPr="00B77918">
        <w:rPr>
          <w:rFonts w:ascii="Times New Roman" w:hAnsi="Times New Roman" w:cs="Times New Roman"/>
        </w:rPr>
        <w:t xml:space="preserve"> Report RNA and ATAC barcode counts and overlap (</w:t>
      </w:r>
      <w:r w:rsidRPr="00B77918">
        <w:rPr>
          <w:rFonts w:ascii="Times New Roman" w:hAnsi="Times New Roman" w:cs="Times New Roman"/>
          <w:color w:val="1A3E6E"/>
          <w:sz w:val="19"/>
        </w:rPr>
        <w:t>module3_barcode_overlap.tsv</w:t>
      </w:r>
      <w:r w:rsidRPr="00B77918">
        <w:rPr>
          <w:rFonts w:ascii="Times New Roman" w:hAnsi="Times New Roman" w:cs="Times New Roman"/>
        </w:rPr>
        <w:t>). With MuData unloaded, overlap is asserted by MOFA's shared sample list rather than an independent MuData crosstab. State that basis explicitly in results.</w:t>
      </w:r>
    </w:p>
    <w:p w14:paraId="761AC959"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Parameters: see Appendix, section 2.</w:t>
      </w:r>
    </w:p>
    <w:p w14:paraId="7CAB425B"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Why.</w:t>
      </w:r>
      <w:r w:rsidRPr="00B77918">
        <w:rPr>
          <w:rFonts w:ascii="Times New Roman" w:hAnsi="Times New Roman" w:cs="Times New Roman"/>
        </w:rPr>
        <w:t xml:space="preserve"> Paired multiome claims require shared nuclei. Stating the basis of the overlap avoids implying a stronger check than was run on the default path.</w:t>
      </w:r>
    </w:p>
    <w:p w14:paraId="511D93F8"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3. Variance explained and factor dominance</w:t>
      </w:r>
    </w:p>
    <w:p w14:paraId="76C2751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Script.</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scripts/nb05_multimodal/bridge.py</w:t>
      </w:r>
      <w:r w:rsidRPr="00B77918">
        <w:rPr>
          <w:rFonts w:ascii="Times New Roman" w:hAnsi="Times New Roman" w:cs="Times New Roman"/>
        </w:rPr>
        <w:t xml:space="preserve"> (</w:t>
      </w:r>
      <w:r w:rsidRPr="00B77918">
        <w:rPr>
          <w:rFonts w:ascii="Times New Roman" w:hAnsi="Times New Roman" w:cs="Times New Roman"/>
          <w:color w:val="1A3E6E"/>
          <w:sz w:val="19"/>
        </w:rPr>
        <w:t>mofa_factor_dominance</w:t>
      </w:r>
      <w:r w:rsidRPr="00B77918">
        <w:rPr>
          <w:rFonts w:ascii="Times New Roman" w:hAnsi="Times New Roman" w:cs="Times New Roman"/>
        </w:rPr>
        <w:t xml:space="preserve">); variance export in </w:t>
      </w:r>
      <w:r w:rsidRPr="00B77918">
        <w:rPr>
          <w:rFonts w:ascii="Times New Roman" w:hAnsi="Times New Roman" w:cs="Times New Roman"/>
          <w:color w:val="1A3E6E"/>
          <w:sz w:val="19"/>
        </w:rPr>
        <w:t>scripts/nb05_multimodal/export.py</w:t>
      </w:r>
      <w:r w:rsidRPr="00B77918">
        <w:rPr>
          <w:rFonts w:ascii="Times New Roman" w:hAnsi="Times New Roman" w:cs="Times New Roman"/>
        </w:rPr>
        <w:t xml:space="preserve">; plots in </w:t>
      </w:r>
      <w:r w:rsidRPr="00B77918">
        <w:rPr>
          <w:rFonts w:ascii="Times New Roman" w:hAnsi="Times New Roman" w:cs="Times New Roman"/>
          <w:color w:val="1A3E6E"/>
          <w:sz w:val="19"/>
        </w:rPr>
        <w:t>scripts/nb05_multimodal/plots.py</w:t>
      </w:r>
      <w:r w:rsidRPr="00B77918">
        <w:rPr>
          <w:rFonts w:ascii="Times New Roman" w:hAnsi="Times New Roman" w:cs="Times New Roman"/>
        </w:rPr>
        <w:t xml:space="preserve"> (</w:t>
      </w:r>
      <w:r w:rsidRPr="00B77918">
        <w:rPr>
          <w:rFonts w:ascii="Times New Roman" w:hAnsi="Times New Roman" w:cs="Times New Roman"/>
          <w:color w:val="1A3E6E"/>
          <w:sz w:val="19"/>
        </w:rPr>
        <w:t>plot_mofa_variance</w:t>
      </w:r>
      <w:r w:rsidRPr="00B77918">
        <w:rPr>
          <w:rFonts w:ascii="Times New Roman" w:hAnsi="Times New Roman" w:cs="Times New Roman"/>
        </w:rPr>
        <w:t>).</w:t>
      </w:r>
    </w:p>
    <w:p w14:paraId="1D1412E9"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w:t>
      </w:r>
      <w:r w:rsidRPr="00B77918">
        <w:rPr>
          <w:rFonts w:ascii="Times New Roman" w:hAnsi="Times New Roman" w:cs="Times New Roman"/>
        </w:rPr>
        <w:t xml:space="preserve"> Summarize total R2 by view, per-factor R2, and dominance (which view owns each factor). Gate stored R2 units (percent vs fraction) before quoting totals. Config </w:t>
      </w:r>
      <w:r w:rsidRPr="00B77918">
        <w:rPr>
          <w:rFonts w:ascii="Times New Roman" w:hAnsi="Times New Roman" w:cs="Times New Roman"/>
          <w:color w:val="1A3E6E"/>
          <w:sz w:val="19"/>
        </w:rPr>
        <w:t>module3.analysis.mofa_variance_max_factor</w:t>
      </w:r>
      <w:r w:rsidRPr="00B77918">
        <w:rPr>
          <w:rFonts w:ascii="Times New Roman" w:hAnsi="Times New Roman" w:cs="Times New Roman"/>
        </w:rPr>
        <w:t xml:space="preserve"> marks trailing factors as numerically dead on this object (note: this key lives under </w:t>
      </w:r>
      <w:r w:rsidRPr="00B77918">
        <w:rPr>
          <w:rFonts w:ascii="Times New Roman" w:hAnsi="Times New Roman" w:cs="Times New Roman"/>
          <w:b/>
        </w:rPr>
        <w:t>`analysis`</w:t>
      </w:r>
      <w:r w:rsidRPr="00B77918">
        <w:rPr>
          <w:rFonts w:ascii="Times New Roman" w:hAnsi="Times New Roman" w:cs="Times New Roman"/>
        </w:rPr>
        <w:t xml:space="preserve">, not </w:t>
      </w:r>
      <w:r w:rsidRPr="00B77918">
        <w:rPr>
          <w:rFonts w:ascii="Times New Roman" w:hAnsi="Times New Roman" w:cs="Times New Roman"/>
          <w:color w:val="1A3E6E"/>
          <w:sz w:val="19"/>
        </w:rPr>
        <w:t>params</w:t>
      </w:r>
      <w:r w:rsidRPr="00B77918">
        <w:rPr>
          <w:rFonts w:ascii="Times New Roman" w:hAnsi="Times New Roman" w:cs="Times New Roman"/>
        </w:rPr>
        <w:t>).</w:t>
      </w:r>
    </w:p>
    <w:p w14:paraId="262636A9"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Parameters: see Appendix, section 3.</w:t>
      </w:r>
    </w:p>
    <w:p w14:paraId="230BA5D9"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Why.</w:t>
      </w:r>
      <w:r w:rsidRPr="00B77918">
        <w:rPr>
          <w:rFonts w:ascii="Times New Roman" w:hAnsi="Times New Roman" w:cs="Times New Roman"/>
        </w:rPr>
        <w:t xml:space="preserve"> Shared latent biology would show factors with substantial R2 in </w:t>
      </w:r>
      <w:r w:rsidRPr="00B77918">
        <w:rPr>
          <w:rFonts w:ascii="Times New Roman" w:hAnsi="Times New Roman" w:cs="Times New Roman"/>
          <w:b/>
        </w:rPr>
        <w:t>both</w:t>
      </w:r>
      <w:r w:rsidRPr="00B77918">
        <w:rPr>
          <w:rFonts w:ascii="Times New Roman" w:hAnsi="Times New Roman" w:cs="Times New Roman"/>
        </w:rPr>
        <w:t xml:space="preserve"> views. Modality-private factors mean stacked single-modality structure. Dead trailing factors are a first-class result, not a plotting inconvenience. Misreading percent-scale R2 as fractions invents impossible totals.</w:t>
      </w:r>
    </w:p>
    <w:p w14:paraId="10E62F01"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lastRenderedPageBreak/>
        <w:t>4. Factor association with cell identity</w:t>
      </w:r>
    </w:p>
    <w:p w14:paraId="69A6038A"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Script.</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scripts/nb05_multimodal/load.py</w:t>
      </w:r>
      <w:r w:rsidRPr="00B77918">
        <w:rPr>
          <w:rFonts w:ascii="Times New Roman" w:hAnsi="Times New Roman" w:cs="Times New Roman"/>
        </w:rPr>
        <w:t xml:space="preserve"> (</w:t>
      </w:r>
      <w:r w:rsidRPr="00B77918">
        <w:rPr>
          <w:rFonts w:ascii="Times New Roman" w:hAnsi="Times New Roman" w:cs="Times New Roman"/>
          <w:color w:val="1A3E6E"/>
          <w:sz w:val="19"/>
        </w:rPr>
        <w:t>load_label_cache</w:t>
      </w:r>
      <w:r w:rsidRPr="00B77918">
        <w:rPr>
          <w:rFonts w:ascii="Times New Roman" w:hAnsi="Times New Roman" w:cs="Times New Roman"/>
        </w:rPr>
        <w:t xml:space="preserve">, </w:t>
      </w:r>
      <w:r w:rsidRPr="00B77918">
        <w:rPr>
          <w:rFonts w:ascii="Times New Roman" w:hAnsi="Times New Roman" w:cs="Times New Roman"/>
          <w:color w:val="1A3E6E"/>
          <w:sz w:val="19"/>
        </w:rPr>
        <w:t>assemble_nucleus_frame</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scripts/nb05_multimodal/bridge.py</w:t>
      </w:r>
      <w:r w:rsidRPr="00B77918">
        <w:rPr>
          <w:rFonts w:ascii="Times New Roman" w:hAnsi="Times New Roman" w:cs="Times New Roman"/>
        </w:rPr>
        <w:t xml:space="preserve"> (</w:t>
      </w:r>
      <w:r w:rsidRPr="00B77918">
        <w:rPr>
          <w:rFonts w:ascii="Times New Roman" w:hAnsi="Times New Roman" w:cs="Times New Roman"/>
          <w:color w:val="1A3E6E"/>
          <w:sz w:val="19"/>
        </w:rPr>
        <w:t>factor_label_association</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scripts/nb05_multimodal/plots.py</w:t>
      </w:r>
      <w:r w:rsidRPr="00B77918">
        <w:rPr>
          <w:rFonts w:ascii="Times New Roman" w:hAnsi="Times New Roman" w:cs="Times New Roman"/>
        </w:rPr>
        <w:t xml:space="preserve"> (</w:t>
      </w:r>
      <w:r w:rsidRPr="00B77918">
        <w:rPr>
          <w:rFonts w:ascii="Times New Roman" w:hAnsi="Times New Roman" w:cs="Times New Roman"/>
          <w:color w:val="1A3E6E"/>
          <w:sz w:val="19"/>
        </w:rPr>
        <w:t>plot_factor_label_heatmap</w:t>
      </w:r>
      <w:r w:rsidRPr="00B77918">
        <w:rPr>
          <w:rFonts w:ascii="Times New Roman" w:hAnsi="Times New Roman" w:cs="Times New Roman"/>
        </w:rPr>
        <w:t>).</w:t>
      </w:r>
    </w:p>
    <w:p w14:paraId="20E2BE98"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w:t>
      </w:r>
      <w:r w:rsidRPr="00B77918">
        <w:rPr>
          <w:rFonts w:ascii="Times New Roman" w:hAnsi="Times New Roman" w:cs="Times New Roman"/>
        </w:rPr>
        <w:t xml:space="preserve"> Join the committed cache (Azimuth labels, WNN Leiden, WNN UMAP) onto MOFA sample order. For every factor score, compute eta squared against Azimuth, WNN, RNA Leiden, and ATAC Leiden. Write </w:t>
      </w:r>
      <w:r w:rsidRPr="00B77918">
        <w:rPr>
          <w:rFonts w:ascii="Times New Roman" w:hAnsi="Times New Roman" w:cs="Times New Roman"/>
          <w:color w:val="1A3E6E"/>
          <w:sz w:val="19"/>
        </w:rPr>
        <w:t>module3_factor_label_association.tsv</w:t>
      </w:r>
      <w:r w:rsidRPr="00B77918">
        <w:rPr>
          <w:rFonts w:ascii="Times New Roman" w:hAnsi="Times New Roman" w:cs="Times New Roman"/>
        </w:rPr>
        <w:t>. Cache generation from the MuData file is an authoring step (</w:t>
      </w:r>
      <w:r w:rsidRPr="00B77918">
        <w:rPr>
          <w:rFonts w:ascii="Times New Roman" w:hAnsi="Times New Roman" w:cs="Times New Roman"/>
          <w:color w:val="1A3E6E"/>
          <w:sz w:val="19"/>
        </w:rPr>
        <w:t>scripts/nb05_multimodal/cache.py</w:t>
      </w:r>
      <w:r w:rsidRPr="00B77918">
        <w:rPr>
          <w:rFonts w:ascii="Times New Roman" w:hAnsi="Times New Roman" w:cs="Times New Roman"/>
        </w:rPr>
        <w:t>); learners read the committed TSV.</w:t>
      </w:r>
    </w:p>
    <w:p w14:paraId="35B6918E"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Parameters: see Appendix, section 4.</w:t>
      </w:r>
    </w:p>
    <w:p w14:paraId="37FAC13D"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Why.</w:t>
      </w:r>
      <w:r w:rsidRPr="00B77918">
        <w:rPr>
          <w:rFonts w:ascii="Times New Roman" w:hAnsi="Times New Roman" w:cs="Times New Roman"/>
        </w:rPr>
        <w:t xml:space="preserve"> A modality-private MOFA fit can still have found biology in one view. Eta squared against cell identity is how you tell "the method worked on RNA" from "the object is noise."</w:t>
      </w:r>
    </w:p>
    <w:p w14:paraId="29D41408"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5. Content of the ATAC gene-activity view</w:t>
      </w:r>
    </w:p>
    <w:p w14:paraId="48114CB3"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Script.</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scripts/nb05_multimodal/load.py</w:t>
      </w:r>
      <w:r w:rsidRPr="00B77918">
        <w:rPr>
          <w:rFonts w:ascii="Times New Roman" w:hAnsi="Times New Roman" w:cs="Times New Roman"/>
        </w:rPr>
        <w:t xml:space="preserve"> (</w:t>
      </w:r>
      <w:r w:rsidRPr="00B77918">
        <w:rPr>
          <w:rFonts w:ascii="Times New Roman" w:hAnsi="Times New Roman" w:cs="Times New Roman"/>
          <w:color w:val="1A3E6E"/>
          <w:sz w:val="19"/>
        </w:rPr>
        <w:t>mofa_sample_metadata</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scripts/nb05_multimodal/bridge.py</w:t>
      </w:r>
      <w:r w:rsidRPr="00B77918">
        <w:rPr>
          <w:rFonts w:ascii="Times New Roman" w:hAnsi="Times New Roman" w:cs="Times New Roman"/>
        </w:rPr>
        <w:t xml:space="preserve"> (</w:t>
      </w:r>
      <w:r w:rsidRPr="00B77918">
        <w:rPr>
          <w:rFonts w:ascii="Times New Roman" w:hAnsi="Times New Roman" w:cs="Times New Roman"/>
          <w:color w:val="1A3E6E"/>
          <w:sz w:val="19"/>
        </w:rPr>
        <w:t>cluster_concordance</w:t>
      </w:r>
      <w:r w:rsidRPr="00B77918">
        <w:rPr>
          <w:rFonts w:ascii="Times New Roman" w:hAnsi="Times New Roman" w:cs="Times New Roman"/>
        </w:rPr>
        <w:t xml:space="preserve">, </w:t>
      </w:r>
      <w:r w:rsidRPr="00B77918">
        <w:rPr>
          <w:rFonts w:ascii="Times New Roman" w:hAnsi="Times New Roman" w:cs="Times New Roman"/>
          <w:color w:val="1A3E6E"/>
          <w:sz w:val="19"/>
        </w:rPr>
        <w:t>qc_association</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scripts/nb05_multimodal/plots.py</w:t>
      </w:r>
      <w:r w:rsidRPr="00B77918">
        <w:rPr>
          <w:rFonts w:ascii="Times New Roman" w:hAnsi="Times New Roman" w:cs="Times New Roman"/>
        </w:rPr>
        <w:t xml:space="preserve"> (</w:t>
      </w:r>
      <w:r w:rsidRPr="00B77918">
        <w:rPr>
          <w:rFonts w:ascii="Times New Roman" w:hAnsi="Times New Roman" w:cs="Times New Roman"/>
          <w:color w:val="1A3E6E"/>
          <w:sz w:val="19"/>
        </w:rPr>
        <w:t>plot_cluster_concordance</w:t>
      </w:r>
      <w:r w:rsidRPr="00B77918">
        <w:rPr>
          <w:rFonts w:ascii="Times New Roman" w:hAnsi="Times New Roman" w:cs="Times New Roman"/>
        </w:rPr>
        <w:t xml:space="preserve">, </w:t>
      </w:r>
      <w:r w:rsidRPr="00B77918">
        <w:rPr>
          <w:rFonts w:ascii="Times New Roman" w:hAnsi="Times New Roman" w:cs="Times New Roman"/>
          <w:color w:val="1A3E6E"/>
          <w:sz w:val="19"/>
        </w:rPr>
        <w:t>plot_qc_association</w:t>
      </w:r>
      <w:r w:rsidRPr="00B77918">
        <w:rPr>
          <w:rFonts w:ascii="Times New Roman" w:hAnsi="Times New Roman" w:cs="Times New Roman"/>
        </w:rPr>
        <w:t>).</w:t>
      </w:r>
    </w:p>
    <w:p w14:paraId="5AB8480A"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w:t>
      </w:r>
      <w:r w:rsidRPr="00B77918">
        <w:rPr>
          <w:rFonts w:ascii="Times New Roman" w:hAnsi="Times New Roman" w:cs="Times New Roman"/>
        </w:rPr>
        <w:t xml:space="preserve"> MOFA </w:t>
      </w:r>
      <w:r w:rsidRPr="00B77918">
        <w:rPr>
          <w:rFonts w:ascii="Times New Roman" w:hAnsi="Times New Roman" w:cs="Times New Roman"/>
          <w:color w:val="1A3E6E"/>
          <w:sz w:val="19"/>
        </w:rPr>
        <w:t>samples_metadata/group1</w:t>
      </w:r>
      <w:r w:rsidRPr="00B77918">
        <w:rPr>
          <w:rFonts w:ascii="Times New Roman" w:hAnsi="Times New Roman" w:cs="Times New Roman"/>
        </w:rPr>
        <w:t xml:space="preserve"> already carries RNA Leiden, ATAC Leiden, ArchR Clusters, and the ATAC QC panel, so these diagnostics do not need the MuData file. Compute pairwise adjusted Rand index and normalized mutual information. Compute eta squared of QC metrics under each clustering, log10-transforming fragment and TSS count columns and recording that transform.</w:t>
      </w:r>
    </w:p>
    <w:p w14:paraId="6AB09FBE"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Parameters: see Appendix, section 5.</w:t>
      </w:r>
    </w:p>
    <w:p w14:paraId="14ED1C62"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Why.</w:t>
      </w:r>
      <w:r w:rsidRPr="00B77918">
        <w:rPr>
          <w:rFonts w:ascii="Times New Roman" w:hAnsi="Times New Roman" w:cs="Times New Roman"/>
        </w:rPr>
        <w:t xml:space="preserve"> If ATAC Leiden is chance-level against cell type and strongly associated with sequencing depth, the ATAC gene-activity matrix is not a legitimate basis for integration. That is a property of this representation, not a proof that chromatin is uninformative in lung.</w:t>
      </w:r>
    </w:p>
    <w:p w14:paraId="6766A5B4"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6. Weighted nearest neighbor as a second integration</w:t>
      </w:r>
    </w:p>
    <w:p w14:paraId="67EFDCE1"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Script.</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scripts/nb05_multimodal/bridge.py</w:t>
      </w:r>
      <w:r w:rsidRPr="00B77918">
        <w:rPr>
          <w:rFonts w:ascii="Times New Roman" w:hAnsi="Times New Roman" w:cs="Times New Roman"/>
        </w:rPr>
        <w:t xml:space="preserve"> (</w:t>
      </w:r>
      <w:r w:rsidRPr="00B77918">
        <w:rPr>
          <w:rFonts w:ascii="Times New Roman" w:hAnsi="Times New Roman" w:cs="Times New Roman"/>
          <w:color w:val="1A3E6E"/>
          <w:sz w:val="19"/>
        </w:rPr>
        <w:t>cluster_concordance</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scripts/nb05_multimodal/plots.py</w:t>
      </w:r>
      <w:r w:rsidRPr="00B77918">
        <w:rPr>
          <w:rFonts w:ascii="Times New Roman" w:hAnsi="Times New Roman" w:cs="Times New Roman"/>
        </w:rPr>
        <w:t xml:space="preserve"> (</w:t>
      </w:r>
      <w:r w:rsidRPr="00B77918">
        <w:rPr>
          <w:rFonts w:ascii="Times New Roman" w:hAnsi="Times New Roman" w:cs="Times New Roman"/>
          <w:color w:val="1A3E6E"/>
          <w:sz w:val="19"/>
        </w:rPr>
        <w:t>plot_wnn_umap</w:t>
      </w:r>
      <w:r w:rsidRPr="00B77918">
        <w:rPr>
          <w:rFonts w:ascii="Times New Roman" w:hAnsi="Times New Roman" w:cs="Times New Roman"/>
        </w:rPr>
        <w:t>).</w:t>
      </w:r>
    </w:p>
    <w:p w14:paraId="77F9928E"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w:t>
      </w:r>
      <w:r w:rsidRPr="00B77918">
        <w:rPr>
          <w:rFonts w:ascii="Times New Roman" w:hAnsi="Times New Roman" w:cs="Times New Roman"/>
        </w:rPr>
        <w:t xml:space="preserve"> The cache supplies WNN Leiden and WNN UMAP from the portal MuData object. Compare WNN to RNA Leiden, ATAC Leiden, and Azimuth. Plot the WNN embedding colored by Azimuth and by ATAC Leiden.</w:t>
      </w:r>
    </w:p>
    <w:p w14:paraId="3C78443A"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Parameters: see Appendix, section 6.</w:t>
      </w:r>
    </w:p>
    <w:p w14:paraId="6CDE3B76"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Why.</w:t>
      </w:r>
      <w:r w:rsidRPr="00B77918">
        <w:rPr>
          <w:rFonts w:ascii="Times New Roman" w:hAnsi="Times New Roman" w:cs="Times New Roman"/>
        </w:rPr>
        <w:t xml:space="preserve"> A joint embedding can look successful while still leaning on one modality. WNN is the portal's second integrator; it is the control for "maybe MOFA was the wrong method."</w:t>
      </w:r>
    </w:p>
    <w:p w14:paraId="249C0844"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7. Genome-wide RNA-ATAC gene bridge</w:t>
      </w:r>
    </w:p>
    <w:p w14:paraId="10F5EFD9"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Script.</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scripts/nb05_multimodal/bridge.py</w:t>
      </w:r>
      <w:r w:rsidRPr="00B77918">
        <w:rPr>
          <w:rFonts w:ascii="Times New Roman" w:hAnsi="Times New Roman" w:cs="Times New Roman"/>
        </w:rPr>
        <w:t xml:space="preserve"> (</w:t>
      </w:r>
      <w:r w:rsidRPr="00B77918">
        <w:rPr>
          <w:rFonts w:ascii="Times New Roman" w:hAnsi="Times New Roman" w:cs="Times New Roman"/>
          <w:color w:val="1A3E6E"/>
          <w:sz w:val="19"/>
        </w:rPr>
        <w:t>rna_atac_gene_bridge</w:t>
      </w:r>
      <w:r w:rsidRPr="00B77918">
        <w:rPr>
          <w:rFonts w:ascii="Times New Roman" w:hAnsi="Times New Roman" w:cs="Times New Roman"/>
        </w:rPr>
        <w:t xml:space="preserve">); metric configured as </w:t>
      </w:r>
      <w:r w:rsidRPr="00B77918">
        <w:rPr>
          <w:rFonts w:ascii="Times New Roman" w:hAnsi="Times New Roman" w:cs="Times New Roman"/>
          <w:color w:val="1A3E6E"/>
          <w:sz w:val="19"/>
        </w:rPr>
        <w:t>module3.analysis.bridge_metric</w:t>
      </w:r>
      <w:r w:rsidRPr="00B77918">
        <w:rPr>
          <w:rFonts w:ascii="Times New Roman" w:hAnsi="Times New Roman" w:cs="Times New Roman"/>
        </w:rPr>
        <w:t>.</w:t>
      </w:r>
    </w:p>
    <w:p w14:paraId="45FF14D3"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w:t>
      </w:r>
      <w:r w:rsidRPr="00B77918">
        <w:rPr>
          <w:rFonts w:ascii="Times New Roman" w:hAnsi="Times New Roman" w:cs="Times New Roman"/>
        </w:rPr>
        <w:t xml:space="preserve"> Join RNA and ATAC features by HUGO symbol on MOFA inputs; summarize dispersion relationships with metric </w:t>
      </w:r>
      <w:r w:rsidRPr="00B77918">
        <w:rPr>
          <w:rFonts w:ascii="Times New Roman" w:hAnsi="Times New Roman" w:cs="Times New Roman"/>
          <w:color w:val="1A3E6E"/>
          <w:sz w:val="19"/>
        </w:rPr>
        <w:t>feature_std_on_mofa_inputs</w:t>
      </w:r>
      <w:r w:rsidRPr="00B77918">
        <w:rPr>
          <w:rFonts w:ascii="Times New Roman" w:hAnsi="Times New Roman" w:cs="Times New Roman"/>
        </w:rPr>
        <w:t>. Report genome-wide Pearson/Spearman on those paired dispersions.</w:t>
      </w:r>
    </w:p>
    <w:p w14:paraId="65CEB6F2"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Parameters: see Appendix, section 7.</w:t>
      </w:r>
    </w:p>
    <w:p w14:paraId="464D4904"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Why.</w:t>
      </w:r>
      <w:r w:rsidRPr="00B77918">
        <w:rPr>
          <w:rFonts w:ascii="Times New Roman" w:hAnsi="Times New Roman" w:cs="Times New Roman"/>
        </w:rPr>
        <w:t xml:space="preserve"> ATAC gene activity is not RNA expression. Weak global correlation is an expected scientific result for this object, not a pipeline failure.</w:t>
      </w:r>
    </w:p>
    <w:p w14:paraId="1DF6F5E6"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lastRenderedPageBreak/>
        <w:t>8. Focus-gene correlations, global and within cell type</w:t>
      </w:r>
    </w:p>
    <w:p w14:paraId="26442B0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Script.</w:t>
      </w:r>
      <w:r w:rsidRPr="00B77918">
        <w:rPr>
          <w:rFonts w:ascii="Times New Roman" w:hAnsi="Times New Roman" w:cs="Times New Roman"/>
        </w:rPr>
        <w:t xml:space="preserve"> </w:t>
      </w:r>
      <w:r w:rsidRPr="00B77918">
        <w:rPr>
          <w:rFonts w:ascii="Times New Roman" w:hAnsi="Times New Roman" w:cs="Times New Roman"/>
          <w:color w:val="1A3E6E"/>
          <w:sz w:val="19"/>
        </w:rPr>
        <w:t>scripts/nb05_multimodal/bridge.py</w:t>
      </w:r>
      <w:r w:rsidRPr="00B77918">
        <w:rPr>
          <w:rFonts w:ascii="Times New Roman" w:hAnsi="Times New Roman" w:cs="Times New Roman"/>
        </w:rPr>
        <w:t xml:space="preserve"> (</w:t>
      </w:r>
      <w:r w:rsidRPr="00B77918">
        <w:rPr>
          <w:rFonts w:ascii="Times New Roman" w:hAnsi="Times New Roman" w:cs="Times New Roman"/>
          <w:color w:val="1A3E6E"/>
          <w:sz w:val="19"/>
        </w:rPr>
        <w:t>focus_gene_bridge</w:t>
      </w:r>
      <w:r w:rsidRPr="00B77918">
        <w:rPr>
          <w:rFonts w:ascii="Times New Roman" w:hAnsi="Times New Roman" w:cs="Times New Roman"/>
        </w:rPr>
        <w:t xml:space="preserve">, </w:t>
      </w:r>
      <w:r w:rsidRPr="00B77918">
        <w:rPr>
          <w:rFonts w:ascii="Times New Roman" w:hAnsi="Times New Roman" w:cs="Times New Roman"/>
          <w:color w:val="1A3E6E"/>
          <w:sz w:val="19"/>
        </w:rPr>
        <w:t>focus_gene_correlations</w:t>
      </w:r>
      <w:r w:rsidRPr="00B77918">
        <w:rPr>
          <w:rFonts w:ascii="Times New Roman" w:hAnsi="Times New Roman" w:cs="Times New Roman"/>
        </w:rPr>
        <w:t xml:space="preserve">, </w:t>
      </w:r>
      <w:r w:rsidRPr="00B77918">
        <w:rPr>
          <w:rFonts w:ascii="Times New Roman" w:hAnsi="Times New Roman" w:cs="Times New Roman"/>
          <w:color w:val="1A3E6E"/>
          <w:sz w:val="19"/>
        </w:rPr>
        <w:t>focus_gene_correlations_by_cell_type</w:t>
      </w:r>
      <w:r w:rsidRPr="00B77918">
        <w:rPr>
          <w:rFonts w:ascii="Times New Roman" w:hAnsi="Times New Roman" w:cs="Times New Roman"/>
        </w:rPr>
        <w:t xml:space="preserve">, </w:t>
      </w:r>
      <w:r w:rsidRPr="00B77918">
        <w:rPr>
          <w:rFonts w:ascii="Times New Roman" w:hAnsi="Times New Roman" w:cs="Times New Roman"/>
          <w:color w:val="1A3E6E"/>
          <w:sz w:val="19"/>
        </w:rPr>
        <w:t>combine_focus_correlations</w:t>
      </w:r>
      <w:r w:rsidRPr="00B77918">
        <w:rPr>
          <w:rFonts w:ascii="Times New Roman" w:hAnsi="Times New Roman" w:cs="Times New Roman"/>
        </w:rPr>
        <w:t xml:space="preserve">, </w:t>
      </w:r>
      <w:r w:rsidRPr="00B77918">
        <w:rPr>
          <w:rFonts w:ascii="Times New Roman" w:hAnsi="Times New Roman" w:cs="Times New Roman"/>
          <w:color w:val="1A3E6E"/>
          <w:sz w:val="19"/>
        </w:rPr>
        <w:t>focus_gene_availability</w:t>
      </w:r>
      <w:r w:rsidRPr="00B77918">
        <w:rPr>
          <w:rFonts w:ascii="Times New Roman" w:hAnsi="Times New Roman" w:cs="Times New Roman"/>
        </w:rPr>
        <w:t>).</w:t>
      </w:r>
    </w:p>
    <w:p w14:paraId="2034A243"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w:t>
      </w:r>
      <w:r w:rsidRPr="00B77918">
        <w:rPr>
          <w:rFonts w:ascii="Times New Roman" w:hAnsi="Times New Roman" w:cs="Times New Roman"/>
        </w:rPr>
        <w:t xml:space="preserve"> Correlate configured focus genes in RNA and ATAC spaces. Joining the cache supplies Azimuth labels, so within-cell-type rows are emitted on the default path. Config </w:t>
      </w:r>
      <w:r w:rsidRPr="00B77918">
        <w:rPr>
          <w:rFonts w:ascii="Times New Roman" w:hAnsi="Times New Roman" w:cs="Times New Roman"/>
          <w:color w:val="1A3E6E"/>
          <w:sz w:val="19"/>
        </w:rPr>
        <w:t>module3.thresholds.min_nuclei_correlation: 50</w:t>
      </w:r>
      <w:r w:rsidRPr="00B77918">
        <w:rPr>
          <w:rFonts w:ascii="Times New Roman" w:hAnsi="Times New Roman" w:cs="Times New Roman"/>
        </w:rPr>
        <w:t xml:space="preserve"> flags correlations with n below this threshold. </w:t>
      </w:r>
      <w:r w:rsidRPr="00B77918">
        <w:rPr>
          <w:rFonts w:ascii="Times New Roman" w:hAnsi="Times New Roman" w:cs="Times New Roman"/>
          <w:color w:val="1A3E6E"/>
          <w:sz w:val="19"/>
        </w:rPr>
        <w:t>focus_gene_cell_types</w:t>
      </w:r>
      <w:r w:rsidRPr="00B77918">
        <w:rPr>
          <w:rFonts w:ascii="Times New Roman" w:hAnsi="Times New Roman" w:cs="Times New Roman"/>
        </w:rPr>
        <w:t xml:space="preserve"> was re-checked against the Azimuth labels present in this Donor_2 object. </w:t>
      </w:r>
      <w:r w:rsidRPr="00B77918">
        <w:rPr>
          <w:rFonts w:ascii="Times New Roman" w:hAnsi="Times New Roman" w:cs="Times New Roman"/>
          <w:color w:val="1A3E6E"/>
          <w:sz w:val="19"/>
        </w:rPr>
        <w:t>focus_genes_not_in_both_modalities</w:t>
      </w:r>
      <w:r w:rsidRPr="00B77918">
        <w:rPr>
          <w:rFonts w:ascii="Times New Roman" w:hAnsi="Times New Roman" w:cs="Times New Roman"/>
        </w:rPr>
        <w:t xml:space="preserve"> (e.g. EPCAM) documents genes that cannot support a paired claim.</w:t>
      </w:r>
    </w:p>
    <w:p w14:paraId="1E41A694"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Parameters: see Appendix, section 8.</w:t>
      </w:r>
    </w:p>
    <w:p w14:paraId="57A0451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Why.</w:t>
      </w:r>
      <w:r w:rsidRPr="00B77918">
        <w:rPr>
          <w:rFonts w:ascii="Times New Roman" w:hAnsi="Times New Roman" w:cs="Times New Roman"/>
        </w:rPr>
        <w:t xml:space="preserve"> Focus genes connect Module 3 to lung programs taught in Modules 1-2 without pretending ATAC gene activity equals RNA abundance. Explicit low-n and missing-modality rows prevent silent empty correlations.</w:t>
      </w:r>
    </w:p>
    <w:p w14:paraId="3A88896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MOFA inputs or cache changed.</w:t>
      </w:r>
    </w:p>
    <w:p w14:paraId="230D32A1"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t>4. Results</w:t>
      </w:r>
    </w:p>
    <w:p w14:paraId="4C5C1305"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Object composition and barcode pairing</w:t>
      </w:r>
    </w:p>
    <w:tbl>
      <w:tblPr>
        <w:tblStyle w:val="TableGrid"/>
        <w:tblW w:w="0" w:type="auto"/>
        <w:jc w:val="center"/>
        <w:tblLook w:val="04A0" w:firstRow="1" w:lastRow="0" w:firstColumn="1" w:lastColumn="0" w:noHBand="0" w:noVBand="1"/>
      </w:tblPr>
      <w:tblGrid>
        <w:gridCol w:w="1161"/>
        <w:gridCol w:w="1200"/>
        <w:gridCol w:w="1177"/>
        <w:gridCol w:w="1650"/>
        <w:gridCol w:w="1688"/>
        <w:gridCol w:w="1223"/>
        <w:gridCol w:w="1251"/>
      </w:tblGrid>
      <w:tr w:rsidR="00B77918" w:rsidRPr="00B77918" w14:paraId="76EA482E" w14:textId="77777777" w:rsidTr="00151104">
        <w:trPr>
          <w:jc w:val="center"/>
        </w:trPr>
        <w:tc>
          <w:tcPr>
            <w:tcW w:w="1337" w:type="dxa"/>
            <w:shd w:val="clear" w:color="auto" w:fill="DCE6F1"/>
          </w:tcPr>
          <w:p w14:paraId="03527A11"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rna_n_barcodes</w:t>
            </w:r>
          </w:p>
        </w:tc>
        <w:tc>
          <w:tcPr>
            <w:tcW w:w="1337" w:type="dxa"/>
            <w:shd w:val="clear" w:color="auto" w:fill="DCE6F1"/>
          </w:tcPr>
          <w:p w14:paraId="0E218A16"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atac_n_barcodes</w:t>
            </w:r>
          </w:p>
        </w:tc>
        <w:tc>
          <w:tcPr>
            <w:tcW w:w="1337" w:type="dxa"/>
            <w:shd w:val="clear" w:color="auto" w:fill="DCE6F1"/>
          </w:tcPr>
          <w:p w14:paraId="37BB3268"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n_exact_overlap</w:t>
            </w:r>
          </w:p>
        </w:tc>
        <w:tc>
          <w:tcPr>
            <w:tcW w:w="1337" w:type="dxa"/>
            <w:shd w:val="clear" w:color="auto" w:fill="DCE6F1"/>
          </w:tcPr>
          <w:p w14:paraId="2389840B"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overlap_fraction_of_rna</w:t>
            </w:r>
          </w:p>
        </w:tc>
        <w:tc>
          <w:tcPr>
            <w:tcW w:w="1337" w:type="dxa"/>
            <w:shd w:val="clear" w:color="auto" w:fill="DCE6F1"/>
          </w:tcPr>
          <w:p w14:paraId="6D9B5FAD"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overlap_fraction_of_atac</w:t>
            </w:r>
          </w:p>
        </w:tc>
        <w:tc>
          <w:tcPr>
            <w:tcW w:w="1337" w:type="dxa"/>
            <w:shd w:val="clear" w:color="auto" w:fill="DCE6F1"/>
          </w:tcPr>
          <w:p w14:paraId="7CB26D33"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paired_multiome</w:t>
            </w:r>
          </w:p>
        </w:tc>
        <w:tc>
          <w:tcPr>
            <w:tcW w:w="1337" w:type="dxa"/>
            <w:shd w:val="clear" w:color="auto" w:fill="DCE6F1"/>
          </w:tcPr>
          <w:p w14:paraId="64143962"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interpretation</w:t>
            </w:r>
          </w:p>
        </w:tc>
      </w:tr>
      <w:tr w:rsidR="00B77918" w:rsidRPr="00B77918" w14:paraId="1F811336" w14:textId="77777777" w:rsidTr="00151104">
        <w:trPr>
          <w:jc w:val="center"/>
        </w:trPr>
        <w:tc>
          <w:tcPr>
            <w:tcW w:w="1337" w:type="dxa"/>
          </w:tcPr>
          <w:p w14:paraId="14DFF5E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6EE9C66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196C762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70FE1DE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1.0</w:t>
            </w:r>
          </w:p>
        </w:tc>
        <w:tc>
          <w:tcPr>
            <w:tcW w:w="1337" w:type="dxa"/>
          </w:tcPr>
          <w:p w14:paraId="5FCEB97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1.0</w:t>
            </w:r>
          </w:p>
        </w:tc>
        <w:tc>
          <w:tcPr>
            <w:tcW w:w="1337" w:type="dxa"/>
          </w:tcPr>
          <w:p w14:paraId="18AD855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True</w:t>
            </w:r>
          </w:p>
        </w:tc>
        <w:tc>
          <w:tcPr>
            <w:tcW w:w="1337" w:type="dxa"/>
          </w:tcPr>
          <w:p w14:paraId="53E1FBA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NOT independent pairing evidence from a barcode crosstab. Pairing is asserted by MOFA file construction: one shared sample barcode list is written once for rna + atac_cbg views. n_exact_overlap equals that list length by definition (MuData barcode crosstab skipped because load_h5mu=false).</w:t>
            </w:r>
          </w:p>
        </w:tc>
      </w:tr>
    </w:tbl>
    <w:p w14:paraId="35CABFA8" w14:textId="77777777" w:rsidR="00B77918" w:rsidRPr="00B77918" w:rsidRDefault="00B77918" w:rsidP="00B77918">
      <w:pPr>
        <w:rPr>
          <w:rFonts w:ascii="Times New Roman" w:hAnsi="Times New Roman" w:cs="Times New Roman"/>
        </w:rPr>
      </w:pPr>
      <w:r w:rsidRPr="00B77918">
        <w:rPr>
          <w:rFonts w:ascii="Times New Roman" w:hAnsi="Times New Roman" w:cs="Times New Roman"/>
          <w:i/>
          <w:color w:val="444444"/>
          <w:sz w:val="17"/>
        </w:rPr>
        <w:t>Source: module3_barcode_overlap.tsv</w:t>
      </w:r>
    </w:p>
    <w:tbl>
      <w:tblPr>
        <w:tblStyle w:val="TableGrid"/>
        <w:tblW w:w="0" w:type="auto"/>
        <w:jc w:val="center"/>
        <w:tblLook w:val="04A0" w:firstRow="1" w:lastRow="0" w:firstColumn="1" w:lastColumn="0" w:noHBand="0" w:noVBand="1"/>
      </w:tblPr>
      <w:tblGrid>
        <w:gridCol w:w="3118"/>
        <w:gridCol w:w="3116"/>
        <w:gridCol w:w="3116"/>
      </w:tblGrid>
      <w:tr w:rsidR="00B77918" w:rsidRPr="00B77918" w14:paraId="572FA214" w14:textId="77777777" w:rsidTr="00151104">
        <w:trPr>
          <w:jc w:val="center"/>
        </w:trPr>
        <w:tc>
          <w:tcPr>
            <w:tcW w:w="3120" w:type="dxa"/>
            <w:shd w:val="clear" w:color="auto" w:fill="DCE6F1"/>
          </w:tcPr>
          <w:p w14:paraId="3E275CF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azimuth_label</w:t>
            </w:r>
          </w:p>
        </w:tc>
        <w:tc>
          <w:tcPr>
            <w:tcW w:w="3120" w:type="dxa"/>
            <w:shd w:val="clear" w:color="auto" w:fill="DCE6F1"/>
          </w:tcPr>
          <w:p w14:paraId="0726F7EE"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n_nuclei</w:t>
            </w:r>
          </w:p>
        </w:tc>
        <w:tc>
          <w:tcPr>
            <w:tcW w:w="3120" w:type="dxa"/>
            <w:shd w:val="clear" w:color="auto" w:fill="DCE6F1"/>
          </w:tcPr>
          <w:p w14:paraId="7D022AC4"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fraction</w:t>
            </w:r>
          </w:p>
        </w:tc>
      </w:tr>
      <w:tr w:rsidR="00B77918" w:rsidRPr="00B77918" w14:paraId="54CF7EED" w14:textId="77777777" w:rsidTr="00151104">
        <w:trPr>
          <w:jc w:val="center"/>
        </w:trPr>
        <w:tc>
          <w:tcPr>
            <w:tcW w:w="3120" w:type="dxa"/>
          </w:tcPr>
          <w:p w14:paraId="5969C34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EC general capillary</w:t>
            </w:r>
          </w:p>
        </w:tc>
        <w:tc>
          <w:tcPr>
            <w:tcW w:w="3120" w:type="dxa"/>
          </w:tcPr>
          <w:p w14:paraId="4975C88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8339</w:t>
            </w:r>
          </w:p>
        </w:tc>
        <w:tc>
          <w:tcPr>
            <w:tcW w:w="3120" w:type="dxa"/>
          </w:tcPr>
          <w:p w14:paraId="469B747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0.379425</w:t>
            </w:r>
          </w:p>
        </w:tc>
      </w:tr>
      <w:tr w:rsidR="00B77918" w:rsidRPr="00B77918" w14:paraId="039B1B17" w14:textId="77777777" w:rsidTr="00151104">
        <w:trPr>
          <w:jc w:val="center"/>
        </w:trPr>
        <w:tc>
          <w:tcPr>
            <w:tcW w:w="3120" w:type="dxa"/>
          </w:tcPr>
          <w:p w14:paraId="37451C7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AT1</w:t>
            </w:r>
          </w:p>
        </w:tc>
        <w:tc>
          <w:tcPr>
            <w:tcW w:w="3120" w:type="dxa"/>
          </w:tcPr>
          <w:p w14:paraId="71610CC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2210</w:t>
            </w:r>
          </w:p>
        </w:tc>
        <w:tc>
          <w:tcPr>
            <w:tcW w:w="3120" w:type="dxa"/>
          </w:tcPr>
          <w:p w14:paraId="3334973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0.100555</w:t>
            </w:r>
          </w:p>
        </w:tc>
      </w:tr>
      <w:tr w:rsidR="00B77918" w:rsidRPr="00B77918" w14:paraId="55375B06" w14:textId="77777777" w:rsidTr="00151104">
        <w:trPr>
          <w:jc w:val="center"/>
        </w:trPr>
        <w:tc>
          <w:tcPr>
            <w:tcW w:w="3120" w:type="dxa"/>
          </w:tcPr>
          <w:p w14:paraId="706AF49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EC arterial</w:t>
            </w:r>
          </w:p>
        </w:tc>
        <w:tc>
          <w:tcPr>
            <w:tcW w:w="3120" w:type="dxa"/>
          </w:tcPr>
          <w:p w14:paraId="5236C17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2030</w:t>
            </w:r>
          </w:p>
        </w:tc>
        <w:tc>
          <w:tcPr>
            <w:tcW w:w="3120" w:type="dxa"/>
          </w:tcPr>
          <w:p w14:paraId="19A7CB8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0.092365</w:t>
            </w:r>
          </w:p>
        </w:tc>
      </w:tr>
      <w:tr w:rsidR="00B77918" w:rsidRPr="00B77918" w14:paraId="02FB3A05" w14:textId="77777777" w:rsidTr="00151104">
        <w:trPr>
          <w:jc w:val="center"/>
        </w:trPr>
        <w:tc>
          <w:tcPr>
            <w:tcW w:w="3120" w:type="dxa"/>
          </w:tcPr>
          <w:p w14:paraId="47ABC76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Alveolar fibroblasts</w:t>
            </w:r>
          </w:p>
        </w:tc>
        <w:tc>
          <w:tcPr>
            <w:tcW w:w="3120" w:type="dxa"/>
          </w:tcPr>
          <w:p w14:paraId="240C91A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1620</w:t>
            </w:r>
          </w:p>
        </w:tc>
        <w:tc>
          <w:tcPr>
            <w:tcW w:w="3120" w:type="dxa"/>
          </w:tcPr>
          <w:p w14:paraId="113D97F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0.07371</w:t>
            </w:r>
          </w:p>
        </w:tc>
      </w:tr>
      <w:tr w:rsidR="00B77918" w:rsidRPr="00B77918" w14:paraId="2A9B6616" w14:textId="77777777" w:rsidTr="00151104">
        <w:trPr>
          <w:jc w:val="center"/>
        </w:trPr>
        <w:tc>
          <w:tcPr>
            <w:tcW w:w="3120" w:type="dxa"/>
          </w:tcPr>
          <w:p w14:paraId="7AED852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CD8 T cells</w:t>
            </w:r>
          </w:p>
        </w:tc>
        <w:tc>
          <w:tcPr>
            <w:tcW w:w="3120" w:type="dxa"/>
          </w:tcPr>
          <w:p w14:paraId="0519A02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1509</w:t>
            </w:r>
          </w:p>
        </w:tc>
        <w:tc>
          <w:tcPr>
            <w:tcW w:w="3120" w:type="dxa"/>
          </w:tcPr>
          <w:p w14:paraId="4322D6E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0.06866</w:t>
            </w:r>
          </w:p>
        </w:tc>
      </w:tr>
      <w:tr w:rsidR="00B77918" w:rsidRPr="00B77918" w14:paraId="582AE115" w14:textId="77777777" w:rsidTr="00151104">
        <w:trPr>
          <w:jc w:val="center"/>
        </w:trPr>
        <w:tc>
          <w:tcPr>
            <w:tcW w:w="3120" w:type="dxa"/>
          </w:tcPr>
          <w:p w14:paraId="26A831B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Multiciliated (non-nasal)</w:t>
            </w:r>
          </w:p>
        </w:tc>
        <w:tc>
          <w:tcPr>
            <w:tcW w:w="3120" w:type="dxa"/>
          </w:tcPr>
          <w:p w14:paraId="1D88C7A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1109</w:t>
            </w:r>
          </w:p>
        </w:tc>
        <w:tc>
          <w:tcPr>
            <w:tcW w:w="3120" w:type="dxa"/>
          </w:tcPr>
          <w:p w14:paraId="2360EB2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0.05046</w:t>
            </w:r>
          </w:p>
        </w:tc>
      </w:tr>
      <w:tr w:rsidR="00B77918" w:rsidRPr="00B77918" w14:paraId="3F844CB0" w14:textId="77777777" w:rsidTr="00151104">
        <w:trPr>
          <w:jc w:val="center"/>
        </w:trPr>
        <w:tc>
          <w:tcPr>
            <w:tcW w:w="3120" w:type="dxa"/>
          </w:tcPr>
          <w:p w14:paraId="0009C44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lastRenderedPageBreak/>
              <w:t>AT2</w:t>
            </w:r>
          </w:p>
        </w:tc>
        <w:tc>
          <w:tcPr>
            <w:tcW w:w="3120" w:type="dxa"/>
          </w:tcPr>
          <w:p w14:paraId="11BB0BD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849</w:t>
            </w:r>
          </w:p>
        </w:tc>
        <w:tc>
          <w:tcPr>
            <w:tcW w:w="3120" w:type="dxa"/>
          </w:tcPr>
          <w:p w14:paraId="4FC123B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0.03863</w:t>
            </w:r>
          </w:p>
        </w:tc>
      </w:tr>
      <w:tr w:rsidR="00B77918" w:rsidRPr="00B77918" w14:paraId="25722A34" w14:textId="77777777" w:rsidTr="00151104">
        <w:trPr>
          <w:jc w:val="center"/>
        </w:trPr>
        <w:tc>
          <w:tcPr>
            <w:tcW w:w="3120" w:type="dxa"/>
          </w:tcPr>
          <w:p w14:paraId="517ED37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Pericytes</w:t>
            </w:r>
          </w:p>
        </w:tc>
        <w:tc>
          <w:tcPr>
            <w:tcW w:w="3120" w:type="dxa"/>
          </w:tcPr>
          <w:p w14:paraId="0982E8F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676</w:t>
            </w:r>
          </w:p>
        </w:tc>
        <w:tc>
          <w:tcPr>
            <w:tcW w:w="3120" w:type="dxa"/>
          </w:tcPr>
          <w:p w14:paraId="7E307E8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0.030758</w:t>
            </w:r>
          </w:p>
        </w:tc>
      </w:tr>
      <w:tr w:rsidR="00B77918" w:rsidRPr="00B77918" w14:paraId="5C367F51" w14:textId="77777777" w:rsidTr="00151104">
        <w:trPr>
          <w:jc w:val="center"/>
        </w:trPr>
        <w:tc>
          <w:tcPr>
            <w:tcW w:w="3120" w:type="dxa"/>
          </w:tcPr>
          <w:p w14:paraId="27C9D2C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Ionocyte</w:t>
            </w:r>
          </w:p>
        </w:tc>
        <w:tc>
          <w:tcPr>
            <w:tcW w:w="3120" w:type="dxa"/>
          </w:tcPr>
          <w:p w14:paraId="04A8C80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601</w:t>
            </w:r>
          </w:p>
        </w:tc>
        <w:tc>
          <w:tcPr>
            <w:tcW w:w="3120" w:type="dxa"/>
          </w:tcPr>
          <w:p w14:paraId="5A0DBDC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0.027346</w:t>
            </w:r>
          </w:p>
        </w:tc>
      </w:tr>
      <w:tr w:rsidR="00B77918" w:rsidRPr="00B77918" w14:paraId="3DEA2233" w14:textId="77777777" w:rsidTr="00151104">
        <w:trPr>
          <w:jc w:val="center"/>
        </w:trPr>
        <w:tc>
          <w:tcPr>
            <w:tcW w:w="3120" w:type="dxa"/>
          </w:tcPr>
          <w:p w14:paraId="31BF223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EC venous pulmonary</w:t>
            </w:r>
          </w:p>
        </w:tc>
        <w:tc>
          <w:tcPr>
            <w:tcW w:w="3120" w:type="dxa"/>
          </w:tcPr>
          <w:p w14:paraId="0C905F0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523</w:t>
            </w:r>
          </w:p>
        </w:tc>
        <w:tc>
          <w:tcPr>
            <w:tcW w:w="3120" w:type="dxa"/>
          </w:tcPr>
          <w:p w14:paraId="1999D76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0.023797</w:t>
            </w:r>
          </w:p>
        </w:tc>
      </w:tr>
      <w:tr w:rsidR="00B77918" w:rsidRPr="00B77918" w14:paraId="0F2A5EFD" w14:textId="77777777" w:rsidTr="00151104">
        <w:trPr>
          <w:jc w:val="center"/>
        </w:trPr>
        <w:tc>
          <w:tcPr>
            <w:tcW w:w="3120" w:type="dxa"/>
          </w:tcPr>
          <w:p w14:paraId="5A2EE1C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EC venous systemic</w:t>
            </w:r>
          </w:p>
        </w:tc>
        <w:tc>
          <w:tcPr>
            <w:tcW w:w="3120" w:type="dxa"/>
          </w:tcPr>
          <w:p w14:paraId="53998F8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474</w:t>
            </w:r>
          </w:p>
        </w:tc>
        <w:tc>
          <w:tcPr>
            <w:tcW w:w="3120" w:type="dxa"/>
          </w:tcPr>
          <w:p w14:paraId="4523F2E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0.021567</w:t>
            </w:r>
          </w:p>
        </w:tc>
      </w:tr>
      <w:tr w:rsidR="00B77918" w:rsidRPr="00B77918" w14:paraId="63440B6D" w14:textId="77777777" w:rsidTr="00151104">
        <w:trPr>
          <w:jc w:val="center"/>
        </w:trPr>
        <w:tc>
          <w:tcPr>
            <w:tcW w:w="3120" w:type="dxa"/>
          </w:tcPr>
          <w:p w14:paraId="678AC5E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CD4 T cells</w:t>
            </w:r>
          </w:p>
        </w:tc>
        <w:tc>
          <w:tcPr>
            <w:tcW w:w="3120" w:type="dxa"/>
          </w:tcPr>
          <w:p w14:paraId="51D83A3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441</w:t>
            </w:r>
          </w:p>
        </w:tc>
        <w:tc>
          <w:tcPr>
            <w:tcW w:w="3120" w:type="dxa"/>
          </w:tcPr>
          <w:p w14:paraId="6F3F1CE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0.020066</w:t>
            </w:r>
          </w:p>
        </w:tc>
      </w:tr>
      <w:tr w:rsidR="00B77918" w:rsidRPr="00B77918" w14:paraId="2F32B8EA" w14:textId="77777777" w:rsidTr="00151104">
        <w:trPr>
          <w:jc w:val="center"/>
        </w:trPr>
        <w:tc>
          <w:tcPr>
            <w:tcW w:w="3120" w:type="dxa"/>
          </w:tcPr>
          <w:p w14:paraId="4477421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Non-classical monocytes</w:t>
            </w:r>
          </w:p>
        </w:tc>
        <w:tc>
          <w:tcPr>
            <w:tcW w:w="3120" w:type="dxa"/>
          </w:tcPr>
          <w:p w14:paraId="2E2E6E7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343</w:t>
            </w:r>
          </w:p>
        </w:tc>
        <w:tc>
          <w:tcPr>
            <w:tcW w:w="3120" w:type="dxa"/>
          </w:tcPr>
          <w:p w14:paraId="4651122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0.015607</w:t>
            </w:r>
          </w:p>
        </w:tc>
      </w:tr>
      <w:tr w:rsidR="00B77918" w:rsidRPr="00B77918" w14:paraId="39168672" w14:textId="77777777" w:rsidTr="00151104">
        <w:trPr>
          <w:jc w:val="center"/>
        </w:trPr>
        <w:tc>
          <w:tcPr>
            <w:tcW w:w="3120" w:type="dxa"/>
          </w:tcPr>
          <w:p w14:paraId="47ECB2D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EC aerocyte capillary</w:t>
            </w:r>
          </w:p>
        </w:tc>
        <w:tc>
          <w:tcPr>
            <w:tcW w:w="3120" w:type="dxa"/>
          </w:tcPr>
          <w:p w14:paraId="5E94AC2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222</w:t>
            </w:r>
          </w:p>
        </w:tc>
        <w:tc>
          <w:tcPr>
            <w:tcW w:w="3120" w:type="dxa"/>
          </w:tcPr>
          <w:p w14:paraId="089E39A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0.010101</w:t>
            </w:r>
          </w:p>
        </w:tc>
      </w:tr>
    </w:tbl>
    <w:p w14:paraId="3030A7E5" w14:textId="77777777" w:rsidR="00B77918" w:rsidRPr="00B77918" w:rsidRDefault="00B77918" w:rsidP="00B77918">
      <w:pPr>
        <w:rPr>
          <w:rFonts w:ascii="Times New Roman" w:hAnsi="Times New Roman" w:cs="Times New Roman"/>
        </w:rPr>
      </w:pPr>
      <w:r w:rsidRPr="00B77918">
        <w:rPr>
          <w:rFonts w:ascii="Times New Roman" w:hAnsi="Times New Roman" w:cs="Times New Roman"/>
          <w:i/>
          <w:color w:val="444444"/>
          <w:sz w:val="17"/>
        </w:rPr>
        <w:t>Showing 14 of 34 rows. Source: module3_azimuth_composition.tsv</w:t>
      </w:r>
    </w:p>
    <w:p w14:paraId="55A5C5EB"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RNA and ATAC barcode overlap equals the shared MOFA sample list. That is construction, not an independent MuData crosstab: </w:t>
      </w:r>
      <w:r w:rsidRPr="00B77918">
        <w:rPr>
          <w:rFonts w:ascii="Times New Roman" w:hAnsi="Times New Roman" w:cs="Times New Roman"/>
          <w:color w:val="1A3E6E"/>
          <w:sz w:val="19"/>
        </w:rPr>
        <w:t>load_h5mu</w:t>
      </w:r>
      <w:r w:rsidRPr="00B77918">
        <w:rPr>
          <w:rFonts w:ascii="Times New Roman" w:hAnsi="Times New Roman" w:cs="Times New Roman"/>
        </w:rPr>
        <w:t xml:space="preserve"> is false. The cache row count and Azimuth label count are stamped in </w:t>
      </w:r>
      <w:r w:rsidRPr="00B77918">
        <w:rPr>
          <w:rFonts w:ascii="Times New Roman" w:hAnsi="Times New Roman" w:cs="Times New Roman"/>
          <w:color w:val="1A3E6E"/>
          <w:sz w:val="19"/>
        </w:rPr>
        <w:t>outputs/reports/module3_label_cache_provenance.json</w:t>
      </w:r>
      <w:r w:rsidRPr="00B77918">
        <w:rPr>
          <w:rFonts w:ascii="Times New Roman" w:hAnsi="Times New Roman" w:cs="Times New Roman"/>
        </w:rPr>
        <w:t xml:space="preserve">. The matched 10x snRNA block is </w:t>
      </w:r>
      <w:r w:rsidRPr="00B77918">
        <w:rPr>
          <w:rFonts w:ascii="Times New Roman" w:hAnsi="Times New Roman" w:cs="Times New Roman"/>
          <w:color w:val="1A3E6E"/>
          <w:sz w:val="19"/>
        </w:rPr>
        <w:t>HBM473.NKMR.872</w:t>
      </w:r>
      <w:r w:rsidRPr="00B77918">
        <w:rPr>
          <w:rFonts w:ascii="Times New Roman" w:hAnsi="Times New Roman" w:cs="Times New Roman"/>
        </w:rPr>
        <w:t xml:space="preserve"> (same block and section; different nuclei).</w:t>
      </w:r>
    </w:p>
    <w:p w14:paraId="53A6BE62"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Variance explained across modalities</w:t>
      </w:r>
    </w:p>
    <w:tbl>
      <w:tblPr>
        <w:tblStyle w:val="TableGrid"/>
        <w:tblW w:w="0" w:type="auto"/>
        <w:jc w:val="center"/>
        <w:tblLook w:val="04A0" w:firstRow="1" w:lastRow="0" w:firstColumn="1" w:lastColumn="0" w:noHBand="0" w:noVBand="1"/>
      </w:tblPr>
      <w:tblGrid>
        <w:gridCol w:w="3116"/>
        <w:gridCol w:w="3117"/>
        <w:gridCol w:w="3117"/>
      </w:tblGrid>
      <w:tr w:rsidR="00B77918" w:rsidRPr="00B77918" w14:paraId="249EC987" w14:textId="77777777" w:rsidTr="00151104">
        <w:trPr>
          <w:jc w:val="center"/>
        </w:trPr>
        <w:tc>
          <w:tcPr>
            <w:tcW w:w="3120" w:type="dxa"/>
            <w:shd w:val="clear" w:color="auto" w:fill="DCE6F1"/>
          </w:tcPr>
          <w:p w14:paraId="3EE292A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view</w:t>
            </w:r>
          </w:p>
        </w:tc>
        <w:tc>
          <w:tcPr>
            <w:tcW w:w="3120" w:type="dxa"/>
            <w:shd w:val="clear" w:color="auto" w:fill="DCE6F1"/>
          </w:tcPr>
          <w:p w14:paraId="15214E2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r2_total</w:t>
            </w:r>
          </w:p>
        </w:tc>
        <w:tc>
          <w:tcPr>
            <w:tcW w:w="3120" w:type="dxa"/>
            <w:shd w:val="clear" w:color="auto" w:fill="DCE6F1"/>
          </w:tcPr>
          <w:p w14:paraId="39C062E5"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units</w:t>
            </w:r>
          </w:p>
        </w:tc>
      </w:tr>
      <w:tr w:rsidR="00B77918" w:rsidRPr="00B77918" w14:paraId="59EEBC3D" w14:textId="77777777" w:rsidTr="00151104">
        <w:trPr>
          <w:jc w:val="center"/>
        </w:trPr>
        <w:tc>
          <w:tcPr>
            <w:tcW w:w="3120" w:type="dxa"/>
          </w:tcPr>
          <w:p w14:paraId="7AA60DD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3120" w:type="dxa"/>
          </w:tcPr>
          <w:p w14:paraId="4F6CF99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1.312837</w:t>
            </w:r>
          </w:p>
        </w:tc>
        <w:tc>
          <w:tcPr>
            <w:tcW w:w="3120" w:type="dxa"/>
          </w:tcPr>
          <w:p w14:paraId="22B0210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percent</w:t>
            </w:r>
          </w:p>
        </w:tc>
      </w:tr>
      <w:tr w:rsidR="00B77918" w:rsidRPr="00B77918" w14:paraId="62178D3B" w14:textId="77777777" w:rsidTr="00151104">
        <w:trPr>
          <w:jc w:val="center"/>
        </w:trPr>
        <w:tc>
          <w:tcPr>
            <w:tcW w:w="3120" w:type="dxa"/>
          </w:tcPr>
          <w:p w14:paraId="36B855B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atac_cbg</w:t>
            </w:r>
          </w:p>
        </w:tc>
        <w:tc>
          <w:tcPr>
            <w:tcW w:w="3120" w:type="dxa"/>
          </w:tcPr>
          <w:p w14:paraId="58BC1F7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0.914476</w:t>
            </w:r>
          </w:p>
        </w:tc>
        <w:tc>
          <w:tcPr>
            <w:tcW w:w="3120" w:type="dxa"/>
          </w:tcPr>
          <w:p w14:paraId="44112DD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percent</w:t>
            </w:r>
          </w:p>
        </w:tc>
      </w:tr>
    </w:tbl>
    <w:p w14:paraId="3C91F643" w14:textId="77777777" w:rsidR="00B77918" w:rsidRPr="00B77918" w:rsidRDefault="00B77918" w:rsidP="00B77918">
      <w:pPr>
        <w:rPr>
          <w:rFonts w:ascii="Times New Roman" w:hAnsi="Times New Roman" w:cs="Times New Roman"/>
        </w:rPr>
      </w:pPr>
      <w:r w:rsidRPr="00B77918">
        <w:rPr>
          <w:rFonts w:ascii="Times New Roman" w:hAnsi="Times New Roman" w:cs="Times New Roman"/>
          <w:i/>
          <w:color w:val="444444"/>
          <w:sz w:val="17"/>
        </w:rPr>
        <w:t>Source: module3_mofa_variance_total.tsv</w:t>
      </w:r>
    </w:p>
    <w:tbl>
      <w:tblPr>
        <w:tblStyle w:val="TableGrid"/>
        <w:tblW w:w="0" w:type="auto"/>
        <w:jc w:val="center"/>
        <w:tblLook w:val="04A0" w:firstRow="1" w:lastRow="0" w:firstColumn="1" w:lastColumn="0" w:noHBand="0" w:noVBand="1"/>
      </w:tblPr>
      <w:tblGrid>
        <w:gridCol w:w="1558"/>
        <w:gridCol w:w="1557"/>
        <w:gridCol w:w="1557"/>
        <w:gridCol w:w="1559"/>
        <w:gridCol w:w="1560"/>
        <w:gridCol w:w="1559"/>
      </w:tblGrid>
      <w:tr w:rsidR="00B77918" w:rsidRPr="00B77918" w14:paraId="0A467CBD" w14:textId="77777777" w:rsidTr="00151104">
        <w:trPr>
          <w:jc w:val="center"/>
        </w:trPr>
        <w:tc>
          <w:tcPr>
            <w:tcW w:w="1560" w:type="dxa"/>
            <w:shd w:val="clear" w:color="auto" w:fill="DCE6F1"/>
          </w:tcPr>
          <w:p w14:paraId="46A13C69"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factor</w:t>
            </w:r>
          </w:p>
        </w:tc>
        <w:tc>
          <w:tcPr>
            <w:tcW w:w="1560" w:type="dxa"/>
            <w:shd w:val="clear" w:color="auto" w:fill="DCE6F1"/>
          </w:tcPr>
          <w:p w14:paraId="32975A58"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rna</w:t>
            </w:r>
          </w:p>
        </w:tc>
        <w:tc>
          <w:tcPr>
            <w:tcW w:w="1560" w:type="dxa"/>
            <w:shd w:val="clear" w:color="auto" w:fill="DCE6F1"/>
          </w:tcPr>
          <w:p w14:paraId="73719F68"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atac_cbg</w:t>
            </w:r>
          </w:p>
        </w:tc>
        <w:tc>
          <w:tcPr>
            <w:tcW w:w="1560" w:type="dxa"/>
            <w:shd w:val="clear" w:color="auto" w:fill="DCE6F1"/>
          </w:tcPr>
          <w:p w14:paraId="68FD56E2"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dominant_view</w:t>
            </w:r>
          </w:p>
        </w:tc>
        <w:tc>
          <w:tcPr>
            <w:tcW w:w="1560" w:type="dxa"/>
            <w:shd w:val="clear" w:color="auto" w:fill="DCE6F1"/>
          </w:tcPr>
          <w:p w14:paraId="59FB10E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nondominant_r2</w:t>
            </w:r>
          </w:p>
        </w:tc>
        <w:tc>
          <w:tcPr>
            <w:tcW w:w="1560" w:type="dxa"/>
            <w:shd w:val="clear" w:color="auto" w:fill="DCE6F1"/>
          </w:tcPr>
          <w:p w14:paraId="0FC4C1AB"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rna_minus_atac</w:t>
            </w:r>
          </w:p>
        </w:tc>
      </w:tr>
      <w:tr w:rsidR="00B77918" w:rsidRPr="00B77918" w14:paraId="3BE20E80" w14:textId="77777777" w:rsidTr="00151104">
        <w:trPr>
          <w:jc w:val="center"/>
        </w:trPr>
        <w:tc>
          <w:tcPr>
            <w:tcW w:w="1560" w:type="dxa"/>
          </w:tcPr>
          <w:p w14:paraId="4D2C1A4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w:t>
            </w:r>
          </w:p>
        </w:tc>
        <w:tc>
          <w:tcPr>
            <w:tcW w:w="1560" w:type="dxa"/>
          </w:tcPr>
          <w:p w14:paraId="2FF9EC4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0.000244</w:t>
            </w:r>
          </w:p>
        </w:tc>
        <w:tc>
          <w:tcPr>
            <w:tcW w:w="1560" w:type="dxa"/>
          </w:tcPr>
          <w:p w14:paraId="21EAB77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0.795037</w:t>
            </w:r>
          </w:p>
        </w:tc>
        <w:tc>
          <w:tcPr>
            <w:tcW w:w="1560" w:type="dxa"/>
          </w:tcPr>
          <w:p w14:paraId="448C146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atac_cbg</w:t>
            </w:r>
          </w:p>
        </w:tc>
        <w:tc>
          <w:tcPr>
            <w:tcW w:w="1560" w:type="dxa"/>
          </w:tcPr>
          <w:p w14:paraId="4CF6E57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0.000244</w:t>
            </w:r>
          </w:p>
        </w:tc>
        <w:tc>
          <w:tcPr>
            <w:tcW w:w="1560" w:type="dxa"/>
          </w:tcPr>
          <w:p w14:paraId="36CEF03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-0.794793</w:t>
            </w:r>
          </w:p>
        </w:tc>
      </w:tr>
      <w:tr w:rsidR="00B77918" w:rsidRPr="00B77918" w14:paraId="54D22175" w14:textId="77777777" w:rsidTr="00151104">
        <w:trPr>
          <w:jc w:val="center"/>
        </w:trPr>
        <w:tc>
          <w:tcPr>
            <w:tcW w:w="1560" w:type="dxa"/>
          </w:tcPr>
          <w:p w14:paraId="6A5317E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Factor2</w:t>
            </w:r>
          </w:p>
        </w:tc>
        <w:tc>
          <w:tcPr>
            <w:tcW w:w="1560" w:type="dxa"/>
          </w:tcPr>
          <w:p w14:paraId="10C88C6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0.516283</w:t>
            </w:r>
          </w:p>
        </w:tc>
        <w:tc>
          <w:tcPr>
            <w:tcW w:w="1560" w:type="dxa"/>
          </w:tcPr>
          <w:p w14:paraId="78BF079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0.000179</w:t>
            </w:r>
          </w:p>
        </w:tc>
        <w:tc>
          <w:tcPr>
            <w:tcW w:w="1560" w:type="dxa"/>
          </w:tcPr>
          <w:p w14:paraId="5392D9D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43BCBAF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0.000179</w:t>
            </w:r>
          </w:p>
        </w:tc>
        <w:tc>
          <w:tcPr>
            <w:tcW w:w="1560" w:type="dxa"/>
          </w:tcPr>
          <w:p w14:paraId="3A5E759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0.516104</w:t>
            </w:r>
          </w:p>
        </w:tc>
      </w:tr>
      <w:tr w:rsidR="00B77918" w:rsidRPr="00B77918" w14:paraId="3DB23240" w14:textId="77777777" w:rsidTr="00151104">
        <w:trPr>
          <w:jc w:val="center"/>
        </w:trPr>
        <w:tc>
          <w:tcPr>
            <w:tcW w:w="1560" w:type="dxa"/>
          </w:tcPr>
          <w:p w14:paraId="1C5A6C2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Factor3</w:t>
            </w:r>
          </w:p>
        </w:tc>
        <w:tc>
          <w:tcPr>
            <w:tcW w:w="1560" w:type="dxa"/>
          </w:tcPr>
          <w:p w14:paraId="53F40E8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0.171526</w:t>
            </w:r>
          </w:p>
        </w:tc>
        <w:tc>
          <w:tcPr>
            <w:tcW w:w="1560" w:type="dxa"/>
          </w:tcPr>
          <w:p w14:paraId="54DE1C4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0.000263</w:t>
            </w:r>
          </w:p>
        </w:tc>
        <w:tc>
          <w:tcPr>
            <w:tcW w:w="1560" w:type="dxa"/>
          </w:tcPr>
          <w:p w14:paraId="67EF6AF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66E869A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0.000263</w:t>
            </w:r>
          </w:p>
        </w:tc>
        <w:tc>
          <w:tcPr>
            <w:tcW w:w="1560" w:type="dxa"/>
          </w:tcPr>
          <w:p w14:paraId="7D298A7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0.171263</w:t>
            </w:r>
          </w:p>
        </w:tc>
      </w:tr>
      <w:tr w:rsidR="00B77918" w:rsidRPr="00B77918" w14:paraId="7E78DB04" w14:textId="77777777" w:rsidTr="00151104">
        <w:trPr>
          <w:jc w:val="center"/>
        </w:trPr>
        <w:tc>
          <w:tcPr>
            <w:tcW w:w="1560" w:type="dxa"/>
          </w:tcPr>
          <w:p w14:paraId="783EA97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Factor4</w:t>
            </w:r>
          </w:p>
        </w:tc>
        <w:tc>
          <w:tcPr>
            <w:tcW w:w="1560" w:type="dxa"/>
          </w:tcPr>
          <w:p w14:paraId="16F87A3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0.145588</w:t>
            </w:r>
          </w:p>
        </w:tc>
        <w:tc>
          <w:tcPr>
            <w:tcW w:w="1560" w:type="dxa"/>
          </w:tcPr>
          <w:p w14:paraId="5574B7F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0.000222</w:t>
            </w:r>
          </w:p>
        </w:tc>
        <w:tc>
          <w:tcPr>
            <w:tcW w:w="1560" w:type="dxa"/>
          </w:tcPr>
          <w:p w14:paraId="79C161F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0AD8B45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0.000222</w:t>
            </w:r>
          </w:p>
        </w:tc>
        <w:tc>
          <w:tcPr>
            <w:tcW w:w="1560" w:type="dxa"/>
          </w:tcPr>
          <w:p w14:paraId="368A9B6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0.145366</w:t>
            </w:r>
          </w:p>
        </w:tc>
      </w:tr>
      <w:tr w:rsidR="00B77918" w:rsidRPr="00B77918" w14:paraId="3266FD95" w14:textId="77777777" w:rsidTr="00151104">
        <w:trPr>
          <w:jc w:val="center"/>
        </w:trPr>
        <w:tc>
          <w:tcPr>
            <w:tcW w:w="1560" w:type="dxa"/>
          </w:tcPr>
          <w:p w14:paraId="7D771A6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Factor5</w:t>
            </w:r>
          </w:p>
        </w:tc>
        <w:tc>
          <w:tcPr>
            <w:tcW w:w="1560" w:type="dxa"/>
          </w:tcPr>
          <w:p w14:paraId="5D3D5F5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0.128056</w:t>
            </w:r>
          </w:p>
        </w:tc>
        <w:tc>
          <w:tcPr>
            <w:tcW w:w="1560" w:type="dxa"/>
          </w:tcPr>
          <w:p w14:paraId="167FC98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0.000189</w:t>
            </w:r>
          </w:p>
        </w:tc>
        <w:tc>
          <w:tcPr>
            <w:tcW w:w="1560" w:type="dxa"/>
          </w:tcPr>
          <w:p w14:paraId="3F620A1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2F2AF9D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0.000189</w:t>
            </w:r>
          </w:p>
        </w:tc>
        <w:tc>
          <w:tcPr>
            <w:tcW w:w="1560" w:type="dxa"/>
          </w:tcPr>
          <w:p w14:paraId="1EBF77E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0.127867</w:t>
            </w:r>
          </w:p>
        </w:tc>
      </w:tr>
      <w:tr w:rsidR="00B77918" w:rsidRPr="00B77918" w14:paraId="758C6541" w14:textId="77777777" w:rsidTr="00151104">
        <w:trPr>
          <w:jc w:val="center"/>
        </w:trPr>
        <w:tc>
          <w:tcPr>
            <w:tcW w:w="1560" w:type="dxa"/>
          </w:tcPr>
          <w:p w14:paraId="341B06D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Factor6</w:t>
            </w:r>
          </w:p>
        </w:tc>
        <w:tc>
          <w:tcPr>
            <w:tcW w:w="1560" w:type="dxa"/>
          </w:tcPr>
          <w:p w14:paraId="0BE2F59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0.11177</w:t>
            </w:r>
          </w:p>
        </w:tc>
        <w:tc>
          <w:tcPr>
            <w:tcW w:w="1560" w:type="dxa"/>
          </w:tcPr>
          <w:p w14:paraId="1CF3BF1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0.000194</w:t>
            </w:r>
          </w:p>
        </w:tc>
        <w:tc>
          <w:tcPr>
            <w:tcW w:w="1560" w:type="dxa"/>
          </w:tcPr>
          <w:p w14:paraId="4DF712D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1A9AF6D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0.000194</w:t>
            </w:r>
          </w:p>
        </w:tc>
        <w:tc>
          <w:tcPr>
            <w:tcW w:w="1560" w:type="dxa"/>
          </w:tcPr>
          <w:p w14:paraId="45FC27B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0.111576</w:t>
            </w:r>
          </w:p>
        </w:tc>
      </w:tr>
      <w:tr w:rsidR="00B77918" w:rsidRPr="00B77918" w14:paraId="33F8496C" w14:textId="77777777" w:rsidTr="00151104">
        <w:trPr>
          <w:jc w:val="center"/>
        </w:trPr>
        <w:tc>
          <w:tcPr>
            <w:tcW w:w="1560" w:type="dxa"/>
          </w:tcPr>
          <w:p w14:paraId="26155D4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Factor7</w:t>
            </w:r>
          </w:p>
        </w:tc>
        <w:tc>
          <w:tcPr>
            <w:tcW w:w="1560" w:type="dxa"/>
          </w:tcPr>
          <w:p w14:paraId="1CA877F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0.079673</w:t>
            </w:r>
          </w:p>
        </w:tc>
        <w:tc>
          <w:tcPr>
            <w:tcW w:w="1560" w:type="dxa"/>
          </w:tcPr>
          <w:p w14:paraId="060DF16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0.000191</w:t>
            </w:r>
          </w:p>
        </w:tc>
        <w:tc>
          <w:tcPr>
            <w:tcW w:w="1560" w:type="dxa"/>
          </w:tcPr>
          <w:p w14:paraId="5FF3C82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2651523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0.000191</w:t>
            </w:r>
          </w:p>
        </w:tc>
        <w:tc>
          <w:tcPr>
            <w:tcW w:w="1560" w:type="dxa"/>
          </w:tcPr>
          <w:p w14:paraId="18CAB7C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0.079482</w:t>
            </w:r>
          </w:p>
        </w:tc>
      </w:tr>
      <w:tr w:rsidR="00B77918" w:rsidRPr="00B77918" w14:paraId="694421BB" w14:textId="77777777" w:rsidTr="00151104">
        <w:trPr>
          <w:jc w:val="center"/>
        </w:trPr>
        <w:tc>
          <w:tcPr>
            <w:tcW w:w="1560" w:type="dxa"/>
          </w:tcPr>
          <w:p w14:paraId="572573B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Factor8</w:t>
            </w:r>
          </w:p>
        </w:tc>
        <w:tc>
          <w:tcPr>
            <w:tcW w:w="1560" w:type="dxa"/>
          </w:tcPr>
          <w:p w14:paraId="52D46E1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0.00035</w:t>
            </w:r>
          </w:p>
        </w:tc>
        <w:tc>
          <w:tcPr>
            <w:tcW w:w="1560" w:type="dxa"/>
          </w:tcPr>
          <w:p w14:paraId="3A90874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0.058451</w:t>
            </w:r>
          </w:p>
        </w:tc>
        <w:tc>
          <w:tcPr>
            <w:tcW w:w="1560" w:type="dxa"/>
          </w:tcPr>
          <w:p w14:paraId="55A2929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atac_cbg</w:t>
            </w:r>
          </w:p>
        </w:tc>
        <w:tc>
          <w:tcPr>
            <w:tcW w:w="1560" w:type="dxa"/>
          </w:tcPr>
          <w:p w14:paraId="58DECF5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0.00035</w:t>
            </w:r>
          </w:p>
        </w:tc>
        <w:tc>
          <w:tcPr>
            <w:tcW w:w="1560" w:type="dxa"/>
          </w:tcPr>
          <w:p w14:paraId="76C4718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-0.058101</w:t>
            </w:r>
          </w:p>
        </w:tc>
      </w:tr>
      <w:tr w:rsidR="00B77918" w:rsidRPr="00B77918" w14:paraId="0AF11942" w14:textId="77777777" w:rsidTr="00151104">
        <w:trPr>
          <w:jc w:val="center"/>
        </w:trPr>
        <w:tc>
          <w:tcPr>
            <w:tcW w:w="1560" w:type="dxa"/>
          </w:tcPr>
          <w:p w14:paraId="75CEED1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Factor9</w:t>
            </w:r>
          </w:p>
        </w:tc>
        <w:tc>
          <w:tcPr>
            <w:tcW w:w="1560" w:type="dxa"/>
          </w:tcPr>
          <w:p w14:paraId="1E6B0D6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0.000415</w:t>
            </w:r>
          </w:p>
        </w:tc>
        <w:tc>
          <w:tcPr>
            <w:tcW w:w="1560" w:type="dxa"/>
          </w:tcPr>
          <w:p w14:paraId="0BEE3E8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0.055252</w:t>
            </w:r>
          </w:p>
        </w:tc>
        <w:tc>
          <w:tcPr>
            <w:tcW w:w="1560" w:type="dxa"/>
          </w:tcPr>
          <w:p w14:paraId="4DE087A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atac_cbg</w:t>
            </w:r>
          </w:p>
        </w:tc>
        <w:tc>
          <w:tcPr>
            <w:tcW w:w="1560" w:type="dxa"/>
          </w:tcPr>
          <w:p w14:paraId="39C19CC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0.000415</w:t>
            </w:r>
          </w:p>
        </w:tc>
        <w:tc>
          <w:tcPr>
            <w:tcW w:w="1560" w:type="dxa"/>
          </w:tcPr>
          <w:p w14:paraId="53A8B9E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-0.054837</w:t>
            </w:r>
          </w:p>
        </w:tc>
      </w:tr>
      <w:tr w:rsidR="00B77918" w:rsidRPr="00B77918" w14:paraId="08A8500D" w14:textId="77777777" w:rsidTr="00151104">
        <w:trPr>
          <w:jc w:val="center"/>
        </w:trPr>
        <w:tc>
          <w:tcPr>
            <w:tcW w:w="1560" w:type="dxa"/>
          </w:tcPr>
          <w:p w14:paraId="5E62A4E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Factor10</w:t>
            </w:r>
          </w:p>
        </w:tc>
        <w:tc>
          <w:tcPr>
            <w:tcW w:w="1560" w:type="dxa"/>
          </w:tcPr>
          <w:p w14:paraId="095C5CE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0.04313</w:t>
            </w:r>
          </w:p>
        </w:tc>
        <w:tc>
          <w:tcPr>
            <w:tcW w:w="1560" w:type="dxa"/>
          </w:tcPr>
          <w:p w14:paraId="3763D0F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0.000134</w:t>
            </w:r>
          </w:p>
        </w:tc>
        <w:tc>
          <w:tcPr>
            <w:tcW w:w="1560" w:type="dxa"/>
          </w:tcPr>
          <w:p w14:paraId="0B55956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6D50CD2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0.000134</w:t>
            </w:r>
          </w:p>
        </w:tc>
        <w:tc>
          <w:tcPr>
            <w:tcW w:w="1560" w:type="dxa"/>
          </w:tcPr>
          <w:p w14:paraId="4FDA66D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0.042996</w:t>
            </w:r>
          </w:p>
        </w:tc>
      </w:tr>
      <w:tr w:rsidR="00B77918" w:rsidRPr="00B77918" w14:paraId="69E622E3" w14:textId="77777777" w:rsidTr="00151104">
        <w:trPr>
          <w:jc w:val="center"/>
        </w:trPr>
        <w:tc>
          <w:tcPr>
            <w:tcW w:w="1560" w:type="dxa"/>
          </w:tcPr>
          <w:p w14:paraId="3C13C58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Factor11</w:t>
            </w:r>
          </w:p>
        </w:tc>
        <w:tc>
          <w:tcPr>
            <w:tcW w:w="1560" w:type="dxa"/>
          </w:tcPr>
          <w:p w14:paraId="5D8ED9B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0.03681</w:t>
            </w:r>
          </w:p>
        </w:tc>
        <w:tc>
          <w:tcPr>
            <w:tcW w:w="1560" w:type="dxa"/>
          </w:tcPr>
          <w:p w14:paraId="4C420D8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0.000115</w:t>
            </w:r>
          </w:p>
        </w:tc>
        <w:tc>
          <w:tcPr>
            <w:tcW w:w="1560" w:type="dxa"/>
          </w:tcPr>
          <w:p w14:paraId="1D0CDC2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116709F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0.000115</w:t>
            </w:r>
          </w:p>
        </w:tc>
        <w:tc>
          <w:tcPr>
            <w:tcW w:w="1560" w:type="dxa"/>
          </w:tcPr>
          <w:p w14:paraId="38F6AA0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0.036695</w:t>
            </w:r>
          </w:p>
        </w:tc>
      </w:tr>
      <w:tr w:rsidR="00B77918" w:rsidRPr="00B77918" w14:paraId="30DAA4B8" w14:textId="77777777" w:rsidTr="00151104">
        <w:trPr>
          <w:jc w:val="center"/>
        </w:trPr>
        <w:tc>
          <w:tcPr>
            <w:tcW w:w="1560" w:type="dxa"/>
          </w:tcPr>
          <w:p w14:paraId="3CD555D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Factor12</w:t>
            </w:r>
          </w:p>
        </w:tc>
        <w:tc>
          <w:tcPr>
            <w:tcW w:w="1560" w:type="dxa"/>
          </w:tcPr>
          <w:p w14:paraId="5F4A670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0.025438</w:t>
            </w:r>
          </w:p>
        </w:tc>
        <w:tc>
          <w:tcPr>
            <w:tcW w:w="1560" w:type="dxa"/>
          </w:tcPr>
          <w:p w14:paraId="4460510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6.39e-05</w:t>
            </w:r>
          </w:p>
        </w:tc>
        <w:tc>
          <w:tcPr>
            <w:tcW w:w="1560" w:type="dxa"/>
          </w:tcPr>
          <w:p w14:paraId="3E11B50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485A1FC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6.39e-05</w:t>
            </w:r>
          </w:p>
        </w:tc>
        <w:tc>
          <w:tcPr>
            <w:tcW w:w="1560" w:type="dxa"/>
          </w:tcPr>
          <w:p w14:paraId="4481565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0.025374</w:t>
            </w:r>
          </w:p>
        </w:tc>
      </w:tr>
      <w:tr w:rsidR="00B77918" w:rsidRPr="00B77918" w14:paraId="5A6E8B1C" w14:textId="77777777" w:rsidTr="00151104">
        <w:trPr>
          <w:jc w:val="center"/>
        </w:trPr>
        <w:tc>
          <w:tcPr>
            <w:tcW w:w="1560" w:type="dxa"/>
          </w:tcPr>
          <w:p w14:paraId="4EEE018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Factor13</w:t>
            </w:r>
          </w:p>
        </w:tc>
        <w:tc>
          <w:tcPr>
            <w:tcW w:w="1560" w:type="dxa"/>
          </w:tcPr>
          <w:p w14:paraId="1BBCA9D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0.025268</w:t>
            </w:r>
          </w:p>
        </w:tc>
        <w:tc>
          <w:tcPr>
            <w:tcW w:w="1560" w:type="dxa"/>
          </w:tcPr>
          <w:p w14:paraId="2FCBD61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6.85e-05</w:t>
            </w:r>
          </w:p>
        </w:tc>
        <w:tc>
          <w:tcPr>
            <w:tcW w:w="1560" w:type="dxa"/>
          </w:tcPr>
          <w:p w14:paraId="39E0694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w:t>
            </w:r>
          </w:p>
        </w:tc>
        <w:tc>
          <w:tcPr>
            <w:tcW w:w="1560" w:type="dxa"/>
          </w:tcPr>
          <w:p w14:paraId="713287A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6.85e-05</w:t>
            </w:r>
          </w:p>
        </w:tc>
        <w:tc>
          <w:tcPr>
            <w:tcW w:w="1560" w:type="dxa"/>
          </w:tcPr>
          <w:p w14:paraId="3A89FAF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0.0252</w:t>
            </w:r>
          </w:p>
        </w:tc>
      </w:tr>
      <w:tr w:rsidR="00B77918" w:rsidRPr="00B77918" w14:paraId="6286CB13" w14:textId="77777777" w:rsidTr="00151104">
        <w:trPr>
          <w:jc w:val="center"/>
        </w:trPr>
        <w:tc>
          <w:tcPr>
            <w:tcW w:w="1560" w:type="dxa"/>
          </w:tcPr>
          <w:p w14:paraId="5DDB8AC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Factor14</w:t>
            </w:r>
          </w:p>
        </w:tc>
        <w:tc>
          <w:tcPr>
            <w:tcW w:w="1560" w:type="dxa"/>
          </w:tcPr>
          <w:p w14:paraId="4A68242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0.000127</w:t>
            </w:r>
          </w:p>
        </w:tc>
        <w:tc>
          <w:tcPr>
            <w:tcW w:w="1560" w:type="dxa"/>
          </w:tcPr>
          <w:p w14:paraId="183FAB8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0.023684</w:t>
            </w:r>
          </w:p>
        </w:tc>
        <w:tc>
          <w:tcPr>
            <w:tcW w:w="1560" w:type="dxa"/>
          </w:tcPr>
          <w:p w14:paraId="5DA55A0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atac_cbg</w:t>
            </w:r>
          </w:p>
        </w:tc>
        <w:tc>
          <w:tcPr>
            <w:tcW w:w="1560" w:type="dxa"/>
          </w:tcPr>
          <w:p w14:paraId="2B7C7B0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0.000127</w:t>
            </w:r>
          </w:p>
        </w:tc>
        <w:tc>
          <w:tcPr>
            <w:tcW w:w="1560" w:type="dxa"/>
          </w:tcPr>
          <w:p w14:paraId="6189121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-0.023557</w:t>
            </w:r>
          </w:p>
        </w:tc>
      </w:tr>
    </w:tbl>
    <w:p w14:paraId="68297AE1" w14:textId="77777777" w:rsidR="00B77918" w:rsidRPr="00B77918" w:rsidRDefault="00B77918" w:rsidP="00B77918">
      <w:pPr>
        <w:rPr>
          <w:rFonts w:ascii="Times New Roman" w:hAnsi="Times New Roman" w:cs="Times New Roman"/>
        </w:rPr>
      </w:pPr>
      <w:r w:rsidRPr="00B77918">
        <w:rPr>
          <w:rFonts w:ascii="Times New Roman" w:hAnsi="Times New Roman" w:cs="Times New Roman"/>
          <w:i/>
          <w:color w:val="444444"/>
          <w:sz w:val="17"/>
        </w:rPr>
        <w:t>Showing 14 of 18 rows. Source: module3_mofa_factor_dominance.tsv</w:t>
      </w:r>
    </w:p>
    <w:p w14:paraId="1A5C07EC"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noProof/>
        </w:rPr>
        <w:lastRenderedPageBreak/>
        <w:drawing>
          <wp:inline distT="0" distB="0" distL="0" distR="0" wp14:anchorId="71C471FE" wp14:editId="2CEE959C">
            <wp:extent cx="5943600" cy="2128428"/>
            <wp:effectExtent l="0" t="0" r="0" b="0"/>
            <wp:docPr id="1"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graph&#10;&#10;AI-generated content may be incorrect."/>
                    <pic:cNvPicPr/>
                  </pic:nvPicPr>
                  <pic:blipFill>
                    <a:blip r:embed="rId6"/>
                    <a:stretch>
                      <a:fillRect/>
                    </a:stretch>
                  </pic:blipFill>
                  <pic:spPr>
                    <a:xfrm>
                      <a:off x="0" y="0"/>
                      <a:ext cx="5943600" cy="2128428"/>
                    </a:xfrm>
                    <a:prstGeom prst="rect">
                      <a:avLst/>
                    </a:prstGeom>
                  </pic:spPr>
                </pic:pic>
              </a:graphicData>
            </a:graphic>
          </wp:inline>
        </w:drawing>
      </w:r>
    </w:p>
    <w:p w14:paraId="57A897B7"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i/>
          <w:color w:val="444444"/>
          <w:sz w:val="18"/>
        </w:rPr>
        <w:t>MOFA variance explained per factor for RNA and ATAC views</w:t>
      </w:r>
    </w:p>
    <w:p w14:paraId="79D11D0C"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noProof/>
        </w:rPr>
        <w:drawing>
          <wp:inline distT="0" distB="0" distL="0" distR="0" wp14:anchorId="3B90193D" wp14:editId="57EE39A4">
            <wp:extent cx="5943600" cy="1984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3_mofa_latent.png"/>
                    <pic:cNvPicPr/>
                  </pic:nvPicPr>
                  <pic:blipFill>
                    <a:blip r:embed="rId7"/>
                    <a:stretch>
                      <a:fillRect/>
                    </a:stretch>
                  </pic:blipFill>
                  <pic:spPr>
                    <a:xfrm>
                      <a:off x="0" y="0"/>
                      <a:ext cx="5943600" cy="1984406"/>
                    </a:xfrm>
                    <a:prstGeom prst="rect">
                      <a:avLst/>
                    </a:prstGeom>
                  </pic:spPr>
                </pic:pic>
              </a:graphicData>
            </a:graphic>
          </wp:inline>
        </w:drawing>
      </w:r>
    </w:p>
    <w:p w14:paraId="66543FD5"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i/>
          <w:color w:val="444444"/>
          <w:sz w:val="18"/>
        </w:rPr>
        <w:t>MOFA latent embedding for teaching inspection</w:t>
      </w:r>
    </w:p>
    <w:p w14:paraId="4921AC90"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Units first.</w:t>
      </w:r>
      <w:r w:rsidRPr="00B77918">
        <w:rPr>
          <w:rFonts w:ascii="Times New Roman" w:hAnsi="Times New Roman" w:cs="Times New Roman"/>
        </w:rPr>
        <w:t xml:space="preserve"> The </w:t>
      </w:r>
      <w:r w:rsidRPr="00B77918">
        <w:rPr>
          <w:rFonts w:ascii="Times New Roman" w:hAnsi="Times New Roman" w:cs="Times New Roman"/>
          <w:color w:val="1A3E6E"/>
          <w:sz w:val="19"/>
        </w:rPr>
        <w:t>units</w:t>
      </w:r>
      <w:r w:rsidRPr="00B77918">
        <w:rPr>
          <w:rFonts w:ascii="Times New Roman" w:hAnsi="Times New Roman" w:cs="Times New Roman"/>
        </w:rPr>
        <w:t xml:space="preserve"> column reads </w:t>
      </w:r>
      <w:r w:rsidRPr="00B77918">
        <w:rPr>
          <w:rFonts w:ascii="Times New Roman" w:hAnsi="Times New Roman" w:cs="Times New Roman"/>
          <w:color w:val="1A3E6E"/>
          <w:sz w:val="19"/>
        </w:rPr>
        <w:t>percent</w:t>
      </w:r>
      <w:r w:rsidRPr="00B77918">
        <w:rPr>
          <w:rFonts w:ascii="Times New Roman" w:hAnsi="Times New Roman" w:cs="Times New Roman"/>
        </w:rPr>
        <w:t xml:space="preserve">. Stored totals near 1.3 and 0.91 mean about 1.3 percent of RNA variance and about 0.91 percent of ATAC gene-activity variance, not fractions above 1. The recomputation in </w:t>
      </w:r>
      <w:r w:rsidRPr="00B77918">
        <w:rPr>
          <w:rFonts w:ascii="Times New Roman" w:hAnsi="Times New Roman" w:cs="Times New Roman"/>
          <w:color w:val="1A3E6E"/>
          <w:sz w:val="19"/>
        </w:rPr>
        <w:t>outputs/reports/module3_run_params.json</w:t>
      </w:r>
      <w:r w:rsidRPr="00B77918">
        <w:rPr>
          <w:rFonts w:ascii="Times New Roman" w:hAnsi="Times New Roman" w:cs="Times New Roman"/>
        </w:rPr>
        <w:t xml:space="preserve"> confirms the percent convention.</w:t>
      </w:r>
    </w:p>
    <w:p w14:paraId="2BE5F684"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Finding.</w:t>
      </w:r>
      <w:r w:rsidRPr="00B77918">
        <w:rPr>
          <w:rFonts w:ascii="Times New Roman" w:hAnsi="Times New Roman" w:cs="Times New Roman"/>
        </w:rPr>
        <w:t xml:space="preserve"> Every active factor is modality-private. Trailing factors beyond </w:t>
      </w:r>
      <w:r w:rsidRPr="00B77918">
        <w:rPr>
          <w:rFonts w:ascii="Times New Roman" w:hAnsi="Times New Roman" w:cs="Times New Roman"/>
          <w:color w:val="1A3E6E"/>
          <w:sz w:val="19"/>
        </w:rPr>
        <w:t>mofa_variance_max_factor</w:t>
      </w:r>
      <w:r w:rsidRPr="00B77918">
        <w:rPr>
          <w:rFonts w:ascii="Times New Roman" w:hAnsi="Times New Roman" w:cs="Times New Roman"/>
        </w:rPr>
        <w:t xml:space="preserve"> are numerically dead. This is two stacked single-modality spaces, not a joint latent space.</w:t>
      </w:r>
    </w:p>
    <w:p w14:paraId="302EF681"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Factor association with cell identity</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B77918" w:rsidRPr="00B77918" w14:paraId="1AA8DFEB" w14:textId="77777777" w:rsidTr="00151104">
        <w:trPr>
          <w:jc w:val="center"/>
        </w:trPr>
        <w:tc>
          <w:tcPr>
            <w:tcW w:w="1872" w:type="dxa"/>
            <w:shd w:val="clear" w:color="auto" w:fill="DCE6F1"/>
          </w:tcPr>
          <w:p w14:paraId="14B37075"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factor</w:t>
            </w:r>
          </w:p>
        </w:tc>
        <w:tc>
          <w:tcPr>
            <w:tcW w:w="1872" w:type="dxa"/>
            <w:shd w:val="clear" w:color="auto" w:fill="DCE6F1"/>
          </w:tcPr>
          <w:p w14:paraId="42EDF7D2"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labelling</w:t>
            </w:r>
          </w:p>
        </w:tc>
        <w:tc>
          <w:tcPr>
            <w:tcW w:w="1872" w:type="dxa"/>
            <w:shd w:val="clear" w:color="auto" w:fill="DCE6F1"/>
          </w:tcPr>
          <w:p w14:paraId="3E48F96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eta_squared</w:t>
            </w:r>
          </w:p>
        </w:tc>
        <w:tc>
          <w:tcPr>
            <w:tcW w:w="1872" w:type="dxa"/>
            <w:shd w:val="clear" w:color="auto" w:fill="DCE6F1"/>
          </w:tcPr>
          <w:p w14:paraId="10957EAD"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n_groups</w:t>
            </w:r>
          </w:p>
        </w:tc>
        <w:tc>
          <w:tcPr>
            <w:tcW w:w="1872" w:type="dxa"/>
            <w:shd w:val="clear" w:color="auto" w:fill="DCE6F1"/>
          </w:tcPr>
          <w:p w14:paraId="52296F8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n_nuclei</w:t>
            </w:r>
          </w:p>
        </w:tc>
      </w:tr>
      <w:tr w:rsidR="00B77918" w:rsidRPr="00B77918" w14:paraId="62F144C1" w14:textId="77777777" w:rsidTr="00151104">
        <w:trPr>
          <w:jc w:val="center"/>
        </w:trPr>
        <w:tc>
          <w:tcPr>
            <w:tcW w:w="1872" w:type="dxa"/>
          </w:tcPr>
          <w:p w14:paraId="5BA30B9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w:t>
            </w:r>
          </w:p>
        </w:tc>
        <w:tc>
          <w:tcPr>
            <w:tcW w:w="1872" w:type="dxa"/>
          </w:tcPr>
          <w:p w14:paraId="19009C2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azimuth_label</w:t>
            </w:r>
          </w:p>
        </w:tc>
        <w:tc>
          <w:tcPr>
            <w:tcW w:w="1872" w:type="dxa"/>
          </w:tcPr>
          <w:p w14:paraId="4773B7D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0.001423</w:t>
            </w:r>
          </w:p>
        </w:tc>
        <w:tc>
          <w:tcPr>
            <w:tcW w:w="1872" w:type="dxa"/>
          </w:tcPr>
          <w:p w14:paraId="3D60C95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34</w:t>
            </w:r>
          </w:p>
        </w:tc>
        <w:tc>
          <w:tcPr>
            <w:tcW w:w="1872" w:type="dxa"/>
          </w:tcPr>
          <w:p w14:paraId="4518C95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014D19AC" w14:textId="77777777" w:rsidTr="00151104">
        <w:trPr>
          <w:jc w:val="center"/>
        </w:trPr>
        <w:tc>
          <w:tcPr>
            <w:tcW w:w="1872" w:type="dxa"/>
          </w:tcPr>
          <w:p w14:paraId="5CE78FC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w:t>
            </w:r>
          </w:p>
        </w:tc>
        <w:tc>
          <w:tcPr>
            <w:tcW w:w="1872" w:type="dxa"/>
          </w:tcPr>
          <w:p w14:paraId="3A82D1A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leiden_wnn</w:t>
            </w:r>
          </w:p>
        </w:tc>
        <w:tc>
          <w:tcPr>
            <w:tcW w:w="1872" w:type="dxa"/>
          </w:tcPr>
          <w:p w14:paraId="47B2CFA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0.487874</w:t>
            </w:r>
          </w:p>
        </w:tc>
        <w:tc>
          <w:tcPr>
            <w:tcW w:w="1872" w:type="dxa"/>
          </w:tcPr>
          <w:p w14:paraId="31D4685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23</w:t>
            </w:r>
          </w:p>
        </w:tc>
        <w:tc>
          <w:tcPr>
            <w:tcW w:w="1872" w:type="dxa"/>
          </w:tcPr>
          <w:p w14:paraId="3CB4DB4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2846CB03" w14:textId="77777777" w:rsidTr="00151104">
        <w:trPr>
          <w:jc w:val="center"/>
        </w:trPr>
        <w:tc>
          <w:tcPr>
            <w:tcW w:w="1872" w:type="dxa"/>
          </w:tcPr>
          <w:p w14:paraId="05DE9E0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w:t>
            </w:r>
          </w:p>
        </w:tc>
        <w:tc>
          <w:tcPr>
            <w:tcW w:w="1872" w:type="dxa"/>
          </w:tcPr>
          <w:p w14:paraId="48610B0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rna_leiden</w:t>
            </w:r>
          </w:p>
        </w:tc>
        <w:tc>
          <w:tcPr>
            <w:tcW w:w="1872" w:type="dxa"/>
          </w:tcPr>
          <w:p w14:paraId="4DF1998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0.000317</w:t>
            </w:r>
          </w:p>
        </w:tc>
        <w:tc>
          <w:tcPr>
            <w:tcW w:w="1872" w:type="dxa"/>
          </w:tcPr>
          <w:p w14:paraId="489C6B5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20</w:t>
            </w:r>
          </w:p>
        </w:tc>
        <w:tc>
          <w:tcPr>
            <w:tcW w:w="1872" w:type="dxa"/>
          </w:tcPr>
          <w:p w14:paraId="33CF06D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15D1E580" w14:textId="77777777" w:rsidTr="00151104">
        <w:trPr>
          <w:jc w:val="center"/>
        </w:trPr>
        <w:tc>
          <w:tcPr>
            <w:tcW w:w="1872" w:type="dxa"/>
          </w:tcPr>
          <w:p w14:paraId="3EE7088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Factor1</w:t>
            </w:r>
          </w:p>
        </w:tc>
        <w:tc>
          <w:tcPr>
            <w:tcW w:w="1872" w:type="dxa"/>
          </w:tcPr>
          <w:p w14:paraId="404020F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atac_leiden</w:t>
            </w:r>
          </w:p>
        </w:tc>
        <w:tc>
          <w:tcPr>
            <w:tcW w:w="1872" w:type="dxa"/>
          </w:tcPr>
          <w:p w14:paraId="773D03A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0.001658</w:t>
            </w:r>
          </w:p>
        </w:tc>
        <w:tc>
          <w:tcPr>
            <w:tcW w:w="1872" w:type="dxa"/>
          </w:tcPr>
          <w:p w14:paraId="7AC24E1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30</w:t>
            </w:r>
          </w:p>
        </w:tc>
        <w:tc>
          <w:tcPr>
            <w:tcW w:w="1872" w:type="dxa"/>
          </w:tcPr>
          <w:p w14:paraId="0B3BF27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5EB1388C" w14:textId="77777777" w:rsidTr="00151104">
        <w:trPr>
          <w:jc w:val="center"/>
        </w:trPr>
        <w:tc>
          <w:tcPr>
            <w:tcW w:w="1872" w:type="dxa"/>
          </w:tcPr>
          <w:p w14:paraId="305E154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Factor2</w:t>
            </w:r>
          </w:p>
        </w:tc>
        <w:tc>
          <w:tcPr>
            <w:tcW w:w="1872" w:type="dxa"/>
          </w:tcPr>
          <w:p w14:paraId="2463EE7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azimuth_label</w:t>
            </w:r>
          </w:p>
        </w:tc>
        <w:tc>
          <w:tcPr>
            <w:tcW w:w="1872" w:type="dxa"/>
          </w:tcPr>
          <w:p w14:paraId="28C0D7C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0.073788</w:t>
            </w:r>
          </w:p>
        </w:tc>
        <w:tc>
          <w:tcPr>
            <w:tcW w:w="1872" w:type="dxa"/>
          </w:tcPr>
          <w:p w14:paraId="0922A0C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34</w:t>
            </w:r>
          </w:p>
        </w:tc>
        <w:tc>
          <w:tcPr>
            <w:tcW w:w="1872" w:type="dxa"/>
          </w:tcPr>
          <w:p w14:paraId="107E773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23F51852" w14:textId="77777777" w:rsidTr="00151104">
        <w:trPr>
          <w:jc w:val="center"/>
        </w:trPr>
        <w:tc>
          <w:tcPr>
            <w:tcW w:w="1872" w:type="dxa"/>
          </w:tcPr>
          <w:p w14:paraId="4FD3477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Factor2</w:t>
            </w:r>
          </w:p>
        </w:tc>
        <w:tc>
          <w:tcPr>
            <w:tcW w:w="1872" w:type="dxa"/>
          </w:tcPr>
          <w:p w14:paraId="7768D28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leiden_wnn</w:t>
            </w:r>
          </w:p>
        </w:tc>
        <w:tc>
          <w:tcPr>
            <w:tcW w:w="1872" w:type="dxa"/>
          </w:tcPr>
          <w:p w14:paraId="0B61776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0.421429</w:t>
            </w:r>
          </w:p>
        </w:tc>
        <w:tc>
          <w:tcPr>
            <w:tcW w:w="1872" w:type="dxa"/>
          </w:tcPr>
          <w:p w14:paraId="352DCB7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23</w:t>
            </w:r>
          </w:p>
        </w:tc>
        <w:tc>
          <w:tcPr>
            <w:tcW w:w="1872" w:type="dxa"/>
          </w:tcPr>
          <w:p w14:paraId="38E4289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69F816DF" w14:textId="77777777" w:rsidTr="00151104">
        <w:trPr>
          <w:jc w:val="center"/>
        </w:trPr>
        <w:tc>
          <w:tcPr>
            <w:tcW w:w="1872" w:type="dxa"/>
          </w:tcPr>
          <w:p w14:paraId="0CB2CCD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Factor2</w:t>
            </w:r>
          </w:p>
        </w:tc>
        <w:tc>
          <w:tcPr>
            <w:tcW w:w="1872" w:type="dxa"/>
          </w:tcPr>
          <w:p w14:paraId="426A3AA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rna_leiden</w:t>
            </w:r>
          </w:p>
        </w:tc>
        <w:tc>
          <w:tcPr>
            <w:tcW w:w="1872" w:type="dxa"/>
          </w:tcPr>
          <w:p w14:paraId="00585ED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0.266424</w:t>
            </w:r>
          </w:p>
        </w:tc>
        <w:tc>
          <w:tcPr>
            <w:tcW w:w="1872" w:type="dxa"/>
          </w:tcPr>
          <w:p w14:paraId="593A95C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20</w:t>
            </w:r>
          </w:p>
        </w:tc>
        <w:tc>
          <w:tcPr>
            <w:tcW w:w="1872" w:type="dxa"/>
          </w:tcPr>
          <w:p w14:paraId="3791A87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26350F0E" w14:textId="77777777" w:rsidTr="00151104">
        <w:trPr>
          <w:jc w:val="center"/>
        </w:trPr>
        <w:tc>
          <w:tcPr>
            <w:tcW w:w="1872" w:type="dxa"/>
          </w:tcPr>
          <w:p w14:paraId="6D9253B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Factor2</w:t>
            </w:r>
          </w:p>
        </w:tc>
        <w:tc>
          <w:tcPr>
            <w:tcW w:w="1872" w:type="dxa"/>
          </w:tcPr>
          <w:p w14:paraId="21A239C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atac_leiden</w:t>
            </w:r>
          </w:p>
        </w:tc>
        <w:tc>
          <w:tcPr>
            <w:tcW w:w="1872" w:type="dxa"/>
          </w:tcPr>
          <w:p w14:paraId="678F0D8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0.178713</w:t>
            </w:r>
          </w:p>
        </w:tc>
        <w:tc>
          <w:tcPr>
            <w:tcW w:w="1872" w:type="dxa"/>
          </w:tcPr>
          <w:p w14:paraId="7606375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30</w:t>
            </w:r>
          </w:p>
        </w:tc>
        <w:tc>
          <w:tcPr>
            <w:tcW w:w="1872" w:type="dxa"/>
          </w:tcPr>
          <w:p w14:paraId="67864C9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23BC17F3" w14:textId="77777777" w:rsidTr="00151104">
        <w:trPr>
          <w:jc w:val="center"/>
        </w:trPr>
        <w:tc>
          <w:tcPr>
            <w:tcW w:w="1872" w:type="dxa"/>
          </w:tcPr>
          <w:p w14:paraId="5C8F498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Factor3</w:t>
            </w:r>
          </w:p>
        </w:tc>
        <w:tc>
          <w:tcPr>
            <w:tcW w:w="1872" w:type="dxa"/>
          </w:tcPr>
          <w:p w14:paraId="000497C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azimuth_label</w:t>
            </w:r>
          </w:p>
        </w:tc>
        <w:tc>
          <w:tcPr>
            <w:tcW w:w="1872" w:type="dxa"/>
          </w:tcPr>
          <w:p w14:paraId="4B3FC86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0.437111</w:t>
            </w:r>
          </w:p>
        </w:tc>
        <w:tc>
          <w:tcPr>
            <w:tcW w:w="1872" w:type="dxa"/>
          </w:tcPr>
          <w:p w14:paraId="68F7A46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34</w:t>
            </w:r>
          </w:p>
        </w:tc>
        <w:tc>
          <w:tcPr>
            <w:tcW w:w="1872" w:type="dxa"/>
          </w:tcPr>
          <w:p w14:paraId="7F6A153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5BF20570" w14:textId="77777777" w:rsidTr="00151104">
        <w:trPr>
          <w:jc w:val="center"/>
        </w:trPr>
        <w:tc>
          <w:tcPr>
            <w:tcW w:w="1872" w:type="dxa"/>
          </w:tcPr>
          <w:p w14:paraId="01EF97A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lastRenderedPageBreak/>
              <w:t>Factor3</w:t>
            </w:r>
          </w:p>
        </w:tc>
        <w:tc>
          <w:tcPr>
            <w:tcW w:w="1872" w:type="dxa"/>
          </w:tcPr>
          <w:p w14:paraId="5F98A08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leiden_wnn</w:t>
            </w:r>
          </w:p>
        </w:tc>
        <w:tc>
          <w:tcPr>
            <w:tcW w:w="1872" w:type="dxa"/>
          </w:tcPr>
          <w:p w14:paraId="7D52445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0.632004</w:t>
            </w:r>
          </w:p>
        </w:tc>
        <w:tc>
          <w:tcPr>
            <w:tcW w:w="1872" w:type="dxa"/>
          </w:tcPr>
          <w:p w14:paraId="581589E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23</w:t>
            </w:r>
          </w:p>
        </w:tc>
        <w:tc>
          <w:tcPr>
            <w:tcW w:w="1872" w:type="dxa"/>
          </w:tcPr>
          <w:p w14:paraId="4D589FA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570713B5" w14:textId="77777777" w:rsidTr="00151104">
        <w:trPr>
          <w:jc w:val="center"/>
        </w:trPr>
        <w:tc>
          <w:tcPr>
            <w:tcW w:w="1872" w:type="dxa"/>
          </w:tcPr>
          <w:p w14:paraId="6EC77AD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Factor3</w:t>
            </w:r>
          </w:p>
        </w:tc>
        <w:tc>
          <w:tcPr>
            <w:tcW w:w="1872" w:type="dxa"/>
          </w:tcPr>
          <w:p w14:paraId="75C1870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rna_leiden</w:t>
            </w:r>
          </w:p>
        </w:tc>
        <w:tc>
          <w:tcPr>
            <w:tcW w:w="1872" w:type="dxa"/>
          </w:tcPr>
          <w:p w14:paraId="1C66762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0.623223</w:t>
            </w:r>
          </w:p>
        </w:tc>
        <w:tc>
          <w:tcPr>
            <w:tcW w:w="1872" w:type="dxa"/>
          </w:tcPr>
          <w:p w14:paraId="21CFA92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20</w:t>
            </w:r>
          </w:p>
        </w:tc>
        <w:tc>
          <w:tcPr>
            <w:tcW w:w="1872" w:type="dxa"/>
          </w:tcPr>
          <w:p w14:paraId="369A42F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1BB5B8C2" w14:textId="77777777" w:rsidTr="00151104">
        <w:trPr>
          <w:jc w:val="center"/>
        </w:trPr>
        <w:tc>
          <w:tcPr>
            <w:tcW w:w="1872" w:type="dxa"/>
          </w:tcPr>
          <w:p w14:paraId="458BDFC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Factor3</w:t>
            </w:r>
          </w:p>
        </w:tc>
        <w:tc>
          <w:tcPr>
            <w:tcW w:w="1872" w:type="dxa"/>
          </w:tcPr>
          <w:p w14:paraId="22145A5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atac_leiden</w:t>
            </w:r>
          </w:p>
        </w:tc>
        <w:tc>
          <w:tcPr>
            <w:tcW w:w="1872" w:type="dxa"/>
          </w:tcPr>
          <w:p w14:paraId="01D98F6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0.019384</w:t>
            </w:r>
          </w:p>
        </w:tc>
        <w:tc>
          <w:tcPr>
            <w:tcW w:w="1872" w:type="dxa"/>
          </w:tcPr>
          <w:p w14:paraId="125FEC5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30</w:t>
            </w:r>
          </w:p>
        </w:tc>
        <w:tc>
          <w:tcPr>
            <w:tcW w:w="1872" w:type="dxa"/>
          </w:tcPr>
          <w:p w14:paraId="04FA91B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06614240" w14:textId="77777777" w:rsidTr="00151104">
        <w:trPr>
          <w:jc w:val="center"/>
        </w:trPr>
        <w:tc>
          <w:tcPr>
            <w:tcW w:w="1872" w:type="dxa"/>
          </w:tcPr>
          <w:p w14:paraId="257DADB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Factor4</w:t>
            </w:r>
          </w:p>
        </w:tc>
        <w:tc>
          <w:tcPr>
            <w:tcW w:w="1872" w:type="dxa"/>
          </w:tcPr>
          <w:p w14:paraId="617D102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azimuth_label</w:t>
            </w:r>
          </w:p>
        </w:tc>
        <w:tc>
          <w:tcPr>
            <w:tcW w:w="1872" w:type="dxa"/>
          </w:tcPr>
          <w:p w14:paraId="15E1927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0.416625</w:t>
            </w:r>
          </w:p>
        </w:tc>
        <w:tc>
          <w:tcPr>
            <w:tcW w:w="1872" w:type="dxa"/>
          </w:tcPr>
          <w:p w14:paraId="09BDBBF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34</w:t>
            </w:r>
          </w:p>
        </w:tc>
        <w:tc>
          <w:tcPr>
            <w:tcW w:w="1872" w:type="dxa"/>
          </w:tcPr>
          <w:p w14:paraId="4EE01A6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r w:rsidR="00B77918" w:rsidRPr="00B77918" w14:paraId="1CE5B83F" w14:textId="77777777" w:rsidTr="00151104">
        <w:trPr>
          <w:jc w:val="center"/>
        </w:trPr>
        <w:tc>
          <w:tcPr>
            <w:tcW w:w="1872" w:type="dxa"/>
          </w:tcPr>
          <w:p w14:paraId="5C37558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Factor4</w:t>
            </w:r>
          </w:p>
        </w:tc>
        <w:tc>
          <w:tcPr>
            <w:tcW w:w="1872" w:type="dxa"/>
          </w:tcPr>
          <w:p w14:paraId="51D8484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leiden_wnn</w:t>
            </w:r>
          </w:p>
        </w:tc>
        <w:tc>
          <w:tcPr>
            <w:tcW w:w="1872" w:type="dxa"/>
          </w:tcPr>
          <w:p w14:paraId="71597C6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0.577355</w:t>
            </w:r>
          </w:p>
        </w:tc>
        <w:tc>
          <w:tcPr>
            <w:tcW w:w="1872" w:type="dxa"/>
          </w:tcPr>
          <w:p w14:paraId="110710A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23</w:t>
            </w:r>
          </w:p>
        </w:tc>
        <w:tc>
          <w:tcPr>
            <w:tcW w:w="1872" w:type="dxa"/>
          </w:tcPr>
          <w:p w14:paraId="5716B33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r>
    </w:tbl>
    <w:p w14:paraId="33DA0102" w14:textId="77777777" w:rsidR="00B77918" w:rsidRPr="00B77918" w:rsidRDefault="00B77918" w:rsidP="00B77918">
      <w:pPr>
        <w:rPr>
          <w:rFonts w:ascii="Times New Roman" w:hAnsi="Times New Roman" w:cs="Times New Roman"/>
        </w:rPr>
      </w:pPr>
      <w:r w:rsidRPr="00B77918">
        <w:rPr>
          <w:rFonts w:ascii="Times New Roman" w:hAnsi="Times New Roman" w:cs="Times New Roman"/>
          <w:i/>
          <w:color w:val="444444"/>
          <w:sz w:val="17"/>
        </w:rPr>
        <w:t>Showing 14 of 120 rows. Source: module3_factor_label_association.tsv</w:t>
      </w:r>
    </w:p>
    <w:p w14:paraId="4D658570"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noProof/>
        </w:rPr>
        <w:drawing>
          <wp:inline distT="0" distB="0" distL="0" distR="0" wp14:anchorId="035F584A" wp14:editId="69263CB7">
            <wp:extent cx="5943600" cy="5384465"/>
            <wp:effectExtent l="0" t="0" r="0" b="0"/>
            <wp:docPr id="3" name="Picture 3" descr="A chart of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hart of a number of colored squares&#10;&#10;AI-generated content may be incorrect."/>
                    <pic:cNvPicPr/>
                  </pic:nvPicPr>
                  <pic:blipFill>
                    <a:blip r:embed="rId8"/>
                    <a:stretch>
                      <a:fillRect/>
                    </a:stretch>
                  </pic:blipFill>
                  <pic:spPr>
                    <a:xfrm>
                      <a:off x="0" y="0"/>
                      <a:ext cx="5943600" cy="5384465"/>
                    </a:xfrm>
                    <a:prstGeom prst="rect">
                      <a:avLst/>
                    </a:prstGeom>
                  </pic:spPr>
                </pic:pic>
              </a:graphicData>
            </a:graphic>
          </wp:inline>
        </w:drawing>
      </w:r>
    </w:p>
    <w:p w14:paraId="4ABD001D"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i/>
          <w:color w:val="444444"/>
          <w:sz w:val="18"/>
        </w:rPr>
        <w:t>Eta squared of MOFA factor scores against Azimuth, WNN, RNA Leiden, and ATAC Leiden</w:t>
      </w:r>
    </w:p>
    <w:p w14:paraId="4FBA3DFD"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Finding.</w:t>
      </w:r>
      <w:r w:rsidRPr="00B77918">
        <w:rPr>
          <w:rFonts w:ascii="Times New Roman" w:hAnsi="Times New Roman" w:cs="Times New Roman"/>
        </w:rPr>
        <w:t xml:space="preserve"> RNA-dominant factor scores track Azimuth, WNN, and RNA Leiden. The same factors are near floor against ATAC Leiden. MOFA found cell identity, in RNA only.</w:t>
      </w:r>
    </w:p>
    <w:p w14:paraId="36E8EA81"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Content of the ATAC gene-activity view</w:t>
      </w:r>
    </w:p>
    <w:tbl>
      <w:tblPr>
        <w:tblStyle w:val="TableGrid"/>
        <w:tblW w:w="0" w:type="auto"/>
        <w:jc w:val="center"/>
        <w:tblLook w:val="04A0" w:firstRow="1" w:lastRow="0" w:firstColumn="1" w:lastColumn="0" w:noHBand="0" w:noVBand="1"/>
      </w:tblPr>
      <w:tblGrid>
        <w:gridCol w:w="1169"/>
        <w:gridCol w:w="1168"/>
        <w:gridCol w:w="1170"/>
        <w:gridCol w:w="1169"/>
        <w:gridCol w:w="1168"/>
        <w:gridCol w:w="1168"/>
        <w:gridCol w:w="1169"/>
        <w:gridCol w:w="1169"/>
      </w:tblGrid>
      <w:tr w:rsidR="00B77918" w:rsidRPr="00B77918" w14:paraId="0130620F" w14:textId="77777777" w:rsidTr="00151104">
        <w:trPr>
          <w:jc w:val="center"/>
        </w:trPr>
        <w:tc>
          <w:tcPr>
            <w:tcW w:w="1170" w:type="dxa"/>
            <w:shd w:val="clear" w:color="auto" w:fill="DCE6F1"/>
          </w:tcPr>
          <w:p w14:paraId="2079174E"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pair</w:t>
            </w:r>
          </w:p>
        </w:tc>
        <w:tc>
          <w:tcPr>
            <w:tcW w:w="1170" w:type="dxa"/>
            <w:shd w:val="clear" w:color="auto" w:fill="DCE6F1"/>
          </w:tcPr>
          <w:p w14:paraId="607FC6E7"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col_a</w:t>
            </w:r>
          </w:p>
        </w:tc>
        <w:tc>
          <w:tcPr>
            <w:tcW w:w="1170" w:type="dxa"/>
            <w:shd w:val="clear" w:color="auto" w:fill="DCE6F1"/>
          </w:tcPr>
          <w:p w14:paraId="20FE7545"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col_b</w:t>
            </w:r>
          </w:p>
        </w:tc>
        <w:tc>
          <w:tcPr>
            <w:tcW w:w="1170" w:type="dxa"/>
            <w:shd w:val="clear" w:color="auto" w:fill="DCE6F1"/>
          </w:tcPr>
          <w:p w14:paraId="5CE59A60"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n_nuclei</w:t>
            </w:r>
          </w:p>
        </w:tc>
        <w:tc>
          <w:tcPr>
            <w:tcW w:w="1170" w:type="dxa"/>
            <w:shd w:val="clear" w:color="auto" w:fill="DCE6F1"/>
          </w:tcPr>
          <w:p w14:paraId="6F604B8F"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k_a</w:t>
            </w:r>
          </w:p>
        </w:tc>
        <w:tc>
          <w:tcPr>
            <w:tcW w:w="1170" w:type="dxa"/>
            <w:shd w:val="clear" w:color="auto" w:fill="DCE6F1"/>
          </w:tcPr>
          <w:p w14:paraId="5C3FA25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k_b</w:t>
            </w:r>
          </w:p>
        </w:tc>
        <w:tc>
          <w:tcPr>
            <w:tcW w:w="1170" w:type="dxa"/>
            <w:shd w:val="clear" w:color="auto" w:fill="DCE6F1"/>
          </w:tcPr>
          <w:p w14:paraId="1044958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ari</w:t>
            </w:r>
          </w:p>
        </w:tc>
        <w:tc>
          <w:tcPr>
            <w:tcW w:w="1170" w:type="dxa"/>
            <w:shd w:val="clear" w:color="auto" w:fill="DCE6F1"/>
          </w:tcPr>
          <w:p w14:paraId="32299B1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nmi</w:t>
            </w:r>
          </w:p>
        </w:tc>
      </w:tr>
      <w:tr w:rsidR="00B77918" w:rsidRPr="00B77918" w14:paraId="0BEB436E" w14:textId="77777777" w:rsidTr="00151104">
        <w:trPr>
          <w:jc w:val="center"/>
        </w:trPr>
        <w:tc>
          <w:tcPr>
            <w:tcW w:w="1170" w:type="dxa"/>
          </w:tcPr>
          <w:p w14:paraId="382E879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 vs azimuth_label</w:t>
            </w:r>
          </w:p>
        </w:tc>
        <w:tc>
          <w:tcPr>
            <w:tcW w:w="1170" w:type="dxa"/>
          </w:tcPr>
          <w:p w14:paraId="6C151AF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w:t>
            </w:r>
          </w:p>
        </w:tc>
        <w:tc>
          <w:tcPr>
            <w:tcW w:w="1170" w:type="dxa"/>
          </w:tcPr>
          <w:p w14:paraId="00B7D93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azimuth_label</w:t>
            </w:r>
          </w:p>
        </w:tc>
        <w:tc>
          <w:tcPr>
            <w:tcW w:w="1170" w:type="dxa"/>
          </w:tcPr>
          <w:p w14:paraId="2813B21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170" w:type="dxa"/>
          </w:tcPr>
          <w:p w14:paraId="16A5252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30</w:t>
            </w:r>
          </w:p>
        </w:tc>
        <w:tc>
          <w:tcPr>
            <w:tcW w:w="1170" w:type="dxa"/>
          </w:tcPr>
          <w:p w14:paraId="588E4E7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34</w:t>
            </w:r>
          </w:p>
        </w:tc>
        <w:tc>
          <w:tcPr>
            <w:tcW w:w="1170" w:type="dxa"/>
          </w:tcPr>
          <w:p w14:paraId="6665543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0.011747</w:t>
            </w:r>
          </w:p>
        </w:tc>
        <w:tc>
          <w:tcPr>
            <w:tcW w:w="1170" w:type="dxa"/>
          </w:tcPr>
          <w:p w14:paraId="585D3C9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0.028309</w:t>
            </w:r>
          </w:p>
        </w:tc>
      </w:tr>
      <w:tr w:rsidR="00B77918" w:rsidRPr="00B77918" w14:paraId="41AA8918" w14:textId="77777777" w:rsidTr="00151104">
        <w:trPr>
          <w:jc w:val="center"/>
        </w:trPr>
        <w:tc>
          <w:tcPr>
            <w:tcW w:w="1170" w:type="dxa"/>
          </w:tcPr>
          <w:p w14:paraId="5B86981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lastRenderedPageBreak/>
              <w:t>atac_clusters vs azimuth_label</w:t>
            </w:r>
          </w:p>
        </w:tc>
        <w:tc>
          <w:tcPr>
            <w:tcW w:w="1170" w:type="dxa"/>
          </w:tcPr>
          <w:p w14:paraId="5586A9D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atac_clusters</w:t>
            </w:r>
          </w:p>
        </w:tc>
        <w:tc>
          <w:tcPr>
            <w:tcW w:w="1170" w:type="dxa"/>
          </w:tcPr>
          <w:p w14:paraId="2A2E690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azimuth_label</w:t>
            </w:r>
          </w:p>
        </w:tc>
        <w:tc>
          <w:tcPr>
            <w:tcW w:w="1170" w:type="dxa"/>
          </w:tcPr>
          <w:p w14:paraId="517F4BA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170" w:type="dxa"/>
          </w:tcPr>
          <w:p w14:paraId="1B85AB3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25</w:t>
            </w:r>
          </w:p>
        </w:tc>
        <w:tc>
          <w:tcPr>
            <w:tcW w:w="1170" w:type="dxa"/>
          </w:tcPr>
          <w:p w14:paraId="7206589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34</w:t>
            </w:r>
          </w:p>
        </w:tc>
        <w:tc>
          <w:tcPr>
            <w:tcW w:w="1170" w:type="dxa"/>
          </w:tcPr>
          <w:p w14:paraId="78824DA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0.006943</w:t>
            </w:r>
          </w:p>
        </w:tc>
        <w:tc>
          <w:tcPr>
            <w:tcW w:w="1170" w:type="dxa"/>
          </w:tcPr>
          <w:p w14:paraId="39E92E8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0.01062</w:t>
            </w:r>
          </w:p>
        </w:tc>
      </w:tr>
      <w:tr w:rsidR="00B77918" w:rsidRPr="00B77918" w14:paraId="5E584B9E" w14:textId="77777777" w:rsidTr="00151104">
        <w:trPr>
          <w:jc w:val="center"/>
        </w:trPr>
        <w:tc>
          <w:tcPr>
            <w:tcW w:w="1170" w:type="dxa"/>
          </w:tcPr>
          <w:p w14:paraId="465A435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leiden_wnn vs rna_leiden</w:t>
            </w:r>
          </w:p>
        </w:tc>
        <w:tc>
          <w:tcPr>
            <w:tcW w:w="1170" w:type="dxa"/>
          </w:tcPr>
          <w:p w14:paraId="0FD5865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leiden_wnn</w:t>
            </w:r>
          </w:p>
        </w:tc>
        <w:tc>
          <w:tcPr>
            <w:tcW w:w="1170" w:type="dxa"/>
          </w:tcPr>
          <w:p w14:paraId="0D8EAFF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rna_leiden</w:t>
            </w:r>
          </w:p>
        </w:tc>
        <w:tc>
          <w:tcPr>
            <w:tcW w:w="1170" w:type="dxa"/>
          </w:tcPr>
          <w:p w14:paraId="3602393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170" w:type="dxa"/>
          </w:tcPr>
          <w:p w14:paraId="0E5A486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23</w:t>
            </w:r>
          </w:p>
        </w:tc>
        <w:tc>
          <w:tcPr>
            <w:tcW w:w="1170" w:type="dxa"/>
          </w:tcPr>
          <w:p w14:paraId="389770B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20</w:t>
            </w:r>
          </w:p>
        </w:tc>
        <w:tc>
          <w:tcPr>
            <w:tcW w:w="1170" w:type="dxa"/>
          </w:tcPr>
          <w:p w14:paraId="24CB7D7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0.246892</w:t>
            </w:r>
          </w:p>
        </w:tc>
        <w:tc>
          <w:tcPr>
            <w:tcW w:w="1170" w:type="dxa"/>
          </w:tcPr>
          <w:p w14:paraId="2D98EA1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0.443028</w:t>
            </w:r>
          </w:p>
        </w:tc>
      </w:tr>
      <w:tr w:rsidR="00B77918" w:rsidRPr="00B77918" w14:paraId="05CFC674" w14:textId="77777777" w:rsidTr="00151104">
        <w:trPr>
          <w:jc w:val="center"/>
        </w:trPr>
        <w:tc>
          <w:tcPr>
            <w:tcW w:w="1170" w:type="dxa"/>
          </w:tcPr>
          <w:p w14:paraId="7C59C42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leiden_wnn vs atac_leiden</w:t>
            </w:r>
          </w:p>
        </w:tc>
        <w:tc>
          <w:tcPr>
            <w:tcW w:w="1170" w:type="dxa"/>
          </w:tcPr>
          <w:p w14:paraId="1AC6677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leiden_wnn</w:t>
            </w:r>
          </w:p>
        </w:tc>
        <w:tc>
          <w:tcPr>
            <w:tcW w:w="1170" w:type="dxa"/>
          </w:tcPr>
          <w:p w14:paraId="487BA6D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w:t>
            </w:r>
          </w:p>
        </w:tc>
        <w:tc>
          <w:tcPr>
            <w:tcW w:w="1170" w:type="dxa"/>
          </w:tcPr>
          <w:p w14:paraId="4ABBFD1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170" w:type="dxa"/>
          </w:tcPr>
          <w:p w14:paraId="28EA232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23</w:t>
            </w:r>
          </w:p>
        </w:tc>
        <w:tc>
          <w:tcPr>
            <w:tcW w:w="1170" w:type="dxa"/>
          </w:tcPr>
          <w:p w14:paraId="3953F61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30</w:t>
            </w:r>
          </w:p>
        </w:tc>
        <w:tc>
          <w:tcPr>
            <w:tcW w:w="1170" w:type="dxa"/>
          </w:tcPr>
          <w:p w14:paraId="6514EFE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0.020134</w:t>
            </w:r>
          </w:p>
        </w:tc>
        <w:tc>
          <w:tcPr>
            <w:tcW w:w="1170" w:type="dxa"/>
          </w:tcPr>
          <w:p w14:paraId="6F43598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0.039789</w:t>
            </w:r>
          </w:p>
        </w:tc>
      </w:tr>
      <w:tr w:rsidR="00B77918" w:rsidRPr="00B77918" w14:paraId="1183B14F" w14:textId="77777777" w:rsidTr="00151104">
        <w:trPr>
          <w:jc w:val="center"/>
        </w:trPr>
        <w:tc>
          <w:tcPr>
            <w:tcW w:w="1170" w:type="dxa"/>
          </w:tcPr>
          <w:p w14:paraId="0EFCFB3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rna_leiden vs azimuth_label</w:t>
            </w:r>
          </w:p>
        </w:tc>
        <w:tc>
          <w:tcPr>
            <w:tcW w:w="1170" w:type="dxa"/>
          </w:tcPr>
          <w:p w14:paraId="1A3EA48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rna_leiden</w:t>
            </w:r>
          </w:p>
        </w:tc>
        <w:tc>
          <w:tcPr>
            <w:tcW w:w="1170" w:type="dxa"/>
          </w:tcPr>
          <w:p w14:paraId="703BB62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azimuth_label</w:t>
            </w:r>
          </w:p>
        </w:tc>
        <w:tc>
          <w:tcPr>
            <w:tcW w:w="1170" w:type="dxa"/>
          </w:tcPr>
          <w:p w14:paraId="3DC8A6F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170" w:type="dxa"/>
          </w:tcPr>
          <w:p w14:paraId="55BA9B5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20</w:t>
            </w:r>
          </w:p>
        </w:tc>
        <w:tc>
          <w:tcPr>
            <w:tcW w:w="1170" w:type="dxa"/>
          </w:tcPr>
          <w:p w14:paraId="72E710C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34</w:t>
            </w:r>
          </w:p>
        </w:tc>
        <w:tc>
          <w:tcPr>
            <w:tcW w:w="1170" w:type="dxa"/>
          </w:tcPr>
          <w:p w14:paraId="257AB16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0.180146</w:t>
            </w:r>
          </w:p>
        </w:tc>
        <w:tc>
          <w:tcPr>
            <w:tcW w:w="1170" w:type="dxa"/>
          </w:tcPr>
          <w:p w14:paraId="6EF3940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0.26221</w:t>
            </w:r>
          </w:p>
        </w:tc>
      </w:tr>
      <w:tr w:rsidR="00B77918" w:rsidRPr="00B77918" w14:paraId="419576BE" w14:textId="77777777" w:rsidTr="00151104">
        <w:trPr>
          <w:jc w:val="center"/>
        </w:trPr>
        <w:tc>
          <w:tcPr>
            <w:tcW w:w="1170" w:type="dxa"/>
          </w:tcPr>
          <w:p w14:paraId="0435DD7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leiden_wnn vs azimuth_label</w:t>
            </w:r>
          </w:p>
        </w:tc>
        <w:tc>
          <w:tcPr>
            <w:tcW w:w="1170" w:type="dxa"/>
          </w:tcPr>
          <w:p w14:paraId="217E202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leiden_wnn</w:t>
            </w:r>
          </w:p>
        </w:tc>
        <w:tc>
          <w:tcPr>
            <w:tcW w:w="1170" w:type="dxa"/>
          </w:tcPr>
          <w:p w14:paraId="7EA4770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azimuth_label</w:t>
            </w:r>
          </w:p>
        </w:tc>
        <w:tc>
          <w:tcPr>
            <w:tcW w:w="1170" w:type="dxa"/>
          </w:tcPr>
          <w:p w14:paraId="0676E88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170" w:type="dxa"/>
          </w:tcPr>
          <w:p w14:paraId="1AC2C06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23</w:t>
            </w:r>
          </w:p>
        </w:tc>
        <w:tc>
          <w:tcPr>
            <w:tcW w:w="1170" w:type="dxa"/>
          </w:tcPr>
          <w:p w14:paraId="3C5D29C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34</w:t>
            </w:r>
          </w:p>
        </w:tc>
        <w:tc>
          <w:tcPr>
            <w:tcW w:w="1170" w:type="dxa"/>
          </w:tcPr>
          <w:p w14:paraId="5D19A89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0.065516</w:t>
            </w:r>
          </w:p>
        </w:tc>
        <w:tc>
          <w:tcPr>
            <w:tcW w:w="1170" w:type="dxa"/>
          </w:tcPr>
          <w:p w14:paraId="3C6674A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0.200672</w:t>
            </w:r>
          </w:p>
        </w:tc>
      </w:tr>
      <w:tr w:rsidR="00B77918" w:rsidRPr="00B77918" w14:paraId="47AE84AD" w14:textId="77777777" w:rsidTr="00151104">
        <w:trPr>
          <w:jc w:val="center"/>
        </w:trPr>
        <w:tc>
          <w:tcPr>
            <w:tcW w:w="1170" w:type="dxa"/>
          </w:tcPr>
          <w:p w14:paraId="1DF9359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 vs rna_leiden</w:t>
            </w:r>
          </w:p>
        </w:tc>
        <w:tc>
          <w:tcPr>
            <w:tcW w:w="1170" w:type="dxa"/>
          </w:tcPr>
          <w:p w14:paraId="7C8977C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w:t>
            </w:r>
          </w:p>
        </w:tc>
        <w:tc>
          <w:tcPr>
            <w:tcW w:w="1170" w:type="dxa"/>
          </w:tcPr>
          <w:p w14:paraId="40C6228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rna_leiden</w:t>
            </w:r>
          </w:p>
        </w:tc>
        <w:tc>
          <w:tcPr>
            <w:tcW w:w="1170" w:type="dxa"/>
          </w:tcPr>
          <w:p w14:paraId="0C2694B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170" w:type="dxa"/>
          </w:tcPr>
          <w:p w14:paraId="3F231E5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30</w:t>
            </w:r>
          </w:p>
        </w:tc>
        <w:tc>
          <w:tcPr>
            <w:tcW w:w="1170" w:type="dxa"/>
          </w:tcPr>
          <w:p w14:paraId="4150F4B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20</w:t>
            </w:r>
          </w:p>
        </w:tc>
        <w:tc>
          <w:tcPr>
            <w:tcW w:w="1170" w:type="dxa"/>
          </w:tcPr>
          <w:p w14:paraId="59C8A78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0.029988</w:t>
            </w:r>
          </w:p>
        </w:tc>
        <w:tc>
          <w:tcPr>
            <w:tcW w:w="1170" w:type="dxa"/>
          </w:tcPr>
          <w:p w14:paraId="01D0F0B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0.040883</w:t>
            </w:r>
          </w:p>
        </w:tc>
      </w:tr>
    </w:tbl>
    <w:p w14:paraId="0D24BA8B" w14:textId="77777777" w:rsidR="00B77918" w:rsidRPr="00B77918" w:rsidRDefault="00B77918" w:rsidP="00B77918">
      <w:pPr>
        <w:rPr>
          <w:rFonts w:ascii="Times New Roman" w:hAnsi="Times New Roman" w:cs="Times New Roman"/>
        </w:rPr>
      </w:pPr>
      <w:r w:rsidRPr="00B77918">
        <w:rPr>
          <w:rFonts w:ascii="Times New Roman" w:hAnsi="Times New Roman" w:cs="Times New Roman"/>
          <w:i/>
          <w:color w:val="444444"/>
          <w:sz w:val="17"/>
        </w:rPr>
        <w:t>1 further column in the source file. Source: module3_cluster_concordance.tsv</w:t>
      </w:r>
    </w:p>
    <w:p w14:paraId="55151ADF"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noProof/>
        </w:rPr>
        <w:drawing>
          <wp:inline distT="0" distB="0" distL="0" distR="0" wp14:anchorId="2AA38B36" wp14:editId="7AF42725">
            <wp:extent cx="5943600" cy="4533174"/>
            <wp:effectExtent l="0" t="0" r="0" b="0"/>
            <wp:docPr id="4" name="Picture 4"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number of data&#10;&#10;AI-generated content may be incorrect."/>
                    <pic:cNvPicPr/>
                  </pic:nvPicPr>
                  <pic:blipFill>
                    <a:blip r:embed="rId9"/>
                    <a:stretch>
                      <a:fillRect/>
                    </a:stretch>
                  </pic:blipFill>
                  <pic:spPr>
                    <a:xfrm>
                      <a:off x="0" y="0"/>
                      <a:ext cx="5943600" cy="4533174"/>
                    </a:xfrm>
                    <a:prstGeom prst="rect">
                      <a:avLst/>
                    </a:prstGeom>
                  </pic:spPr>
                </pic:pic>
              </a:graphicData>
            </a:graphic>
          </wp:inline>
        </w:drawing>
      </w:r>
    </w:p>
    <w:p w14:paraId="25B4B594"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i/>
          <w:color w:val="444444"/>
          <w:sz w:val="18"/>
        </w:rPr>
        <w:t>RNA Leiden versus ATAC Leiden, row-normalized</w:t>
      </w:r>
    </w:p>
    <w:tbl>
      <w:tblPr>
        <w:tblStyle w:val="TableGrid"/>
        <w:tblW w:w="0" w:type="auto"/>
        <w:jc w:val="center"/>
        <w:tblLook w:val="04A0" w:firstRow="1" w:lastRow="0" w:firstColumn="1" w:lastColumn="0" w:noHBand="0" w:noVBand="1"/>
      </w:tblPr>
      <w:tblGrid>
        <w:gridCol w:w="1400"/>
        <w:gridCol w:w="1400"/>
        <w:gridCol w:w="1311"/>
        <w:gridCol w:w="1318"/>
        <w:gridCol w:w="1310"/>
        <w:gridCol w:w="1304"/>
        <w:gridCol w:w="1307"/>
      </w:tblGrid>
      <w:tr w:rsidR="00B77918" w:rsidRPr="00B77918" w14:paraId="789870F6" w14:textId="77777777" w:rsidTr="00151104">
        <w:trPr>
          <w:jc w:val="center"/>
        </w:trPr>
        <w:tc>
          <w:tcPr>
            <w:tcW w:w="1337" w:type="dxa"/>
            <w:shd w:val="clear" w:color="auto" w:fill="DCE6F1"/>
          </w:tcPr>
          <w:p w14:paraId="20A6BD11"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qc_metric</w:t>
            </w:r>
          </w:p>
        </w:tc>
        <w:tc>
          <w:tcPr>
            <w:tcW w:w="1337" w:type="dxa"/>
            <w:shd w:val="clear" w:color="auto" w:fill="DCE6F1"/>
          </w:tcPr>
          <w:p w14:paraId="37B007E6"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qc_column</w:t>
            </w:r>
          </w:p>
        </w:tc>
        <w:tc>
          <w:tcPr>
            <w:tcW w:w="1337" w:type="dxa"/>
            <w:shd w:val="clear" w:color="auto" w:fill="DCE6F1"/>
          </w:tcPr>
          <w:p w14:paraId="772BCA68"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labelling</w:t>
            </w:r>
          </w:p>
        </w:tc>
        <w:tc>
          <w:tcPr>
            <w:tcW w:w="1337" w:type="dxa"/>
            <w:shd w:val="clear" w:color="auto" w:fill="DCE6F1"/>
          </w:tcPr>
          <w:p w14:paraId="6600FF66"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eta_squared</w:t>
            </w:r>
          </w:p>
        </w:tc>
        <w:tc>
          <w:tcPr>
            <w:tcW w:w="1337" w:type="dxa"/>
            <w:shd w:val="clear" w:color="auto" w:fill="DCE6F1"/>
          </w:tcPr>
          <w:p w14:paraId="4F52E36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transform</w:t>
            </w:r>
          </w:p>
        </w:tc>
        <w:tc>
          <w:tcPr>
            <w:tcW w:w="1337" w:type="dxa"/>
            <w:shd w:val="clear" w:color="auto" w:fill="DCE6F1"/>
          </w:tcPr>
          <w:p w14:paraId="39EB40E9"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n_nuclei</w:t>
            </w:r>
          </w:p>
        </w:tc>
        <w:tc>
          <w:tcPr>
            <w:tcW w:w="1337" w:type="dxa"/>
            <w:shd w:val="clear" w:color="auto" w:fill="DCE6F1"/>
          </w:tcPr>
          <w:p w14:paraId="1125F799"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5"/>
              </w:rPr>
              <w:t>n_groups</w:t>
            </w:r>
          </w:p>
        </w:tc>
      </w:tr>
      <w:tr w:rsidR="00B77918" w:rsidRPr="00B77918" w14:paraId="2E13839C" w14:textId="77777777" w:rsidTr="00151104">
        <w:trPr>
          <w:jc w:val="center"/>
        </w:trPr>
        <w:tc>
          <w:tcPr>
            <w:tcW w:w="1337" w:type="dxa"/>
          </w:tcPr>
          <w:p w14:paraId="0B32790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log10 nFrags</w:t>
            </w:r>
          </w:p>
        </w:tc>
        <w:tc>
          <w:tcPr>
            <w:tcW w:w="1337" w:type="dxa"/>
          </w:tcPr>
          <w:p w14:paraId="2A5A4F3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nFrags</w:t>
            </w:r>
          </w:p>
        </w:tc>
        <w:tc>
          <w:tcPr>
            <w:tcW w:w="1337" w:type="dxa"/>
          </w:tcPr>
          <w:p w14:paraId="659E085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w:t>
            </w:r>
          </w:p>
        </w:tc>
        <w:tc>
          <w:tcPr>
            <w:tcW w:w="1337" w:type="dxa"/>
          </w:tcPr>
          <w:p w14:paraId="7AB2A1C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0.554629</w:t>
            </w:r>
          </w:p>
        </w:tc>
        <w:tc>
          <w:tcPr>
            <w:tcW w:w="1337" w:type="dxa"/>
          </w:tcPr>
          <w:p w14:paraId="31F56DF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log10</w:t>
            </w:r>
          </w:p>
        </w:tc>
        <w:tc>
          <w:tcPr>
            <w:tcW w:w="1337" w:type="dxa"/>
          </w:tcPr>
          <w:p w14:paraId="2F89782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47D4141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30</w:t>
            </w:r>
          </w:p>
        </w:tc>
      </w:tr>
      <w:tr w:rsidR="00B77918" w:rsidRPr="00B77918" w14:paraId="1C6DD5D6" w14:textId="77777777" w:rsidTr="00151104">
        <w:trPr>
          <w:jc w:val="center"/>
        </w:trPr>
        <w:tc>
          <w:tcPr>
            <w:tcW w:w="1337" w:type="dxa"/>
          </w:tcPr>
          <w:p w14:paraId="3DACB59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log10 nFrags</w:t>
            </w:r>
          </w:p>
        </w:tc>
        <w:tc>
          <w:tcPr>
            <w:tcW w:w="1337" w:type="dxa"/>
          </w:tcPr>
          <w:p w14:paraId="25BE308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nFrags</w:t>
            </w:r>
          </w:p>
        </w:tc>
        <w:tc>
          <w:tcPr>
            <w:tcW w:w="1337" w:type="dxa"/>
          </w:tcPr>
          <w:p w14:paraId="0C577A8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rna_leiden</w:t>
            </w:r>
          </w:p>
        </w:tc>
        <w:tc>
          <w:tcPr>
            <w:tcW w:w="1337" w:type="dxa"/>
          </w:tcPr>
          <w:p w14:paraId="1303CF8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0.10157</w:t>
            </w:r>
          </w:p>
        </w:tc>
        <w:tc>
          <w:tcPr>
            <w:tcW w:w="1337" w:type="dxa"/>
          </w:tcPr>
          <w:p w14:paraId="143D430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log10</w:t>
            </w:r>
          </w:p>
        </w:tc>
        <w:tc>
          <w:tcPr>
            <w:tcW w:w="1337" w:type="dxa"/>
          </w:tcPr>
          <w:p w14:paraId="0D40A32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03C0F46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20</w:t>
            </w:r>
          </w:p>
        </w:tc>
      </w:tr>
      <w:tr w:rsidR="00B77918" w:rsidRPr="00B77918" w14:paraId="19378297" w14:textId="77777777" w:rsidTr="00151104">
        <w:trPr>
          <w:jc w:val="center"/>
        </w:trPr>
        <w:tc>
          <w:tcPr>
            <w:tcW w:w="1337" w:type="dxa"/>
          </w:tcPr>
          <w:p w14:paraId="3CB13D3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log10 ReadsInTSS</w:t>
            </w:r>
          </w:p>
        </w:tc>
        <w:tc>
          <w:tcPr>
            <w:tcW w:w="1337" w:type="dxa"/>
          </w:tcPr>
          <w:p w14:paraId="76867C4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ReadsInTSS</w:t>
            </w:r>
          </w:p>
        </w:tc>
        <w:tc>
          <w:tcPr>
            <w:tcW w:w="1337" w:type="dxa"/>
          </w:tcPr>
          <w:p w14:paraId="205BE34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w:t>
            </w:r>
          </w:p>
        </w:tc>
        <w:tc>
          <w:tcPr>
            <w:tcW w:w="1337" w:type="dxa"/>
          </w:tcPr>
          <w:p w14:paraId="002AE8F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0.498693</w:t>
            </w:r>
          </w:p>
        </w:tc>
        <w:tc>
          <w:tcPr>
            <w:tcW w:w="1337" w:type="dxa"/>
          </w:tcPr>
          <w:p w14:paraId="093750B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log10</w:t>
            </w:r>
          </w:p>
        </w:tc>
        <w:tc>
          <w:tcPr>
            <w:tcW w:w="1337" w:type="dxa"/>
          </w:tcPr>
          <w:p w14:paraId="2A1FB32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1D27C18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30</w:t>
            </w:r>
          </w:p>
        </w:tc>
      </w:tr>
      <w:tr w:rsidR="00B77918" w:rsidRPr="00B77918" w14:paraId="3E85EAAE" w14:textId="77777777" w:rsidTr="00151104">
        <w:trPr>
          <w:jc w:val="center"/>
        </w:trPr>
        <w:tc>
          <w:tcPr>
            <w:tcW w:w="1337" w:type="dxa"/>
          </w:tcPr>
          <w:p w14:paraId="01999B5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log10 ReadsInTSS</w:t>
            </w:r>
          </w:p>
        </w:tc>
        <w:tc>
          <w:tcPr>
            <w:tcW w:w="1337" w:type="dxa"/>
          </w:tcPr>
          <w:p w14:paraId="7CE8DE1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ReadsInTSS</w:t>
            </w:r>
          </w:p>
        </w:tc>
        <w:tc>
          <w:tcPr>
            <w:tcW w:w="1337" w:type="dxa"/>
          </w:tcPr>
          <w:p w14:paraId="0C9DD2A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rna_leiden</w:t>
            </w:r>
          </w:p>
        </w:tc>
        <w:tc>
          <w:tcPr>
            <w:tcW w:w="1337" w:type="dxa"/>
          </w:tcPr>
          <w:p w14:paraId="1DA6D1F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0.174031</w:t>
            </w:r>
          </w:p>
        </w:tc>
        <w:tc>
          <w:tcPr>
            <w:tcW w:w="1337" w:type="dxa"/>
          </w:tcPr>
          <w:p w14:paraId="23D0E7C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log10</w:t>
            </w:r>
          </w:p>
        </w:tc>
        <w:tc>
          <w:tcPr>
            <w:tcW w:w="1337" w:type="dxa"/>
          </w:tcPr>
          <w:p w14:paraId="2057FC2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6A72507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20</w:t>
            </w:r>
          </w:p>
        </w:tc>
      </w:tr>
      <w:tr w:rsidR="00B77918" w:rsidRPr="00B77918" w14:paraId="17D39B78" w14:textId="77777777" w:rsidTr="00151104">
        <w:trPr>
          <w:jc w:val="center"/>
        </w:trPr>
        <w:tc>
          <w:tcPr>
            <w:tcW w:w="1337" w:type="dxa"/>
          </w:tcPr>
          <w:p w14:paraId="3288DBF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DoubletEnrichment</w:t>
            </w:r>
          </w:p>
        </w:tc>
        <w:tc>
          <w:tcPr>
            <w:tcW w:w="1337" w:type="dxa"/>
          </w:tcPr>
          <w:p w14:paraId="476A985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DoubletEnrichment</w:t>
            </w:r>
          </w:p>
        </w:tc>
        <w:tc>
          <w:tcPr>
            <w:tcW w:w="1337" w:type="dxa"/>
          </w:tcPr>
          <w:p w14:paraId="5F645CF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w:t>
            </w:r>
          </w:p>
        </w:tc>
        <w:tc>
          <w:tcPr>
            <w:tcW w:w="1337" w:type="dxa"/>
          </w:tcPr>
          <w:p w14:paraId="284F2B2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0.161544</w:t>
            </w:r>
          </w:p>
        </w:tc>
        <w:tc>
          <w:tcPr>
            <w:tcW w:w="1337" w:type="dxa"/>
          </w:tcPr>
          <w:p w14:paraId="00372C3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none</w:t>
            </w:r>
          </w:p>
        </w:tc>
        <w:tc>
          <w:tcPr>
            <w:tcW w:w="1337" w:type="dxa"/>
          </w:tcPr>
          <w:p w14:paraId="5FA82AE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5182892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30</w:t>
            </w:r>
          </w:p>
        </w:tc>
      </w:tr>
      <w:tr w:rsidR="00B77918" w:rsidRPr="00B77918" w14:paraId="7587310B" w14:textId="77777777" w:rsidTr="00151104">
        <w:trPr>
          <w:jc w:val="center"/>
        </w:trPr>
        <w:tc>
          <w:tcPr>
            <w:tcW w:w="1337" w:type="dxa"/>
          </w:tcPr>
          <w:p w14:paraId="2C00145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lastRenderedPageBreak/>
              <w:t>DoubletEnrichment</w:t>
            </w:r>
          </w:p>
        </w:tc>
        <w:tc>
          <w:tcPr>
            <w:tcW w:w="1337" w:type="dxa"/>
          </w:tcPr>
          <w:p w14:paraId="1A1883C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DoubletEnrichment</w:t>
            </w:r>
          </w:p>
        </w:tc>
        <w:tc>
          <w:tcPr>
            <w:tcW w:w="1337" w:type="dxa"/>
          </w:tcPr>
          <w:p w14:paraId="39852C8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rna_leiden</w:t>
            </w:r>
          </w:p>
        </w:tc>
        <w:tc>
          <w:tcPr>
            <w:tcW w:w="1337" w:type="dxa"/>
          </w:tcPr>
          <w:p w14:paraId="450A4E2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0.051957</w:t>
            </w:r>
          </w:p>
        </w:tc>
        <w:tc>
          <w:tcPr>
            <w:tcW w:w="1337" w:type="dxa"/>
          </w:tcPr>
          <w:p w14:paraId="3765D5F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none</w:t>
            </w:r>
          </w:p>
        </w:tc>
        <w:tc>
          <w:tcPr>
            <w:tcW w:w="1337" w:type="dxa"/>
          </w:tcPr>
          <w:p w14:paraId="58CF02E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18AE65E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20</w:t>
            </w:r>
          </w:p>
        </w:tc>
      </w:tr>
      <w:tr w:rsidR="00B77918" w:rsidRPr="00B77918" w14:paraId="44D276CF" w14:textId="77777777" w:rsidTr="00151104">
        <w:trPr>
          <w:jc w:val="center"/>
        </w:trPr>
        <w:tc>
          <w:tcPr>
            <w:tcW w:w="1337" w:type="dxa"/>
          </w:tcPr>
          <w:p w14:paraId="5E7157B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PromoterRatio</w:t>
            </w:r>
          </w:p>
        </w:tc>
        <w:tc>
          <w:tcPr>
            <w:tcW w:w="1337" w:type="dxa"/>
          </w:tcPr>
          <w:p w14:paraId="3D3E4CA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PromoterRatio</w:t>
            </w:r>
          </w:p>
        </w:tc>
        <w:tc>
          <w:tcPr>
            <w:tcW w:w="1337" w:type="dxa"/>
          </w:tcPr>
          <w:p w14:paraId="1A0FD90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atac_leiden</w:t>
            </w:r>
          </w:p>
        </w:tc>
        <w:tc>
          <w:tcPr>
            <w:tcW w:w="1337" w:type="dxa"/>
          </w:tcPr>
          <w:p w14:paraId="6D06592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0.141002</w:t>
            </w:r>
          </w:p>
        </w:tc>
        <w:tc>
          <w:tcPr>
            <w:tcW w:w="1337" w:type="dxa"/>
          </w:tcPr>
          <w:p w14:paraId="27981FE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none</w:t>
            </w:r>
          </w:p>
        </w:tc>
        <w:tc>
          <w:tcPr>
            <w:tcW w:w="1337" w:type="dxa"/>
          </w:tcPr>
          <w:p w14:paraId="120D248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1D403F8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30</w:t>
            </w:r>
          </w:p>
        </w:tc>
      </w:tr>
      <w:tr w:rsidR="00B77918" w:rsidRPr="00B77918" w14:paraId="24D54749" w14:textId="77777777" w:rsidTr="00151104">
        <w:trPr>
          <w:jc w:val="center"/>
        </w:trPr>
        <w:tc>
          <w:tcPr>
            <w:tcW w:w="1337" w:type="dxa"/>
          </w:tcPr>
          <w:p w14:paraId="5924CFB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PromoterRatio</w:t>
            </w:r>
          </w:p>
        </w:tc>
        <w:tc>
          <w:tcPr>
            <w:tcW w:w="1337" w:type="dxa"/>
          </w:tcPr>
          <w:p w14:paraId="7440BA1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PromoterRatio</w:t>
            </w:r>
          </w:p>
        </w:tc>
        <w:tc>
          <w:tcPr>
            <w:tcW w:w="1337" w:type="dxa"/>
          </w:tcPr>
          <w:p w14:paraId="72305A7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rna_leiden</w:t>
            </w:r>
          </w:p>
        </w:tc>
        <w:tc>
          <w:tcPr>
            <w:tcW w:w="1337" w:type="dxa"/>
          </w:tcPr>
          <w:p w14:paraId="440CBF4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0.094058</w:t>
            </w:r>
          </w:p>
        </w:tc>
        <w:tc>
          <w:tcPr>
            <w:tcW w:w="1337" w:type="dxa"/>
          </w:tcPr>
          <w:p w14:paraId="381324D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none</w:t>
            </w:r>
          </w:p>
        </w:tc>
        <w:tc>
          <w:tcPr>
            <w:tcW w:w="1337" w:type="dxa"/>
          </w:tcPr>
          <w:p w14:paraId="517842D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21978</w:t>
            </w:r>
          </w:p>
        </w:tc>
        <w:tc>
          <w:tcPr>
            <w:tcW w:w="1337" w:type="dxa"/>
          </w:tcPr>
          <w:p w14:paraId="0DA8EE9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5"/>
              </w:rPr>
              <w:t>20</w:t>
            </w:r>
          </w:p>
        </w:tc>
      </w:tr>
    </w:tbl>
    <w:p w14:paraId="251C72BE" w14:textId="77777777" w:rsidR="00B77918" w:rsidRPr="00B77918" w:rsidRDefault="00B77918" w:rsidP="00B77918">
      <w:pPr>
        <w:rPr>
          <w:rFonts w:ascii="Times New Roman" w:hAnsi="Times New Roman" w:cs="Times New Roman"/>
        </w:rPr>
      </w:pPr>
      <w:r w:rsidRPr="00B77918">
        <w:rPr>
          <w:rFonts w:ascii="Times New Roman" w:hAnsi="Times New Roman" w:cs="Times New Roman"/>
          <w:i/>
          <w:color w:val="444444"/>
          <w:sz w:val="17"/>
        </w:rPr>
        <w:t>Source: module3_qc_association.tsv</w:t>
      </w:r>
    </w:p>
    <w:p w14:paraId="4F6AB7D7"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noProof/>
        </w:rPr>
        <w:drawing>
          <wp:inline distT="0" distB="0" distL="0" distR="0" wp14:anchorId="76D83497" wp14:editId="038EC183">
            <wp:extent cx="5943600" cy="2889185"/>
            <wp:effectExtent l="0" t="0" r="0" b="0"/>
            <wp:docPr id="5" name="Picture 5"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blue and orange bars&#10;&#10;AI-generated content may be incorrect."/>
                    <pic:cNvPicPr/>
                  </pic:nvPicPr>
                  <pic:blipFill>
                    <a:blip r:embed="rId10"/>
                    <a:stretch>
                      <a:fillRect/>
                    </a:stretch>
                  </pic:blipFill>
                  <pic:spPr>
                    <a:xfrm>
                      <a:off x="0" y="0"/>
                      <a:ext cx="5943600" cy="2889185"/>
                    </a:xfrm>
                    <a:prstGeom prst="rect">
                      <a:avLst/>
                    </a:prstGeom>
                  </pic:spPr>
                </pic:pic>
              </a:graphicData>
            </a:graphic>
          </wp:inline>
        </w:drawing>
      </w:r>
    </w:p>
    <w:p w14:paraId="4C1BA49F"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i/>
          <w:color w:val="444444"/>
          <w:sz w:val="18"/>
        </w:rPr>
        <w:t>Eta squared of ATAC QC metrics under ATAC Leiden versus RNA Leiden</w:t>
      </w:r>
    </w:p>
    <w:p w14:paraId="5B8748B8"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Finding.</w:t>
      </w:r>
      <w:r w:rsidRPr="00B77918">
        <w:rPr>
          <w:rFonts w:ascii="Times New Roman" w:hAnsi="Times New Roman" w:cs="Times New Roman"/>
        </w:rPr>
        <w:t xml:space="preserve"> ATAC Leiden is near chance against Azimuth cell type. The same clustering tracks sequencing depth (log10 fragment counts and log10 reads in TSS). RNA Leiden does not. On this product the ATAC gene-activity view encodes depth, not cell identity.</w:t>
      </w:r>
    </w:p>
    <w:p w14:paraId="6FFD9654"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Weighted nearest neighbor concordance</w:t>
      </w:r>
    </w:p>
    <w:p w14:paraId="6E7D0C66"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noProof/>
        </w:rPr>
        <w:drawing>
          <wp:inline distT="0" distB="0" distL="0" distR="0" wp14:anchorId="7C531373" wp14:editId="16A276DD">
            <wp:extent cx="5943600" cy="2471286"/>
            <wp:effectExtent l="0" t="0" r="0" b="0"/>
            <wp:docPr id="6" name="Picture 6"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map&#10;&#10;AI-generated content may be incorrect."/>
                    <pic:cNvPicPr/>
                  </pic:nvPicPr>
                  <pic:blipFill>
                    <a:blip r:embed="rId11"/>
                    <a:stretch>
                      <a:fillRect/>
                    </a:stretch>
                  </pic:blipFill>
                  <pic:spPr>
                    <a:xfrm>
                      <a:off x="0" y="0"/>
                      <a:ext cx="5943600" cy="2471286"/>
                    </a:xfrm>
                    <a:prstGeom prst="rect">
                      <a:avLst/>
                    </a:prstGeom>
                  </pic:spPr>
                </pic:pic>
              </a:graphicData>
            </a:graphic>
          </wp:inline>
        </w:drawing>
      </w:r>
    </w:p>
    <w:p w14:paraId="4E5196DF"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i/>
          <w:color w:val="444444"/>
          <w:sz w:val="18"/>
        </w:rPr>
        <w:t>WNN UMAP colored by Azimuth label and by ATAC Leiden</w:t>
      </w:r>
    </w:p>
    <w:p w14:paraId="2B15BF8E"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Read the WNN rows of </w:t>
      </w:r>
      <w:r w:rsidRPr="00B77918">
        <w:rPr>
          <w:rFonts w:ascii="Times New Roman" w:hAnsi="Times New Roman" w:cs="Times New Roman"/>
          <w:color w:val="1A3E6E"/>
          <w:sz w:val="19"/>
        </w:rPr>
        <w:t>module3_cluster_concordance.tsv</w:t>
      </w:r>
      <w:r w:rsidRPr="00B77918">
        <w:rPr>
          <w:rFonts w:ascii="Times New Roman" w:hAnsi="Times New Roman" w:cs="Times New Roman"/>
        </w:rPr>
        <w:t>. WNN agrees with RNA Leiden more than with ATAC Leiden, and it agrees with Azimuth less than RNA Leiden does. The joint embedding that looks successful is leaning on RNA.</w:t>
      </w:r>
    </w:p>
    <w:p w14:paraId="7C627C8E"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lastRenderedPageBreak/>
        <w:t>Gene bridge and focus genes</w:t>
      </w:r>
    </w:p>
    <w:p w14:paraId="695148D9"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noProof/>
        </w:rPr>
        <w:drawing>
          <wp:inline distT="0" distB="0" distL="0" distR="0" wp14:anchorId="10C0ADE7" wp14:editId="71B6BF91">
            <wp:extent cx="5943600" cy="5310266"/>
            <wp:effectExtent l="0" t="0" r="0" b="0"/>
            <wp:docPr id="7" name="Picture 7"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 of dots&#10;&#10;AI-generated content may be incorrect."/>
                    <pic:cNvPicPr/>
                  </pic:nvPicPr>
                  <pic:blipFill>
                    <a:blip r:embed="rId12"/>
                    <a:stretch>
                      <a:fillRect/>
                    </a:stretch>
                  </pic:blipFill>
                  <pic:spPr>
                    <a:xfrm>
                      <a:off x="0" y="0"/>
                      <a:ext cx="5943600" cy="5310266"/>
                    </a:xfrm>
                    <a:prstGeom prst="rect">
                      <a:avLst/>
                    </a:prstGeom>
                  </pic:spPr>
                </pic:pic>
              </a:graphicData>
            </a:graphic>
          </wp:inline>
        </w:drawing>
      </w:r>
    </w:p>
    <w:p w14:paraId="6E649102"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i/>
          <w:color w:val="444444"/>
          <w:sz w:val="18"/>
        </w:rPr>
        <w:t>Scatter of RNA vs ATAC feature dispersion for shared genes in the MOFA input space</w:t>
      </w:r>
    </w:p>
    <w:tbl>
      <w:tblPr>
        <w:tblStyle w:val="TableGrid"/>
        <w:tblW w:w="0" w:type="auto"/>
        <w:jc w:val="center"/>
        <w:tblLook w:val="04A0" w:firstRow="1" w:lastRow="0" w:firstColumn="1" w:lastColumn="0" w:noHBand="0" w:noVBand="1"/>
      </w:tblPr>
      <w:tblGrid>
        <w:gridCol w:w="1870"/>
        <w:gridCol w:w="1871"/>
        <w:gridCol w:w="1869"/>
        <w:gridCol w:w="1870"/>
        <w:gridCol w:w="1870"/>
      </w:tblGrid>
      <w:tr w:rsidR="00B77918" w:rsidRPr="00B77918" w14:paraId="050DFCA9" w14:textId="77777777" w:rsidTr="00151104">
        <w:trPr>
          <w:jc w:val="center"/>
        </w:trPr>
        <w:tc>
          <w:tcPr>
            <w:tcW w:w="1872" w:type="dxa"/>
            <w:shd w:val="clear" w:color="auto" w:fill="DCE6F1"/>
          </w:tcPr>
          <w:p w14:paraId="231BF450"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gene_symbol</w:t>
            </w:r>
          </w:p>
        </w:tc>
        <w:tc>
          <w:tcPr>
            <w:tcW w:w="1872" w:type="dxa"/>
            <w:shd w:val="clear" w:color="auto" w:fill="DCE6F1"/>
          </w:tcPr>
          <w:p w14:paraId="02785AD6"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scope</w:t>
            </w:r>
          </w:p>
        </w:tc>
        <w:tc>
          <w:tcPr>
            <w:tcW w:w="1872" w:type="dxa"/>
            <w:shd w:val="clear" w:color="auto" w:fill="DCE6F1"/>
          </w:tcPr>
          <w:p w14:paraId="5E4178F1"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n_nuclei</w:t>
            </w:r>
          </w:p>
        </w:tc>
        <w:tc>
          <w:tcPr>
            <w:tcW w:w="1872" w:type="dxa"/>
            <w:shd w:val="clear" w:color="auto" w:fill="DCE6F1"/>
          </w:tcPr>
          <w:p w14:paraId="10C98E0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pearson_r</w:t>
            </w:r>
          </w:p>
        </w:tc>
        <w:tc>
          <w:tcPr>
            <w:tcW w:w="1872" w:type="dxa"/>
            <w:shd w:val="clear" w:color="auto" w:fill="DCE6F1"/>
          </w:tcPr>
          <w:p w14:paraId="1F5B1A55"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note</w:t>
            </w:r>
          </w:p>
        </w:tc>
      </w:tr>
      <w:tr w:rsidR="00B77918" w:rsidRPr="00B77918" w14:paraId="50D2896C" w14:textId="77777777" w:rsidTr="00151104">
        <w:trPr>
          <w:jc w:val="center"/>
        </w:trPr>
        <w:tc>
          <w:tcPr>
            <w:tcW w:w="1872" w:type="dxa"/>
          </w:tcPr>
          <w:p w14:paraId="04A2815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AGER</w:t>
            </w:r>
          </w:p>
        </w:tc>
        <w:tc>
          <w:tcPr>
            <w:tcW w:w="1872" w:type="dxa"/>
          </w:tcPr>
          <w:p w14:paraId="6948A4F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global</w:t>
            </w:r>
          </w:p>
        </w:tc>
        <w:tc>
          <w:tcPr>
            <w:tcW w:w="1872" w:type="dxa"/>
          </w:tcPr>
          <w:p w14:paraId="22ECB68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c>
          <w:tcPr>
            <w:tcW w:w="1872" w:type="dxa"/>
          </w:tcPr>
          <w:p w14:paraId="6E24028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-0.006238</w:t>
            </w:r>
          </w:p>
        </w:tc>
        <w:tc>
          <w:tcPr>
            <w:tcW w:w="1872" w:type="dxa"/>
          </w:tcPr>
          <w:p w14:paraId="76811369" w14:textId="77777777" w:rsidR="00B77918" w:rsidRPr="00B77918" w:rsidRDefault="00B77918" w:rsidP="00151104">
            <w:pPr>
              <w:rPr>
                <w:rFonts w:ascii="Times New Roman" w:hAnsi="Times New Roman" w:cs="Times New Roman"/>
              </w:rPr>
            </w:pPr>
          </w:p>
        </w:tc>
      </w:tr>
      <w:tr w:rsidR="00B77918" w:rsidRPr="00B77918" w14:paraId="6CB4D966" w14:textId="77777777" w:rsidTr="00151104">
        <w:trPr>
          <w:jc w:val="center"/>
        </w:trPr>
        <w:tc>
          <w:tcPr>
            <w:tcW w:w="1872" w:type="dxa"/>
          </w:tcPr>
          <w:p w14:paraId="37EECBD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SCGB1A1</w:t>
            </w:r>
          </w:p>
        </w:tc>
        <w:tc>
          <w:tcPr>
            <w:tcW w:w="1872" w:type="dxa"/>
          </w:tcPr>
          <w:p w14:paraId="5F0E447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global</w:t>
            </w:r>
          </w:p>
        </w:tc>
        <w:tc>
          <w:tcPr>
            <w:tcW w:w="1872" w:type="dxa"/>
          </w:tcPr>
          <w:p w14:paraId="4164F81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c>
          <w:tcPr>
            <w:tcW w:w="1872" w:type="dxa"/>
          </w:tcPr>
          <w:p w14:paraId="598DB3E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0.001598</w:t>
            </w:r>
          </w:p>
        </w:tc>
        <w:tc>
          <w:tcPr>
            <w:tcW w:w="1872" w:type="dxa"/>
          </w:tcPr>
          <w:p w14:paraId="2C3AF424" w14:textId="77777777" w:rsidR="00B77918" w:rsidRPr="00B77918" w:rsidRDefault="00B77918" w:rsidP="00151104">
            <w:pPr>
              <w:rPr>
                <w:rFonts w:ascii="Times New Roman" w:hAnsi="Times New Roman" w:cs="Times New Roman"/>
              </w:rPr>
            </w:pPr>
          </w:p>
        </w:tc>
      </w:tr>
      <w:tr w:rsidR="00B77918" w:rsidRPr="00B77918" w14:paraId="52DB5F0A" w14:textId="77777777" w:rsidTr="00151104">
        <w:trPr>
          <w:jc w:val="center"/>
        </w:trPr>
        <w:tc>
          <w:tcPr>
            <w:tcW w:w="1872" w:type="dxa"/>
          </w:tcPr>
          <w:p w14:paraId="7105137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LUM</w:t>
            </w:r>
          </w:p>
        </w:tc>
        <w:tc>
          <w:tcPr>
            <w:tcW w:w="1872" w:type="dxa"/>
          </w:tcPr>
          <w:p w14:paraId="6AC8AE5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global</w:t>
            </w:r>
          </w:p>
        </w:tc>
        <w:tc>
          <w:tcPr>
            <w:tcW w:w="1872" w:type="dxa"/>
          </w:tcPr>
          <w:p w14:paraId="2FD5586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c>
          <w:tcPr>
            <w:tcW w:w="1872" w:type="dxa"/>
          </w:tcPr>
          <w:p w14:paraId="26AC8F8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-0.007713</w:t>
            </w:r>
          </w:p>
        </w:tc>
        <w:tc>
          <w:tcPr>
            <w:tcW w:w="1872" w:type="dxa"/>
          </w:tcPr>
          <w:p w14:paraId="450B0569" w14:textId="77777777" w:rsidR="00B77918" w:rsidRPr="00B77918" w:rsidRDefault="00B77918" w:rsidP="00151104">
            <w:pPr>
              <w:rPr>
                <w:rFonts w:ascii="Times New Roman" w:hAnsi="Times New Roman" w:cs="Times New Roman"/>
              </w:rPr>
            </w:pPr>
          </w:p>
        </w:tc>
      </w:tr>
      <w:tr w:rsidR="00B77918" w:rsidRPr="00B77918" w14:paraId="6141467B" w14:textId="77777777" w:rsidTr="00151104">
        <w:trPr>
          <w:jc w:val="center"/>
        </w:trPr>
        <w:tc>
          <w:tcPr>
            <w:tcW w:w="1872" w:type="dxa"/>
          </w:tcPr>
          <w:p w14:paraId="44D9F0E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ACTA2</w:t>
            </w:r>
          </w:p>
        </w:tc>
        <w:tc>
          <w:tcPr>
            <w:tcW w:w="1872" w:type="dxa"/>
          </w:tcPr>
          <w:p w14:paraId="77FC9C5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global</w:t>
            </w:r>
          </w:p>
        </w:tc>
        <w:tc>
          <w:tcPr>
            <w:tcW w:w="1872" w:type="dxa"/>
          </w:tcPr>
          <w:p w14:paraId="3105E90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21978</w:t>
            </w:r>
          </w:p>
        </w:tc>
        <w:tc>
          <w:tcPr>
            <w:tcW w:w="1872" w:type="dxa"/>
          </w:tcPr>
          <w:p w14:paraId="4AC9995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0.002102</w:t>
            </w:r>
          </w:p>
        </w:tc>
        <w:tc>
          <w:tcPr>
            <w:tcW w:w="1872" w:type="dxa"/>
          </w:tcPr>
          <w:p w14:paraId="330BA838" w14:textId="77777777" w:rsidR="00B77918" w:rsidRPr="00B77918" w:rsidRDefault="00B77918" w:rsidP="00151104">
            <w:pPr>
              <w:rPr>
                <w:rFonts w:ascii="Times New Roman" w:hAnsi="Times New Roman" w:cs="Times New Roman"/>
              </w:rPr>
            </w:pPr>
          </w:p>
        </w:tc>
      </w:tr>
      <w:tr w:rsidR="00B77918" w:rsidRPr="00B77918" w14:paraId="0AF71375" w14:textId="77777777" w:rsidTr="00151104">
        <w:trPr>
          <w:jc w:val="center"/>
        </w:trPr>
        <w:tc>
          <w:tcPr>
            <w:tcW w:w="1872" w:type="dxa"/>
          </w:tcPr>
          <w:p w14:paraId="2039CA3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AGER</w:t>
            </w:r>
          </w:p>
        </w:tc>
        <w:tc>
          <w:tcPr>
            <w:tcW w:w="1872" w:type="dxa"/>
          </w:tcPr>
          <w:p w14:paraId="6410025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within_cell_type</w:t>
            </w:r>
          </w:p>
        </w:tc>
        <w:tc>
          <w:tcPr>
            <w:tcW w:w="1872" w:type="dxa"/>
          </w:tcPr>
          <w:p w14:paraId="5536935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2210</w:t>
            </w:r>
          </w:p>
        </w:tc>
        <w:tc>
          <w:tcPr>
            <w:tcW w:w="1872" w:type="dxa"/>
          </w:tcPr>
          <w:p w14:paraId="29BEE18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-0.030638</w:t>
            </w:r>
          </w:p>
        </w:tc>
        <w:tc>
          <w:tcPr>
            <w:tcW w:w="1872" w:type="dxa"/>
          </w:tcPr>
          <w:p w14:paraId="1ADF7E25" w14:textId="77777777" w:rsidR="00B77918" w:rsidRPr="00B77918" w:rsidRDefault="00B77918" w:rsidP="00151104">
            <w:pPr>
              <w:rPr>
                <w:rFonts w:ascii="Times New Roman" w:hAnsi="Times New Roman" w:cs="Times New Roman"/>
              </w:rPr>
            </w:pPr>
          </w:p>
        </w:tc>
      </w:tr>
      <w:tr w:rsidR="00B77918" w:rsidRPr="00B77918" w14:paraId="09C2112A" w14:textId="77777777" w:rsidTr="00151104">
        <w:trPr>
          <w:jc w:val="center"/>
        </w:trPr>
        <w:tc>
          <w:tcPr>
            <w:tcW w:w="1872" w:type="dxa"/>
          </w:tcPr>
          <w:p w14:paraId="43B223F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SCGB1A1</w:t>
            </w:r>
          </w:p>
        </w:tc>
        <w:tc>
          <w:tcPr>
            <w:tcW w:w="1872" w:type="dxa"/>
          </w:tcPr>
          <w:p w14:paraId="241A272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within_cell_type</w:t>
            </w:r>
          </w:p>
        </w:tc>
        <w:tc>
          <w:tcPr>
            <w:tcW w:w="1872" w:type="dxa"/>
          </w:tcPr>
          <w:p w14:paraId="1A5DB38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37</w:t>
            </w:r>
          </w:p>
        </w:tc>
        <w:tc>
          <w:tcPr>
            <w:tcW w:w="1872" w:type="dxa"/>
          </w:tcPr>
          <w:p w14:paraId="17BD152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0.108276</w:t>
            </w:r>
          </w:p>
        </w:tc>
        <w:tc>
          <w:tcPr>
            <w:tcW w:w="1872" w:type="dxa"/>
          </w:tcPr>
          <w:p w14:paraId="4BE0CA6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n_nuclei=37 below threshold 50; correlation not interpretable</w:t>
            </w:r>
          </w:p>
        </w:tc>
      </w:tr>
      <w:tr w:rsidR="00B77918" w:rsidRPr="00B77918" w14:paraId="6DB58407" w14:textId="77777777" w:rsidTr="00151104">
        <w:trPr>
          <w:jc w:val="center"/>
        </w:trPr>
        <w:tc>
          <w:tcPr>
            <w:tcW w:w="1872" w:type="dxa"/>
          </w:tcPr>
          <w:p w14:paraId="751924C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LUM</w:t>
            </w:r>
          </w:p>
        </w:tc>
        <w:tc>
          <w:tcPr>
            <w:tcW w:w="1872" w:type="dxa"/>
          </w:tcPr>
          <w:p w14:paraId="60A448F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within_cell_type</w:t>
            </w:r>
          </w:p>
        </w:tc>
        <w:tc>
          <w:tcPr>
            <w:tcW w:w="1872" w:type="dxa"/>
          </w:tcPr>
          <w:p w14:paraId="199137B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1750</w:t>
            </w:r>
          </w:p>
        </w:tc>
        <w:tc>
          <w:tcPr>
            <w:tcW w:w="1872" w:type="dxa"/>
          </w:tcPr>
          <w:p w14:paraId="7313B34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-0.035931</w:t>
            </w:r>
          </w:p>
        </w:tc>
        <w:tc>
          <w:tcPr>
            <w:tcW w:w="1872" w:type="dxa"/>
          </w:tcPr>
          <w:p w14:paraId="55D1D3C1" w14:textId="77777777" w:rsidR="00B77918" w:rsidRPr="00B77918" w:rsidRDefault="00B77918" w:rsidP="00151104">
            <w:pPr>
              <w:rPr>
                <w:rFonts w:ascii="Times New Roman" w:hAnsi="Times New Roman" w:cs="Times New Roman"/>
              </w:rPr>
            </w:pPr>
          </w:p>
        </w:tc>
      </w:tr>
      <w:tr w:rsidR="00B77918" w:rsidRPr="00B77918" w14:paraId="6ACEFB84" w14:textId="77777777" w:rsidTr="00151104">
        <w:trPr>
          <w:jc w:val="center"/>
        </w:trPr>
        <w:tc>
          <w:tcPr>
            <w:tcW w:w="1872" w:type="dxa"/>
          </w:tcPr>
          <w:p w14:paraId="6796F67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lastRenderedPageBreak/>
              <w:t>ACTA2</w:t>
            </w:r>
          </w:p>
        </w:tc>
        <w:tc>
          <w:tcPr>
            <w:tcW w:w="1872" w:type="dxa"/>
          </w:tcPr>
          <w:p w14:paraId="257AA2C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within_cell_type</w:t>
            </w:r>
          </w:p>
        </w:tc>
        <w:tc>
          <w:tcPr>
            <w:tcW w:w="1872" w:type="dxa"/>
          </w:tcPr>
          <w:p w14:paraId="6CC37AD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343</w:t>
            </w:r>
          </w:p>
        </w:tc>
        <w:tc>
          <w:tcPr>
            <w:tcW w:w="1872" w:type="dxa"/>
          </w:tcPr>
          <w:p w14:paraId="224B8B8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0.04819</w:t>
            </w:r>
          </w:p>
        </w:tc>
        <w:tc>
          <w:tcPr>
            <w:tcW w:w="1872" w:type="dxa"/>
          </w:tcPr>
          <w:p w14:paraId="47358227" w14:textId="77777777" w:rsidR="00B77918" w:rsidRPr="00B77918" w:rsidRDefault="00B77918" w:rsidP="00151104">
            <w:pPr>
              <w:rPr>
                <w:rFonts w:ascii="Times New Roman" w:hAnsi="Times New Roman" w:cs="Times New Roman"/>
              </w:rPr>
            </w:pPr>
          </w:p>
        </w:tc>
      </w:tr>
    </w:tbl>
    <w:p w14:paraId="2193DFA1" w14:textId="77777777" w:rsidR="00B77918" w:rsidRPr="00B77918" w:rsidRDefault="00B77918" w:rsidP="00B77918">
      <w:pPr>
        <w:rPr>
          <w:rFonts w:ascii="Times New Roman" w:hAnsi="Times New Roman" w:cs="Times New Roman"/>
        </w:rPr>
      </w:pPr>
      <w:r w:rsidRPr="00B77918">
        <w:rPr>
          <w:rFonts w:ascii="Times New Roman" w:hAnsi="Times New Roman" w:cs="Times New Roman"/>
          <w:i/>
          <w:color w:val="444444"/>
          <w:sz w:val="17"/>
        </w:rPr>
        <w:t>5 further columns in the source file. Source: module3_focus_gene_correlations.tsv</w:t>
      </w:r>
    </w:p>
    <w:p w14:paraId="40F6F3E3"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noProof/>
        </w:rPr>
        <w:drawing>
          <wp:inline distT="0" distB="0" distL="0" distR="0" wp14:anchorId="7C58CA97" wp14:editId="0AE0223A">
            <wp:extent cx="5943600" cy="3072458"/>
            <wp:effectExtent l="0" t="0" r="0" b="0"/>
            <wp:docPr id="8" name="Picture 8"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with green bars&#10;&#10;AI-generated content may be incorrect."/>
                    <pic:cNvPicPr/>
                  </pic:nvPicPr>
                  <pic:blipFill>
                    <a:blip r:embed="rId13"/>
                    <a:stretch>
                      <a:fillRect/>
                    </a:stretch>
                  </pic:blipFill>
                  <pic:spPr>
                    <a:xfrm>
                      <a:off x="0" y="0"/>
                      <a:ext cx="5943600" cy="3072458"/>
                    </a:xfrm>
                    <a:prstGeom prst="rect">
                      <a:avLst/>
                    </a:prstGeom>
                  </pic:spPr>
                </pic:pic>
              </a:graphicData>
            </a:graphic>
          </wp:inline>
        </w:drawing>
      </w:r>
    </w:p>
    <w:p w14:paraId="5CF7217B" w14:textId="77777777" w:rsidR="00B77918" w:rsidRPr="00B77918" w:rsidRDefault="00B77918" w:rsidP="00B77918">
      <w:pPr>
        <w:jc w:val="center"/>
        <w:rPr>
          <w:rFonts w:ascii="Times New Roman" w:hAnsi="Times New Roman" w:cs="Times New Roman"/>
        </w:rPr>
      </w:pPr>
      <w:r w:rsidRPr="00B77918">
        <w:rPr>
          <w:rFonts w:ascii="Times New Roman" w:hAnsi="Times New Roman" w:cs="Times New Roman"/>
          <w:i/>
          <w:color w:val="444444"/>
          <w:sz w:val="18"/>
        </w:rPr>
        <w:t>Focus-gene RNA vs ATAC correlations, global and within cell type</w:t>
      </w:r>
    </w:p>
    <w:p w14:paraId="0FCC599B"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Shared HUGO symbols and genome-wide correlations are in </w:t>
      </w:r>
      <w:r w:rsidRPr="00B77918">
        <w:rPr>
          <w:rFonts w:ascii="Times New Roman" w:hAnsi="Times New Roman" w:cs="Times New Roman"/>
          <w:color w:val="1A3E6E"/>
          <w:sz w:val="19"/>
        </w:rPr>
        <w:t>module3_rna_atac_gene_bridge.tsv</w:t>
      </w:r>
      <w:r w:rsidRPr="00B77918">
        <w:rPr>
          <w:rFonts w:ascii="Times New Roman" w:hAnsi="Times New Roman" w:cs="Times New Roman"/>
        </w:rPr>
        <w:t xml:space="preserve"> (row count) and its figure caption. Within-cell-type rows are now populated because the cache supplies Azimuth labels. Low-n groups are flagged rather than reported as bare missing values.</w:t>
      </w:r>
    </w:p>
    <w:p w14:paraId="2D9654B2"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t>5. Interpretation</w:t>
      </w:r>
    </w:p>
    <w:p w14:paraId="7B3BEBC7"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Module 3 teaches how to interrogate a real multiome product without forcing a shared-factor story the object does not support.</w:t>
      </w:r>
    </w:p>
    <w:p w14:paraId="44D13D8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This object is a legitimate multiome: paired RNA and ATAC in the same nuclei, with a matched 10x snRNA block from the same section. The ATAC </w:t>
      </w:r>
      <w:r w:rsidRPr="00B77918">
        <w:rPr>
          <w:rFonts w:ascii="Times New Roman" w:hAnsi="Times New Roman" w:cs="Times New Roman"/>
          <w:b/>
        </w:rPr>
        <w:t>gene-activity</w:t>
      </w:r>
      <w:r w:rsidRPr="00B77918">
        <w:rPr>
          <w:rFonts w:ascii="Times New Roman" w:hAnsi="Times New Roman" w:cs="Times New Roman"/>
        </w:rPr>
        <w:t xml:space="preserve"> representation is not a legitimate basis for integration on this product. Those two statements are not in conflict.</w:t>
      </w:r>
    </w:p>
    <w:p w14:paraId="2A3371FD"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What the results support.</w:t>
      </w:r>
    </w:p>
    <w:p w14:paraId="12A8C4FD"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MOFA did not fail as a method. RNA factors track cell identity.</w:t>
      </w:r>
    </w:p>
    <w:p w14:paraId="6F99DBB9"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The ATAC gene-activity view carries no detectable cell-type information, and its clustering tracks sequencing depth.</w:t>
      </w:r>
    </w:p>
    <w:p w14:paraId="7C8F42C9"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WNN produces a joint embedding by following RNA, and it matches Azimuth less well than RNA alone.</w:t>
      </w:r>
    </w:p>
    <w:p w14:paraId="1F021F85"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rPr>
        <w:t>Factor dominance and dead factors remain first-class results: they constrain claims about joint latent biology.</w:t>
      </w:r>
    </w:p>
    <w:p w14:paraId="2F7FE697"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Success here means the files pair, the factor model loads, the variance tables are interpretable, and the diagnostics distinguish method failure from empty ATAC structure. It does </w:t>
      </w:r>
      <w:r w:rsidRPr="00B77918">
        <w:rPr>
          <w:rFonts w:ascii="Times New Roman" w:hAnsi="Times New Roman" w:cs="Times New Roman"/>
          <w:b/>
        </w:rPr>
        <w:t>not</w:t>
      </w:r>
      <w:r w:rsidRPr="00B77918">
        <w:rPr>
          <w:rFonts w:ascii="Times New Roman" w:hAnsi="Times New Roman" w:cs="Times New Roman"/>
        </w:rPr>
        <w:t xml:space="preserve"> mean RNA and ATAC share a latent axis. If a manuscript claimed shared MOFA factors for this object without showing dual-view R2 and a cell-type check, Module 3 is the counterexample.</w:t>
      </w:r>
    </w:p>
    <w:p w14:paraId="58BE0E50"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lastRenderedPageBreak/>
        <w:t>Two limits to name explicitly. Azimuth labels are transferred predictions rather than ground truth. WNN and Azimuth diagnostics are measured on Donor_2 only.</w:t>
      </w:r>
    </w:p>
    <w:p w14:paraId="0E37FCA4"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t>6. Extending this analysis</w:t>
      </w:r>
    </w:p>
    <w:p w14:paraId="14E3D06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Each item below names a claim a learner may want to make and the work that would license it.</w:t>
      </w:r>
    </w:p>
    <w:p w14:paraId="02BFF64A"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b/>
        </w:rPr>
        <w:t>Whether the depth confound is block-specific.</w:t>
      </w:r>
      <w:r w:rsidRPr="00B77918">
        <w:rPr>
          <w:rFonts w:ascii="Times New Roman" w:hAnsi="Times New Roman" w:cs="Times New Roman"/>
        </w:rPr>
        <w:t xml:space="preserve"> </w:t>
      </w:r>
      <w:r w:rsidRPr="00B77918">
        <w:rPr>
          <w:rFonts w:ascii="Times New Roman" w:hAnsi="Times New Roman" w:cs="Times New Roman"/>
          <w:color w:val="1A3E6E"/>
          <w:sz w:val="19"/>
        </w:rPr>
        <w:t>HBM285.MWNX.593</w:t>
      </w:r>
      <w:r w:rsidRPr="00B77918">
        <w:rPr>
          <w:rFonts w:ascii="Times New Roman" w:hAnsi="Times New Roman" w:cs="Times New Roman"/>
        </w:rPr>
        <w:t xml:space="preserve"> is a Donor_3 multiome from a different block, ten libraries against ten. Repeating the QC association there would test whether ATAC gene-activity clustering is depth-driven outside Donor_2.</w:t>
      </w:r>
    </w:p>
    <w:p w14:paraId="19581EB2"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b/>
        </w:rPr>
        <w:t>Peak-level ATAC.</w:t>
      </w:r>
      <w:r w:rsidRPr="00B77918">
        <w:rPr>
          <w:rFonts w:ascii="Times New Roman" w:hAnsi="Times New Roman" w:cs="Times New Roman"/>
        </w:rPr>
        <w:t xml:space="preserve"> Differentially accessible regions, motif enrichment, and chromVAR need peak-level data. The shipped ATAC view is gene activity, and that tooling is not in the pinned environment.</w:t>
      </w:r>
    </w:p>
    <w:p w14:paraId="649E53C7"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b/>
        </w:rPr>
        <w:t>The bin-level modality.</w:t>
      </w:r>
      <w:r w:rsidRPr="00B77918">
        <w:rPr>
          <w:rFonts w:ascii="Times New Roman" w:hAnsi="Times New Roman" w:cs="Times New Roman"/>
        </w:rPr>
        <w:t xml:space="preserve"> </w:t>
      </w:r>
      <w:r w:rsidRPr="00B77918">
        <w:rPr>
          <w:rFonts w:ascii="Times New Roman" w:hAnsi="Times New Roman" w:cs="Times New Roman"/>
          <w:color w:val="1A3E6E"/>
          <w:sz w:val="19"/>
        </w:rPr>
        <w:t>atac_cbb</w:t>
      </w:r>
      <w:r w:rsidRPr="00B77918">
        <w:rPr>
          <w:rFonts w:ascii="Times New Roman" w:hAnsi="Times New Roman" w:cs="Times New Roman"/>
        </w:rPr>
        <w:t xml:space="preserve"> is present in the MuData object with chromosome and bin coordinates. It is not in the MOFA object and is not on the teaching path (</w:t>
      </w:r>
      <w:r w:rsidRPr="00B77918">
        <w:rPr>
          <w:rFonts w:ascii="Times New Roman" w:hAnsi="Times New Roman" w:cs="Times New Roman"/>
          <w:color w:val="1A3E6E"/>
          <w:sz w:val="19"/>
        </w:rPr>
        <w:t>use_atac_bin: false</w:t>
      </w:r>
      <w:r w:rsidRPr="00B77918">
        <w:rPr>
          <w:rFonts w:ascii="Times New Roman" w:hAnsi="Times New Roman" w:cs="Times New Roman"/>
        </w:rPr>
        <w:t>).</w:t>
      </w:r>
    </w:p>
    <w:p w14:paraId="2900E438"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b/>
        </w:rPr>
        <w:t>Refitting MOFA.</w:t>
      </w:r>
      <w:r w:rsidRPr="00B77918">
        <w:rPr>
          <w:rFonts w:ascii="Times New Roman" w:hAnsi="Times New Roman" w:cs="Times New Roman"/>
        </w:rPr>
        <w:t xml:space="preserve"> The lesson reads a DCC fit (</w:t>
      </w:r>
      <w:r w:rsidRPr="00B77918">
        <w:rPr>
          <w:rFonts w:ascii="Times New Roman" w:hAnsi="Times New Roman" w:cs="Times New Roman"/>
          <w:color w:val="1A3E6E"/>
          <w:sz w:val="19"/>
        </w:rPr>
        <w:t>interpretation_only: true</w:t>
      </w:r>
      <w:r w:rsidRPr="00B77918">
        <w:rPr>
          <w:rFonts w:ascii="Times New Roman" w:hAnsi="Times New Roman" w:cs="Times New Roman"/>
        </w:rPr>
        <w:t>). A refit changes the object under discussion and cannot be reproduced identically across environments.</w:t>
      </w:r>
    </w:p>
    <w:p w14:paraId="223FF38A"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b/>
        </w:rPr>
        <w:t>Independent pairing evidence.</w:t>
      </w:r>
      <w:r w:rsidRPr="00B77918">
        <w:rPr>
          <w:rFonts w:ascii="Times New Roman" w:hAnsi="Times New Roman" w:cs="Times New Roman"/>
        </w:rPr>
        <w:t xml:space="preserve"> A barcode crosstab from MuData </w:t>
      </w:r>
      <w:r w:rsidRPr="00B77918">
        <w:rPr>
          <w:rFonts w:ascii="Times New Roman" w:hAnsi="Times New Roman" w:cs="Times New Roman"/>
          <w:color w:val="1A3E6E"/>
          <w:sz w:val="19"/>
        </w:rPr>
        <w:t>obs</w:t>
      </w:r>
      <w:r w:rsidRPr="00B77918">
        <w:rPr>
          <w:rFonts w:ascii="Times New Roman" w:hAnsi="Times New Roman" w:cs="Times New Roman"/>
        </w:rPr>
        <w:t xml:space="preserve"> would confirm shared nuclei independently. The default path asserts pairing from MOFA file construction.</w:t>
      </w:r>
    </w:p>
    <w:p w14:paraId="0A6EBBA5" w14:textId="77777777" w:rsidR="00B77918" w:rsidRPr="00B77918" w:rsidRDefault="00B77918" w:rsidP="00B77918">
      <w:pPr>
        <w:pStyle w:val="ListBullet"/>
        <w:tabs>
          <w:tab w:val="num" w:pos="360"/>
        </w:tabs>
        <w:spacing w:after="40"/>
        <w:ind w:left="360" w:hanging="360"/>
        <w:rPr>
          <w:rFonts w:ascii="Times New Roman" w:hAnsi="Times New Roman" w:cs="Times New Roman"/>
        </w:rPr>
      </w:pPr>
      <w:r w:rsidRPr="00B77918">
        <w:rPr>
          <w:rFonts w:ascii="Times New Roman" w:hAnsi="Times New Roman" w:cs="Times New Roman"/>
          <w:b/>
        </w:rPr>
        <w:t>Donor_3 as a second arm.</w:t>
      </w:r>
      <w:r w:rsidRPr="00B77918">
        <w:rPr>
          <w:rFonts w:ascii="Times New Roman" w:hAnsi="Times New Roman" w:cs="Times New Roman"/>
        </w:rPr>
        <w:t xml:space="preserve"> Stated as an extension, not run. Donor_3 cannot support a matched snRNA/multiome comparison at any download size, because none of its 10x blocks share a block with its SNARE products.</w:t>
      </w:r>
    </w:p>
    <w:p w14:paraId="5521597E"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b/>
        </w:rPr>
        <w:t>Forward link.</w:t>
      </w:r>
      <w:r w:rsidRPr="00B77918">
        <w:rPr>
          <w:rFonts w:ascii="Times New Roman" w:hAnsi="Times New Roman" w:cs="Times New Roman"/>
        </w:rPr>
        <w:t xml:space="preserve"> Module 4 leaves single-DCC multiome and compares bulk and snRNA-derived contrasts across HuBMAP, GTEx, GEO, and OSDR.</w:t>
      </w:r>
    </w:p>
    <w:p w14:paraId="7B732B95"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t>7. Open questions</w:t>
      </w:r>
    </w:p>
    <w:p w14:paraId="0C5BFA27"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What evidence shows this is true multiome rather than unpaired same-donor assays, and what does the matched 10x block license that Donor_3 could not?</w:t>
      </w:r>
    </w:p>
    <w:p w14:paraId="3F9869C8"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Why is this MOFA space not a joint latent space? Quote the max non-dominant R2 from the table.</w:t>
      </w:r>
    </w:p>
    <w:p w14:paraId="551EFFA9"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What result shows that MOFA still found biology? Quote an eta squared for an RNA factor against Azimuth.</w:t>
      </w:r>
    </w:p>
    <w:p w14:paraId="2142E6B7"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Why is the ATAC gene-activity view not a legitimate basis for integration on this object?</w:t>
      </w:r>
    </w:p>
    <w:p w14:paraId="1E99B8AC"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WNN looks like a joint embedding. What comparison shows that it is leaning on RNA?</w:t>
      </w:r>
    </w:p>
    <w:p w14:paraId="0A4E6F30"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When a within-cell-type focus-gene row is flagged for low n, what claim is still licensed?</w:t>
      </w:r>
    </w:p>
    <w:p w14:paraId="7E0C2999"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Factor1 carries the largest single share of ATAC variance yet tracks no cell-type label, no cluster assignment and no recorded QC metric, while sitting at eta squared 0.488 against the WNN clustering. WNN takes the ATAC representation as an input. What does that shared input explain, and what does it leave open?</w:t>
      </w:r>
    </w:p>
    <w:p w14:paraId="33A4D662" w14:textId="77777777" w:rsidR="00B77918" w:rsidRPr="00B77918" w:rsidRDefault="00B77918" w:rsidP="00B77918">
      <w:pPr>
        <w:rPr>
          <w:rFonts w:ascii="Times New Roman" w:hAnsi="Times New Roman" w:cs="Times New Roman"/>
        </w:rPr>
      </w:pPr>
      <w:r w:rsidRPr="00B77918">
        <w:rPr>
          <w:rFonts w:ascii="Times New Roman" w:hAnsi="Times New Roman" w:cs="Times New Roman"/>
        </w:rPr>
        <w:br w:type="page"/>
      </w:r>
    </w:p>
    <w:p w14:paraId="55C1348F"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lastRenderedPageBreak/>
        <w:t>Appendix A: Analysis parameters</w:t>
      </w:r>
    </w:p>
    <w:p w14:paraId="700A2C4F" w14:textId="77777777" w:rsidR="00B77918" w:rsidRPr="00B77918" w:rsidRDefault="00B77918" w:rsidP="00B77918">
      <w:pPr>
        <w:spacing w:after="140"/>
        <w:rPr>
          <w:rFonts w:ascii="Times New Roman" w:hAnsi="Times New Roman" w:cs="Times New Roman"/>
        </w:rPr>
      </w:pPr>
      <w:r w:rsidRPr="00B77918">
        <w:rPr>
          <w:rFonts w:ascii="Times New Roman" w:hAnsi="Times New Roman" w:cs="Times New Roman"/>
        </w:rPr>
        <w:t xml:space="preserve">Live config values under </w:t>
      </w:r>
      <w:r w:rsidRPr="00B77918">
        <w:rPr>
          <w:rFonts w:ascii="Times New Roman" w:hAnsi="Times New Roman" w:cs="Times New Roman"/>
          <w:color w:val="1A3E6E"/>
          <w:sz w:val="19"/>
        </w:rPr>
        <w:t>module3</w:t>
      </w:r>
      <w:r w:rsidRPr="00B77918">
        <w:rPr>
          <w:rFonts w:ascii="Times New Roman" w:hAnsi="Times New Roman" w:cs="Times New Roman"/>
        </w:rPr>
        <w:t xml:space="preserve"> in </w:t>
      </w:r>
      <w:r w:rsidRPr="00B77918">
        <w:rPr>
          <w:rFonts w:ascii="Times New Roman" w:hAnsi="Times New Roman" w:cs="Times New Roman"/>
          <w:color w:val="1A3E6E"/>
          <w:sz w:val="19"/>
        </w:rPr>
        <w:t>config/paths.yaml</w:t>
      </w:r>
      <w:r w:rsidRPr="00B77918">
        <w:rPr>
          <w:rFonts w:ascii="Times New Roman" w:hAnsi="Times New Roman" w:cs="Times New Roman"/>
        </w:rPr>
        <w:t>, in Methods order.</w:t>
      </w:r>
    </w:p>
    <w:p w14:paraId="5152D526"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1. Default path: interpret shipped MOFA</w:t>
      </w:r>
    </w:p>
    <w:tbl>
      <w:tblPr>
        <w:tblStyle w:val="TableGrid"/>
        <w:tblW w:w="0" w:type="auto"/>
        <w:jc w:val="center"/>
        <w:tblLook w:val="04A0" w:firstRow="1" w:lastRow="0" w:firstColumn="1" w:lastColumn="0" w:noHBand="0" w:noVBand="1"/>
      </w:tblPr>
      <w:tblGrid>
        <w:gridCol w:w="2106"/>
        <w:gridCol w:w="3671"/>
        <w:gridCol w:w="1554"/>
        <w:gridCol w:w="805"/>
        <w:gridCol w:w="1214"/>
      </w:tblGrid>
      <w:tr w:rsidR="00B77918" w:rsidRPr="00B77918" w14:paraId="431D1858" w14:textId="77777777" w:rsidTr="00151104">
        <w:trPr>
          <w:jc w:val="center"/>
        </w:trPr>
        <w:tc>
          <w:tcPr>
            <w:tcW w:w="1872" w:type="dxa"/>
            <w:shd w:val="clear" w:color="auto" w:fill="DCE6F1"/>
          </w:tcPr>
          <w:p w14:paraId="71C7F5C8"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1F2CF7D6"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1B2CA217"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1A52FB90"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7C89876B"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537736FB" w14:textId="77777777" w:rsidTr="00151104">
        <w:trPr>
          <w:jc w:val="center"/>
        </w:trPr>
        <w:tc>
          <w:tcPr>
            <w:tcW w:w="1872" w:type="dxa"/>
          </w:tcPr>
          <w:p w14:paraId="4E3BC734"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module3.params.load_h5mu</w:t>
            </w:r>
          </w:p>
        </w:tc>
        <w:tc>
          <w:tcPr>
            <w:tcW w:w="1872" w:type="dxa"/>
          </w:tcPr>
          <w:p w14:paraId="6655EA8F"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false</w:t>
            </w:r>
          </w:p>
        </w:tc>
        <w:tc>
          <w:tcPr>
            <w:tcW w:w="1872" w:type="dxa"/>
          </w:tcPr>
          <w:p w14:paraId="0914538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Load full </w:t>
            </w:r>
            <w:r w:rsidRPr="00B77918">
              <w:rPr>
                <w:rFonts w:ascii="Times New Roman" w:hAnsi="Times New Roman" w:cs="Times New Roman"/>
                <w:color w:val="1A3E6E"/>
                <w:sz w:val="15"/>
              </w:rPr>
              <w:t>secondary_analysis.h5mu</w:t>
            </w:r>
          </w:p>
        </w:tc>
        <w:tc>
          <w:tcPr>
            <w:tcW w:w="1872" w:type="dxa"/>
          </w:tcPr>
          <w:p w14:paraId="6BD54B3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Set </w:t>
            </w:r>
            <w:r w:rsidRPr="00B77918">
              <w:rPr>
                <w:rFonts w:ascii="Times New Roman" w:hAnsi="Times New Roman" w:cs="Times New Roman"/>
                <w:color w:val="1A3E6E"/>
                <w:sz w:val="15"/>
              </w:rPr>
              <w:t>true</w:t>
            </w:r>
          </w:p>
        </w:tc>
        <w:tc>
          <w:tcPr>
            <w:tcW w:w="1872" w:type="dxa"/>
          </w:tcPr>
          <w:p w14:paraId="70B4644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Enables MuData UMAP/layers; large RAM/download; not required</w:t>
            </w:r>
          </w:p>
        </w:tc>
      </w:tr>
      <w:tr w:rsidR="00B77918" w:rsidRPr="00B77918" w14:paraId="1F1D252D" w14:textId="77777777" w:rsidTr="00151104">
        <w:trPr>
          <w:jc w:val="center"/>
        </w:trPr>
        <w:tc>
          <w:tcPr>
            <w:tcW w:w="1872" w:type="dxa"/>
          </w:tcPr>
          <w:p w14:paraId="1F851087"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module3.params.interpretation_only</w:t>
            </w:r>
          </w:p>
        </w:tc>
        <w:tc>
          <w:tcPr>
            <w:tcW w:w="1872" w:type="dxa"/>
          </w:tcPr>
          <w:p w14:paraId="4ED7E09C"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true</w:t>
            </w:r>
          </w:p>
        </w:tc>
        <w:tc>
          <w:tcPr>
            <w:tcW w:w="1872" w:type="dxa"/>
          </w:tcPr>
          <w:p w14:paraId="4AD0AB2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Skip MOFA refit; read shipped factors</w:t>
            </w:r>
          </w:p>
        </w:tc>
        <w:tc>
          <w:tcPr>
            <w:tcW w:w="1872" w:type="dxa"/>
          </w:tcPr>
          <w:p w14:paraId="4242888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Set </w:t>
            </w:r>
            <w:r w:rsidRPr="00B77918">
              <w:rPr>
                <w:rFonts w:ascii="Times New Roman" w:hAnsi="Times New Roman" w:cs="Times New Roman"/>
                <w:color w:val="1A3E6E"/>
                <w:sz w:val="15"/>
              </w:rPr>
              <w:t>false</w:t>
            </w:r>
          </w:p>
        </w:tc>
        <w:tc>
          <w:tcPr>
            <w:tcW w:w="1872" w:type="dxa"/>
          </w:tcPr>
          <w:p w14:paraId="0D7D687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Out of scope for class; non-identical refits</w:t>
            </w:r>
          </w:p>
        </w:tc>
      </w:tr>
      <w:tr w:rsidR="00B77918" w:rsidRPr="00B77918" w14:paraId="5B33E02E" w14:textId="77777777" w:rsidTr="00151104">
        <w:trPr>
          <w:jc w:val="center"/>
        </w:trPr>
        <w:tc>
          <w:tcPr>
            <w:tcW w:w="1872" w:type="dxa"/>
          </w:tcPr>
          <w:p w14:paraId="3C27EC91"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module3.files.mofa_hdf5</w:t>
            </w:r>
          </w:p>
        </w:tc>
        <w:tc>
          <w:tcPr>
            <w:tcW w:w="1872" w:type="dxa"/>
          </w:tcPr>
          <w:p w14:paraId="62AB3983"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multiome_mofa.hdf5</w:t>
            </w:r>
          </w:p>
        </w:tc>
        <w:tc>
          <w:tcPr>
            <w:tcW w:w="1872" w:type="dxa"/>
          </w:tcPr>
          <w:p w14:paraId="5DCA315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Filename under multiome dir</w:t>
            </w:r>
          </w:p>
        </w:tc>
        <w:tc>
          <w:tcPr>
            <w:tcW w:w="1872" w:type="dxa"/>
          </w:tcPr>
          <w:p w14:paraId="30D33C1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Point elsewhere</w:t>
            </w:r>
          </w:p>
        </w:tc>
        <w:tc>
          <w:tcPr>
            <w:tcW w:w="1872" w:type="dxa"/>
          </w:tcPr>
          <w:p w14:paraId="32B4BFE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Different factor object</w:t>
            </w:r>
          </w:p>
        </w:tc>
      </w:tr>
      <w:tr w:rsidR="00B77918" w:rsidRPr="00B77918" w14:paraId="1A20E018" w14:textId="77777777" w:rsidTr="00151104">
        <w:trPr>
          <w:jc w:val="center"/>
        </w:trPr>
        <w:tc>
          <w:tcPr>
            <w:tcW w:w="1872" w:type="dxa"/>
          </w:tcPr>
          <w:p w14:paraId="702C32EE"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module3.multiome_dir</w:t>
            </w:r>
          </w:p>
        </w:tc>
        <w:tc>
          <w:tcPr>
            <w:tcW w:w="1872" w:type="dxa"/>
          </w:tcPr>
          <w:p w14:paraId="6AAAB5B7"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data/source/HUBMAP/Donor_2/SNAREseq/HBM828.GPVG.252</w:t>
            </w:r>
          </w:p>
        </w:tc>
        <w:tc>
          <w:tcPr>
            <w:tcW w:w="1872" w:type="dxa"/>
          </w:tcPr>
          <w:p w14:paraId="320A24D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Local product directory</w:t>
            </w:r>
          </w:p>
        </w:tc>
        <w:tc>
          <w:tcPr>
            <w:tcW w:w="1872" w:type="dxa"/>
          </w:tcPr>
          <w:p w14:paraId="4A34338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Relocate</w:t>
            </w:r>
          </w:p>
        </w:tc>
        <w:tc>
          <w:tcPr>
            <w:tcW w:w="1872" w:type="dxa"/>
          </w:tcPr>
          <w:p w14:paraId="4FA8CF2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Path resolution</w:t>
            </w:r>
          </w:p>
        </w:tc>
      </w:tr>
      <w:tr w:rsidR="00B77918" w:rsidRPr="00B77918" w14:paraId="51AB4B07" w14:textId="77777777" w:rsidTr="00151104">
        <w:trPr>
          <w:jc w:val="center"/>
        </w:trPr>
        <w:tc>
          <w:tcPr>
            <w:tcW w:w="1872" w:type="dxa"/>
          </w:tcPr>
          <w:p w14:paraId="7A41BE06"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module3.donor_label</w:t>
            </w:r>
          </w:p>
        </w:tc>
        <w:tc>
          <w:tcPr>
            <w:tcW w:w="1872" w:type="dxa"/>
          </w:tcPr>
          <w:p w14:paraId="4723ED0E"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Donor_2</w:t>
            </w:r>
          </w:p>
        </w:tc>
        <w:tc>
          <w:tcPr>
            <w:tcW w:w="1872" w:type="dxa"/>
          </w:tcPr>
          <w:p w14:paraId="484A1C1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Teaching donor</w:t>
            </w:r>
          </w:p>
        </w:tc>
        <w:tc>
          <w:tcPr>
            <w:tcW w:w="1872" w:type="dxa"/>
          </w:tcPr>
          <w:p w14:paraId="5E2538D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Change donor</w:t>
            </w:r>
          </w:p>
        </w:tc>
        <w:tc>
          <w:tcPr>
            <w:tcW w:w="1872" w:type="dxa"/>
          </w:tcPr>
          <w:p w14:paraId="55023B5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Every Module 3 claim is donor-specific</w:t>
            </w:r>
          </w:p>
        </w:tc>
      </w:tr>
      <w:tr w:rsidR="00B77918" w:rsidRPr="00B77918" w14:paraId="6CBE6616" w14:textId="77777777" w:rsidTr="00151104">
        <w:trPr>
          <w:jc w:val="center"/>
        </w:trPr>
        <w:tc>
          <w:tcPr>
            <w:tcW w:w="1872" w:type="dxa"/>
          </w:tcPr>
          <w:p w14:paraId="336A1DE4"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module3.dataset_id</w:t>
            </w:r>
          </w:p>
        </w:tc>
        <w:tc>
          <w:tcPr>
            <w:tcW w:w="1872" w:type="dxa"/>
          </w:tcPr>
          <w:p w14:paraId="09097F36"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HBM828.GPVG.252</w:t>
            </w:r>
          </w:p>
        </w:tc>
        <w:tc>
          <w:tcPr>
            <w:tcW w:w="1872" w:type="dxa"/>
          </w:tcPr>
          <w:p w14:paraId="4C61E3C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Public SNARE product ID (folder name)</w:t>
            </w:r>
          </w:p>
        </w:tc>
        <w:tc>
          <w:tcPr>
            <w:tcW w:w="1872" w:type="dxa"/>
          </w:tcPr>
          <w:p w14:paraId="626B323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Change product</w:t>
            </w:r>
          </w:p>
        </w:tc>
        <w:tc>
          <w:tcPr>
            <w:tcW w:w="1872" w:type="dxa"/>
          </w:tcPr>
          <w:p w14:paraId="457320C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Different object</w:t>
            </w:r>
          </w:p>
        </w:tc>
      </w:tr>
      <w:tr w:rsidR="00B77918" w:rsidRPr="00B77918" w14:paraId="767A7427" w14:textId="77777777" w:rsidTr="00151104">
        <w:trPr>
          <w:jc w:val="center"/>
        </w:trPr>
        <w:tc>
          <w:tcPr>
            <w:tcW w:w="1872" w:type="dxa"/>
          </w:tcPr>
          <w:p w14:paraId="5F5F3F5E"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module3.modalities.rna</w:t>
            </w:r>
          </w:p>
        </w:tc>
        <w:tc>
          <w:tcPr>
            <w:tcW w:w="1872" w:type="dxa"/>
          </w:tcPr>
          <w:p w14:paraId="640EF035"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rna</w:t>
            </w:r>
          </w:p>
        </w:tc>
        <w:tc>
          <w:tcPr>
            <w:tcW w:w="1872" w:type="dxa"/>
          </w:tcPr>
          <w:p w14:paraId="2C22132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MOFA/MuData RNA view name</w:t>
            </w:r>
          </w:p>
        </w:tc>
        <w:tc>
          <w:tcPr>
            <w:tcW w:w="1872" w:type="dxa"/>
          </w:tcPr>
          <w:p w14:paraId="32454FE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Rename</w:t>
            </w:r>
          </w:p>
        </w:tc>
        <w:tc>
          <w:tcPr>
            <w:tcW w:w="1872" w:type="dxa"/>
          </w:tcPr>
          <w:p w14:paraId="2816319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Load fails if view missing</w:t>
            </w:r>
          </w:p>
        </w:tc>
      </w:tr>
      <w:tr w:rsidR="00B77918" w:rsidRPr="00B77918" w14:paraId="527273F2" w14:textId="77777777" w:rsidTr="00151104">
        <w:trPr>
          <w:jc w:val="center"/>
        </w:trPr>
        <w:tc>
          <w:tcPr>
            <w:tcW w:w="1872" w:type="dxa"/>
          </w:tcPr>
          <w:p w14:paraId="52C702BD"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module3.modalities.atac_gene</w:t>
            </w:r>
          </w:p>
        </w:tc>
        <w:tc>
          <w:tcPr>
            <w:tcW w:w="1872" w:type="dxa"/>
          </w:tcPr>
          <w:p w14:paraId="37C0EF31"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atac_cbg</w:t>
            </w:r>
          </w:p>
        </w:tc>
        <w:tc>
          <w:tcPr>
            <w:tcW w:w="1872" w:type="dxa"/>
          </w:tcPr>
          <w:p w14:paraId="7FA4FF2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ATAC gene-activity view</w:t>
            </w:r>
          </w:p>
        </w:tc>
        <w:tc>
          <w:tcPr>
            <w:tcW w:w="1872" w:type="dxa"/>
          </w:tcPr>
          <w:p w14:paraId="77DE02B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Switch</w:t>
            </w:r>
          </w:p>
        </w:tc>
        <w:tc>
          <w:tcPr>
            <w:tcW w:w="1872" w:type="dxa"/>
          </w:tcPr>
          <w:p w14:paraId="1B1A13B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Bridge uses different ATAC features</w:t>
            </w:r>
          </w:p>
        </w:tc>
      </w:tr>
      <w:tr w:rsidR="00B77918" w:rsidRPr="00B77918" w14:paraId="3AF61721" w14:textId="77777777" w:rsidTr="00151104">
        <w:trPr>
          <w:jc w:val="center"/>
        </w:trPr>
        <w:tc>
          <w:tcPr>
            <w:tcW w:w="1872" w:type="dxa"/>
          </w:tcPr>
          <w:p w14:paraId="0BD6F46B"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module3.modalities.use_atac_bin</w:t>
            </w:r>
          </w:p>
        </w:tc>
        <w:tc>
          <w:tcPr>
            <w:tcW w:w="1872" w:type="dxa"/>
          </w:tcPr>
          <w:p w14:paraId="506B56C1"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false</w:t>
            </w:r>
          </w:p>
        </w:tc>
        <w:tc>
          <w:tcPr>
            <w:tcW w:w="1872" w:type="dxa"/>
          </w:tcPr>
          <w:p w14:paraId="40EC188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Whether to use </w:t>
            </w:r>
            <w:r w:rsidRPr="00B77918">
              <w:rPr>
                <w:rFonts w:ascii="Times New Roman" w:hAnsi="Times New Roman" w:cs="Times New Roman"/>
                <w:color w:val="1A3E6E"/>
                <w:sz w:val="15"/>
              </w:rPr>
              <w:t>atac_cbb</w:t>
            </w:r>
          </w:p>
        </w:tc>
        <w:tc>
          <w:tcPr>
            <w:tcW w:w="1872" w:type="dxa"/>
          </w:tcPr>
          <w:p w14:paraId="3C76F5C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Set </w:t>
            </w:r>
            <w:r w:rsidRPr="00B77918">
              <w:rPr>
                <w:rFonts w:ascii="Times New Roman" w:hAnsi="Times New Roman" w:cs="Times New Roman"/>
                <w:color w:val="1A3E6E"/>
                <w:sz w:val="15"/>
              </w:rPr>
              <w:t>true</w:t>
            </w:r>
          </w:p>
        </w:tc>
        <w:tc>
          <w:tcPr>
            <w:tcW w:w="1872" w:type="dxa"/>
          </w:tcPr>
          <w:p w14:paraId="3ABE8B6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Adds bin-level ATAC path</w:t>
            </w:r>
          </w:p>
        </w:tc>
      </w:tr>
    </w:tbl>
    <w:p w14:paraId="0DE20F61"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2. Barcode pairing check</w:t>
      </w:r>
    </w:p>
    <w:tbl>
      <w:tblPr>
        <w:tblStyle w:val="TableGrid"/>
        <w:tblW w:w="0" w:type="auto"/>
        <w:jc w:val="center"/>
        <w:tblLook w:val="04A0" w:firstRow="1" w:lastRow="0" w:firstColumn="1" w:lastColumn="0" w:noHBand="0" w:noVBand="1"/>
      </w:tblPr>
      <w:tblGrid>
        <w:gridCol w:w="2099"/>
        <w:gridCol w:w="1863"/>
        <w:gridCol w:w="1802"/>
        <w:gridCol w:w="1786"/>
        <w:gridCol w:w="1800"/>
      </w:tblGrid>
      <w:tr w:rsidR="00B77918" w:rsidRPr="00B77918" w14:paraId="54808C7E" w14:textId="77777777" w:rsidTr="00151104">
        <w:trPr>
          <w:jc w:val="center"/>
        </w:trPr>
        <w:tc>
          <w:tcPr>
            <w:tcW w:w="1872" w:type="dxa"/>
            <w:shd w:val="clear" w:color="auto" w:fill="DCE6F1"/>
          </w:tcPr>
          <w:p w14:paraId="3474AD2B"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7B24158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325B8E47"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7D6DFB5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7F50A96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14FB39B8" w14:textId="77777777" w:rsidTr="00151104">
        <w:trPr>
          <w:jc w:val="center"/>
        </w:trPr>
        <w:tc>
          <w:tcPr>
            <w:tcW w:w="1872" w:type="dxa"/>
          </w:tcPr>
          <w:p w14:paraId="629AAC24"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module3.params.load_h5mu</w:t>
            </w:r>
          </w:p>
        </w:tc>
        <w:tc>
          <w:tcPr>
            <w:tcW w:w="1872" w:type="dxa"/>
          </w:tcPr>
          <w:p w14:paraId="62CAD045"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false</w:t>
            </w:r>
          </w:p>
        </w:tc>
        <w:tc>
          <w:tcPr>
            <w:tcW w:w="1872" w:type="dxa"/>
          </w:tcPr>
          <w:p w14:paraId="19A4D63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Whether independent MuData barcode sets are available</w:t>
            </w:r>
          </w:p>
        </w:tc>
        <w:tc>
          <w:tcPr>
            <w:tcW w:w="1872" w:type="dxa"/>
          </w:tcPr>
          <w:p w14:paraId="63B9B13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Set </w:t>
            </w:r>
            <w:r w:rsidRPr="00B77918">
              <w:rPr>
                <w:rFonts w:ascii="Times New Roman" w:hAnsi="Times New Roman" w:cs="Times New Roman"/>
                <w:color w:val="1A3E6E"/>
                <w:sz w:val="15"/>
              </w:rPr>
              <w:t>true</w:t>
            </w:r>
          </w:p>
        </w:tc>
        <w:tc>
          <w:tcPr>
            <w:tcW w:w="1872" w:type="dxa"/>
          </w:tcPr>
          <w:p w14:paraId="65D0C3F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Overlap can be recomputed from MuData obs</w:t>
            </w:r>
          </w:p>
        </w:tc>
      </w:tr>
      <w:tr w:rsidR="00B77918" w:rsidRPr="00B77918" w14:paraId="5C2F86DD" w14:textId="77777777" w:rsidTr="00151104">
        <w:trPr>
          <w:jc w:val="center"/>
        </w:trPr>
        <w:tc>
          <w:tcPr>
            <w:tcW w:w="1872" w:type="dxa"/>
          </w:tcPr>
          <w:p w14:paraId="04E210E7"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module3.files.secondary_h5mu</w:t>
            </w:r>
          </w:p>
        </w:tc>
        <w:tc>
          <w:tcPr>
            <w:tcW w:w="1872" w:type="dxa"/>
          </w:tcPr>
          <w:p w14:paraId="6FAF2536"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secondary_analysis.h5mu</w:t>
            </w:r>
          </w:p>
        </w:tc>
        <w:tc>
          <w:tcPr>
            <w:tcW w:w="1872" w:type="dxa"/>
          </w:tcPr>
          <w:p w14:paraId="2D338AC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MuData filename when loaded</w:t>
            </w:r>
          </w:p>
        </w:tc>
        <w:tc>
          <w:tcPr>
            <w:tcW w:w="1872" w:type="dxa"/>
          </w:tcPr>
          <w:p w14:paraId="2D5F6EA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Missing file</w:t>
            </w:r>
          </w:p>
        </w:tc>
        <w:tc>
          <w:tcPr>
            <w:tcW w:w="1872" w:type="dxa"/>
          </w:tcPr>
          <w:p w14:paraId="4125A4C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Blocks MuData path only</w:t>
            </w:r>
          </w:p>
        </w:tc>
      </w:tr>
    </w:tbl>
    <w:p w14:paraId="2655AFF1"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3. Variance explained and factor dominance</w:t>
      </w:r>
    </w:p>
    <w:tbl>
      <w:tblPr>
        <w:tblStyle w:val="TableGrid"/>
        <w:tblW w:w="0" w:type="auto"/>
        <w:jc w:val="center"/>
        <w:tblLook w:val="04A0" w:firstRow="1" w:lastRow="0" w:firstColumn="1" w:lastColumn="0" w:noHBand="0" w:noVBand="1"/>
      </w:tblPr>
      <w:tblGrid>
        <w:gridCol w:w="2949"/>
        <w:gridCol w:w="1560"/>
        <w:gridCol w:w="1640"/>
        <w:gridCol w:w="1590"/>
        <w:gridCol w:w="1611"/>
      </w:tblGrid>
      <w:tr w:rsidR="00B77918" w:rsidRPr="00B77918" w14:paraId="4B68959B" w14:textId="77777777" w:rsidTr="00151104">
        <w:trPr>
          <w:jc w:val="center"/>
        </w:trPr>
        <w:tc>
          <w:tcPr>
            <w:tcW w:w="1872" w:type="dxa"/>
            <w:shd w:val="clear" w:color="auto" w:fill="DCE6F1"/>
          </w:tcPr>
          <w:p w14:paraId="404B7A5B"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2AA1CBAD"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1C0F84C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1A66042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56BA7D5F"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1D5585FC" w14:textId="77777777" w:rsidTr="00151104">
        <w:trPr>
          <w:jc w:val="center"/>
        </w:trPr>
        <w:tc>
          <w:tcPr>
            <w:tcW w:w="1872" w:type="dxa"/>
          </w:tcPr>
          <w:p w14:paraId="06402AF6"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lastRenderedPageBreak/>
              <w:t>module3.analysis.mofa_variance_max_factor</w:t>
            </w:r>
          </w:p>
        </w:tc>
        <w:tc>
          <w:tcPr>
            <w:tcW w:w="1872" w:type="dxa"/>
          </w:tcPr>
          <w:p w14:paraId="66BCD610"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18</w:t>
            </w:r>
          </w:p>
        </w:tc>
        <w:tc>
          <w:tcPr>
            <w:tcW w:w="1872" w:type="dxa"/>
          </w:tcPr>
          <w:p w14:paraId="756D149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Last factor treated as active for teaching</w:t>
            </w:r>
          </w:p>
        </w:tc>
        <w:tc>
          <w:tcPr>
            <w:tcW w:w="1872" w:type="dxa"/>
          </w:tcPr>
          <w:p w14:paraId="74BB59C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Raise</w:t>
            </w:r>
          </w:p>
        </w:tc>
        <w:tc>
          <w:tcPr>
            <w:tcW w:w="1872" w:type="dxa"/>
          </w:tcPr>
          <w:p w14:paraId="526F928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May present near-zero factors as active</w:t>
            </w:r>
          </w:p>
        </w:tc>
      </w:tr>
      <w:tr w:rsidR="00B77918" w:rsidRPr="00B77918" w14:paraId="6879D120" w14:textId="77777777" w:rsidTr="00151104">
        <w:trPr>
          <w:jc w:val="center"/>
        </w:trPr>
        <w:tc>
          <w:tcPr>
            <w:tcW w:w="1872" w:type="dxa"/>
          </w:tcPr>
          <w:p w14:paraId="7501E3D1"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module3.analysis.random_seed</w:t>
            </w:r>
          </w:p>
        </w:tc>
        <w:tc>
          <w:tcPr>
            <w:tcW w:w="1872" w:type="dxa"/>
          </w:tcPr>
          <w:p w14:paraId="648DCFDF"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0</w:t>
            </w:r>
          </w:p>
        </w:tc>
        <w:tc>
          <w:tcPr>
            <w:tcW w:w="1872" w:type="dxa"/>
          </w:tcPr>
          <w:p w14:paraId="2F6C7D1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Seed for any stochastic preview draws</w:t>
            </w:r>
          </w:p>
        </w:tc>
        <w:tc>
          <w:tcPr>
            <w:tcW w:w="1872" w:type="dxa"/>
          </w:tcPr>
          <w:p w14:paraId="7007EED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Change</w:t>
            </w:r>
          </w:p>
        </w:tc>
        <w:tc>
          <w:tcPr>
            <w:tcW w:w="1872" w:type="dxa"/>
          </w:tcPr>
          <w:p w14:paraId="7B618D6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Preview subsample only</w:t>
            </w:r>
          </w:p>
        </w:tc>
      </w:tr>
      <w:tr w:rsidR="00B77918" w:rsidRPr="00B77918" w14:paraId="50F7A05A" w14:textId="77777777" w:rsidTr="00151104">
        <w:trPr>
          <w:jc w:val="center"/>
        </w:trPr>
        <w:tc>
          <w:tcPr>
            <w:tcW w:w="1872" w:type="dxa"/>
          </w:tcPr>
          <w:p w14:paraId="2458A174"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module3.analysis.max_nuclei_preview</w:t>
            </w:r>
          </w:p>
        </w:tc>
        <w:tc>
          <w:tcPr>
            <w:tcW w:w="1872" w:type="dxa"/>
          </w:tcPr>
          <w:p w14:paraId="77369709"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5000</w:t>
            </w:r>
          </w:p>
        </w:tc>
        <w:tc>
          <w:tcPr>
            <w:tcW w:w="1872" w:type="dxa"/>
          </w:tcPr>
          <w:p w14:paraId="044D217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Cap when MuData preview embeddings are drawn</w:t>
            </w:r>
          </w:p>
        </w:tc>
        <w:tc>
          <w:tcPr>
            <w:tcW w:w="1872" w:type="dxa"/>
          </w:tcPr>
          <w:p w14:paraId="1E08B88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Raise</w:t>
            </w:r>
          </w:p>
        </w:tc>
        <w:tc>
          <w:tcPr>
            <w:tcW w:w="1872" w:type="dxa"/>
          </w:tcPr>
          <w:p w14:paraId="4F9CE48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Higher RAM on MuData path</w:t>
            </w:r>
          </w:p>
        </w:tc>
      </w:tr>
    </w:tbl>
    <w:p w14:paraId="46CF74F6"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4. Factor association with cell identity</w:t>
      </w:r>
    </w:p>
    <w:tbl>
      <w:tblPr>
        <w:tblStyle w:val="TableGrid"/>
        <w:tblW w:w="0" w:type="auto"/>
        <w:jc w:val="center"/>
        <w:tblLook w:val="04A0" w:firstRow="1" w:lastRow="0" w:firstColumn="1" w:lastColumn="0" w:noHBand="0" w:noVBand="1"/>
      </w:tblPr>
      <w:tblGrid>
        <w:gridCol w:w="2930"/>
        <w:gridCol w:w="3732"/>
        <w:gridCol w:w="934"/>
        <w:gridCol w:w="820"/>
        <w:gridCol w:w="934"/>
      </w:tblGrid>
      <w:tr w:rsidR="00B77918" w:rsidRPr="00B77918" w14:paraId="4EDE2861" w14:textId="77777777" w:rsidTr="00151104">
        <w:trPr>
          <w:jc w:val="center"/>
        </w:trPr>
        <w:tc>
          <w:tcPr>
            <w:tcW w:w="1872" w:type="dxa"/>
            <w:shd w:val="clear" w:color="auto" w:fill="DCE6F1"/>
          </w:tcPr>
          <w:p w14:paraId="1FC6DA29"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2AAC13BD"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267E0005"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4AD388C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3033D0CD"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60862EA4" w14:textId="77777777" w:rsidTr="00151104">
        <w:trPr>
          <w:jc w:val="center"/>
        </w:trPr>
        <w:tc>
          <w:tcPr>
            <w:tcW w:w="1872" w:type="dxa"/>
          </w:tcPr>
          <w:p w14:paraId="3BBFFE42"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module3.files.label_cache</w:t>
            </w:r>
          </w:p>
        </w:tc>
        <w:tc>
          <w:tcPr>
            <w:tcW w:w="1872" w:type="dxa"/>
          </w:tcPr>
          <w:p w14:paraId="4F8A0ED4"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outputs/tables/module3_label_cache_HBM828.GPVG.252.tsv</w:t>
            </w:r>
          </w:p>
        </w:tc>
        <w:tc>
          <w:tcPr>
            <w:tcW w:w="1872" w:type="dxa"/>
          </w:tcPr>
          <w:p w14:paraId="7E67C79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Committed Azimuth / WNN cache</w:t>
            </w:r>
          </w:p>
        </w:tc>
        <w:tc>
          <w:tcPr>
            <w:tcW w:w="1872" w:type="dxa"/>
          </w:tcPr>
          <w:p w14:paraId="6E60A6E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Rebuild cache</w:t>
            </w:r>
          </w:p>
        </w:tc>
        <w:tc>
          <w:tcPr>
            <w:tcW w:w="1872" w:type="dxa"/>
          </w:tcPr>
          <w:p w14:paraId="0CEFA47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All labeled diagnostics change</w:t>
            </w:r>
          </w:p>
        </w:tc>
      </w:tr>
      <w:tr w:rsidR="00B77918" w:rsidRPr="00B77918" w14:paraId="2689FA7D" w14:textId="77777777" w:rsidTr="00151104">
        <w:trPr>
          <w:jc w:val="center"/>
        </w:trPr>
        <w:tc>
          <w:tcPr>
            <w:tcW w:w="1872" w:type="dxa"/>
          </w:tcPr>
          <w:p w14:paraId="16B8449D"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module3.thresholds.min_label_prediction_score</w:t>
            </w:r>
          </w:p>
        </w:tc>
        <w:tc>
          <w:tcPr>
            <w:tcW w:w="1872" w:type="dxa"/>
          </w:tcPr>
          <w:p w14:paraId="362CF841"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0.0</w:t>
            </w:r>
          </w:p>
        </w:tc>
        <w:tc>
          <w:tcPr>
            <w:tcW w:w="1872" w:type="dxa"/>
          </w:tcPr>
          <w:p w14:paraId="763C987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Azimuth score floor (off)</w:t>
            </w:r>
          </w:p>
        </w:tc>
        <w:tc>
          <w:tcPr>
            <w:tcW w:w="1872" w:type="dxa"/>
          </w:tcPr>
          <w:p w14:paraId="0DB14E8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Raise</w:t>
            </w:r>
          </w:p>
        </w:tc>
        <w:tc>
          <w:tcPr>
            <w:tcW w:w="1872" w:type="dxa"/>
          </w:tcPr>
          <w:p w14:paraId="661DF69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Drops low-confidence labels</w:t>
            </w:r>
          </w:p>
        </w:tc>
      </w:tr>
    </w:tbl>
    <w:p w14:paraId="165B5C03"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5. Content of the ATAC gene-activity view</w:t>
      </w:r>
    </w:p>
    <w:tbl>
      <w:tblPr>
        <w:tblStyle w:val="TableGrid"/>
        <w:tblW w:w="0" w:type="auto"/>
        <w:jc w:val="center"/>
        <w:tblLook w:val="04A0" w:firstRow="1" w:lastRow="0" w:firstColumn="1" w:lastColumn="0" w:noHBand="0" w:noVBand="1"/>
      </w:tblPr>
      <w:tblGrid>
        <w:gridCol w:w="2449"/>
        <w:gridCol w:w="1708"/>
        <w:gridCol w:w="1736"/>
        <w:gridCol w:w="1723"/>
        <w:gridCol w:w="1734"/>
      </w:tblGrid>
      <w:tr w:rsidR="00B77918" w:rsidRPr="00B77918" w14:paraId="24BB8654" w14:textId="77777777" w:rsidTr="00151104">
        <w:trPr>
          <w:jc w:val="center"/>
        </w:trPr>
        <w:tc>
          <w:tcPr>
            <w:tcW w:w="1872" w:type="dxa"/>
            <w:shd w:val="clear" w:color="auto" w:fill="DCE6F1"/>
          </w:tcPr>
          <w:p w14:paraId="49E5A752"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0A50D287"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59A9416F"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4D402899"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3162574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08F3D211" w14:textId="77777777" w:rsidTr="00151104">
        <w:trPr>
          <w:jc w:val="center"/>
        </w:trPr>
        <w:tc>
          <w:tcPr>
            <w:tcW w:w="1872" w:type="dxa"/>
          </w:tcPr>
          <w:p w14:paraId="491D1331"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module3.thresholds.min_cluster_size</w:t>
            </w:r>
          </w:p>
        </w:tc>
        <w:tc>
          <w:tcPr>
            <w:tcW w:w="1872" w:type="dxa"/>
          </w:tcPr>
          <w:p w14:paraId="7B760DFF"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20</w:t>
            </w:r>
          </w:p>
        </w:tc>
        <w:tc>
          <w:tcPr>
            <w:tcW w:w="1872" w:type="dxa"/>
          </w:tcPr>
          <w:p w14:paraId="7B03EF9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Recorded cluster-size floor</w:t>
            </w:r>
          </w:p>
        </w:tc>
        <w:tc>
          <w:tcPr>
            <w:tcW w:w="1872" w:type="dxa"/>
          </w:tcPr>
          <w:p w14:paraId="610C3D2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Raise</w:t>
            </w:r>
          </w:p>
        </w:tc>
        <w:tc>
          <w:tcPr>
            <w:tcW w:w="1872" w:type="dxa"/>
          </w:tcPr>
          <w:p w14:paraId="2D935A1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Does not change default ARI; reserved for extensions</w:t>
            </w:r>
          </w:p>
        </w:tc>
      </w:tr>
    </w:tbl>
    <w:p w14:paraId="0CCE8203"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6. Weighted nearest neighbor as a second integration</w:t>
      </w:r>
    </w:p>
    <w:tbl>
      <w:tblPr>
        <w:tblStyle w:val="TableGrid"/>
        <w:tblW w:w="0" w:type="auto"/>
        <w:jc w:val="center"/>
        <w:tblLook w:val="04A0" w:firstRow="1" w:lastRow="0" w:firstColumn="1" w:lastColumn="0" w:noHBand="0" w:noVBand="1"/>
      </w:tblPr>
      <w:tblGrid>
        <w:gridCol w:w="2391"/>
        <w:gridCol w:w="1814"/>
        <w:gridCol w:w="1712"/>
        <w:gridCol w:w="1698"/>
        <w:gridCol w:w="1735"/>
      </w:tblGrid>
      <w:tr w:rsidR="00B77918" w:rsidRPr="00B77918" w14:paraId="495499CD" w14:textId="77777777" w:rsidTr="00151104">
        <w:trPr>
          <w:jc w:val="center"/>
        </w:trPr>
        <w:tc>
          <w:tcPr>
            <w:tcW w:w="1872" w:type="dxa"/>
            <w:shd w:val="clear" w:color="auto" w:fill="DCE6F1"/>
          </w:tcPr>
          <w:p w14:paraId="695E6A87"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6629BB25"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69FD6F2D"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3A9F1167"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036B6028"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7F2EFA80" w14:textId="77777777" w:rsidTr="00151104">
        <w:trPr>
          <w:jc w:val="center"/>
        </w:trPr>
        <w:tc>
          <w:tcPr>
            <w:tcW w:w="1872" w:type="dxa"/>
          </w:tcPr>
          <w:p w14:paraId="4D9D1AF3"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module3.files.label_cache</w:t>
            </w:r>
          </w:p>
        </w:tc>
        <w:tc>
          <w:tcPr>
            <w:tcW w:w="1872" w:type="dxa"/>
          </w:tcPr>
          <w:p w14:paraId="1F1FAF1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see section 4</w:t>
            </w:r>
          </w:p>
        </w:tc>
        <w:tc>
          <w:tcPr>
            <w:tcW w:w="1872" w:type="dxa"/>
          </w:tcPr>
          <w:p w14:paraId="1D8C3AB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Supplies </w:t>
            </w:r>
            <w:r w:rsidRPr="00B77918">
              <w:rPr>
                <w:rFonts w:ascii="Times New Roman" w:hAnsi="Times New Roman" w:cs="Times New Roman"/>
                <w:color w:val="1A3E6E"/>
                <w:sz w:val="15"/>
              </w:rPr>
              <w:t>leiden_wnn</w:t>
            </w:r>
            <w:r w:rsidRPr="00B77918">
              <w:rPr>
                <w:rFonts w:ascii="Times New Roman" w:hAnsi="Times New Roman" w:cs="Times New Roman"/>
                <w:sz w:val="17"/>
              </w:rPr>
              <w:t xml:space="preserve"> and WNN UMAP</w:t>
            </w:r>
          </w:p>
        </w:tc>
        <w:tc>
          <w:tcPr>
            <w:tcW w:w="1872" w:type="dxa"/>
          </w:tcPr>
          <w:p w14:paraId="27B5CEB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Rebuild</w:t>
            </w:r>
          </w:p>
        </w:tc>
        <w:tc>
          <w:tcPr>
            <w:tcW w:w="1872" w:type="dxa"/>
          </w:tcPr>
          <w:p w14:paraId="04C7C72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WNN comparisons and UMAP change</w:t>
            </w:r>
          </w:p>
        </w:tc>
      </w:tr>
      <w:tr w:rsidR="00B77918" w:rsidRPr="00B77918" w14:paraId="697BA86F" w14:textId="77777777" w:rsidTr="00151104">
        <w:trPr>
          <w:jc w:val="center"/>
        </w:trPr>
        <w:tc>
          <w:tcPr>
            <w:tcW w:w="1872" w:type="dxa"/>
          </w:tcPr>
          <w:p w14:paraId="484D0593"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module3.matched_snrna.primary_id</w:t>
            </w:r>
          </w:p>
        </w:tc>
        <w:tc>
          <w:tcPr>
            <w:tcW w:w="1872" w:type="dxa"/>
          </w:tcPr>
          <w:p w14:paraId="4DDBA2A8"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HBM473.NKMR.872</w:t>
            </w:r>
          </w:p>
        </w:tc>
        <w:tc>
          <w:tcPr>
            <w:tcW w:w="1872" w:type="dxa"/>
          </w:tcPr>
          <w:p w14:paraId="7DFBE117"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Matched 10x snRNA teaching block</w:t>
            </w:r>
          </w:p>
        </w:tc>
        <w:tc>
          <w:tcPr>
            <w:tcW w:w="1872" w:type="dxa"/>
          </w:tcPr>
          <w:p w14:paraId="42F73C4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Change</w:t>
            </w:r>
          </w:p>
        </w:tc>
        <w:tc>
          <w:tcPr>
            <w:tcW w:w="1872" w:type="dxa"/>
          </w:tcPr>
          <w:p w14:paraId="21D0FCB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Cross-assay language only; no barcode join</w:t>
            </w:r>
          </w:p>
        </w:tc>
      </w:tr>
    </w:tbl>
    <w:p w14:paraId="47F98DC1"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7. Genome-wide RNA-ATAC gene bridge</w:t>
      </w:r>
    </w:p>
    <w:tbl>
      <w:tblPr>
        <w:tblStyle w:val="TableGrid"/>
        <w:tblW w:w="0" w:type="auto"/>
        <w:jc w:val="center"/>
        <w:tblLook w:val="04A0" w:firstRow="1" w:lastRow="0" w:firstColumn="1" w:lastColumn="0" w:noHBand="0" w:noVBand="1"/>
      </w:tblPr>
      <w:tblGrid>
        <w:gridCol w:w="2424"/>
        <w:gridCol w:w="1933"/>
        <w:gridCol w:w="1660"/>
        <w:gridCol w:w="1641"/>
        <w:gridCol w:w="1692"/>
      </w:tblGrid>
      <w:tr w:rsidR="00B77918" w:rsidRPr="00B77918" w14:paraId="1AC5241F" w14:textId="77777777" w:rsidTr="00151104">
        <w:trPr>
          <w:jc w:val="center"/>
        </w:trPr>
        <w:tc>
          <w:tcPr>
            <w:tcW w:w="1872" w:type="dxa"/>
            <w:shd w:val="clear" w:color="auto" w:fill="DCE6F1"/>
          </w:tcPr>
          <w:p w14:paraId="4BC00060"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1FDB45DC"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3A13BA60"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21E1CA38"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6E179BE9"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4B00DE50" w14:textId="77777777" w:rsidTr="00151104">
        <w:trPr>
          <w:jc w:val="center"/>
        </w:trPr>
        <w:tc>
          <w:tcPr>
            <w:tcW w:w="1872" w:type="dxa"/>
          </w:tcPr>
          <w:p w14:paraId="18077116"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module3.analysis.bridge_metric</w:t>
            </w:r>
          </w:p>
        </w:tc>
        <w:tc>
          <w:tcPr>
            <w:tcW w:w="1872" w:type="dxa"/>
          </w:tcPr>
          <w:p w14:paraId="708A18D4"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feature_std_on_mofa_inputs</w:t>
            </w:r>
          </w:p>
        </w:tc>
        <w:tc>
          <w:tcPr>
            <w:tcW w:w="1872" w:type="dxa"/>
          </w:tcPr>
          <w:p w14:paraId="7CE773E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Summary used for genome-wide scatter</w:t>
            </w:r>
          </w:p>
        </w:tc>
        <w:tc>
          <w:tcPr>
            <w:tcW w:w="1872" w:type="dxa"/>
          </w:tcPr>
          <w:p w14:paraId="56572F2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Change metric</w:t>
            </w:r>
          </w:p>
        </w:tc>
        <w:tc>
          <w:tcPr>
            <w:tcW w:w="1872" w:type="dxa"/>
          </w:tcPr>
          <w:p w14:paraId="69B7CB5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Correlation magnitudes redefine</w:t>
            </w:r>
          </w:p>
        </w:tc>
      </w:tr>
      <w:tr w:rsidR="00B77918" w:rsidRPr="00B77918" w14:paraId="65DD40CA" w14:textId="77777777" w:rsidTr="00151104">
        <w:trPr>
          <w:jc w:val="center"/>
        </w:trPr>
        <w:tc>
          <w:tcPr>
            <w:tcW w:w="1872" w:type="dxa"/>
          </w:tcPr>
          <w:p w14:paraId="7B5D79C0"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module3.analysis.rna_layer</w:t>
            </w:r>
          </w:p>
        </w:tc>
        <w:tc>
          <w:tcPr>
            <w:tcW w:w="1872" w:type="dxa"/>
          </w:tcPr>
          <w:p w14:paraId="4C14C105"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spliced_unspliced_sum</w:t>
            </w:r>
          </w:p>
        </w:tc>
        <w:tc>
          <w:tcPr>
            <w:tcW w:w="1872" w:type="dxa"/>
          </w:tcPr>
          <w:p w14:paraId="533DC9D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Preferred MuData RNA layer</w:t>
            </w:r>
          </w:p>
        </w:tc>
        <w:tc>
          <w:tcPr>
            <w:tcW w:w="1872" w:type="dxa"/>
          </w:tcPr>
          <w:p w14:paraId="0474FB9A"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Use </w:t>
            </w:r>
            <w:r w:rsidRPr="00B77918">
              <w:rPr>
                <w:rFonts w:ascii="Times New Roman" w:hAnsi="Times New Roman" w:cs="Times New Roman"/>
                <w:color w:val="1A3E6E"/>
                <w:sz w:val="15"/>
              </w:rPr>
              <w:t>spliced</w:t>
            </w:r>
            <w:r w:rsidRPr="00B77918">
              <w:rPr>
                <w:rFonts w:ascii="Times New Roman" w:hAnsi="Times New Roman" w:cs="Times New Roman"/>
                <w:sz w:val="17"/>
              </w:rPr>
              <w:t xml:space="preserve"> only</w:t>
            </w:r>
          </w:p>
        </w:tc>
        <w:tc>
          <w:tcPr>
            <w:tcW w:w="1872" w:type="dxa"/>
          </w:tcPr>
          <w:p w14:paraId="16E4E2C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Layer-resolved values change on MuData path</w:t>
            </w:r>
          </w:p>
        </w:tc>
      </w:tr>
      <w:tr w:rsidR="00B77918" w:rsidRPr="00B77918" w14:paraId="00FF284F" w14:textId="77777777" w:rsidTr="00151104">
        <w:trPr>
          <w:jc w:val="center"/>
        </w:trPr>
        <w:tc>
          <w:tcPr>
            <w:tcW w:w="1872" w:type="dxa"/>
          </w:tcPr>
          <w:p w14:paraId="740B6450"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module3.analysis.rna_layer_fallback</w:t>
            </w:r>
          </w:p>
        </w:tc>
        <w:tc>
          <w:tcPr>
            <w:tcW w:w="1872" w:type="dxa"/>
          </w:tcPr>
          <w:p w14:paraId="74145695"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spliced</w:t>
            </w:r>
          </w:p>
        </w:tc>
        <w:tc>
          <w:tcPr>
            <w:tcW w:w="1872" w:type="dxa"/>
          </w:tcPr>
          <w:p w14:paraId="4B4A863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Fallback if preferred layer absent</w:t>
            </w:r>
          </w:p>
        </w:tc>
        <w:tc>
          <w:tcPr>
            <w:tcW w:w="1872" w:type="dxa"/>
          </w:tcPr>
          <w:p w14:paraId="050AED9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N/A if preferred exists</w:t>
            </w:r>
          </w:p>
        </w:tc>
        <w:tc>
          <w:tcPr>
            <w:tcW w:w="1872" w:type="dxa"/>
          </w:tcPr>
          <w:p w14:paraId="0F491033"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Contingency only</w:t>
            </w:r>
          </w:p>
        </w:tc>
      </w:tr>
      <w:tr w:rsidR="00B77918" w:rsidRPr="00B77918" w14:paraId="0EB2AFFD" w14:textId="77777777" w:rsidTr="00151104">
        <w:trPr>
          <w:jc w:val="center"/>
        </w:trPr>
        <w:tc>
          <w:tcPr>
            <w:tcW w:w="1872" w:type="dxa"/>
          </w:tcPr>
          <w:p w14:paraId="57B9FF84"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module3.thresholds.noise_delta_r</w:t>
            </w:r>
          </w:p>
        </w:tc>
        <w:tc>
          <w:tcPr>
            <w:tcW w:w="1872" w:type="dxa"/>
          </w:tcPr>
          <w:p w14:paraId="158C5A3A"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0.01</w:t>
            </w:r>
          </w:p>
        </w:tc>
        <w:tc>
          <w:tcPr>
            <w:tcW w:w="1872" w:type="dxa"/>
          </w:tcPr>
          <w:p w14:paraId="446E17E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Within-type vs global margin treated as noise</w:t>
            </w:r>
          </w:p>
        </w:tc>
        <w:tc>
          <w:tcPr>
            <w:tcW w:w="1872" w:type="dxa"/>
          </w:tcPr>
          <w:p w14:paraId="4E97883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Raise</w:t>
            </w:r>
          </w:p>
        </w:tc>
        <w:tc>
          <w:tcPr>
            <w:tcW w:w="1872" w:type="dxa"/>
          </w:tcPr>
          <w:p w14:paraId="26510ED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More correlations flagged as noise</w:t>
            </w:r>
          </w:p>
        </w:tc>
      </w:tr>
    </w:tbl>
    <w:p w14:paraId="78162FA2"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lastRenderedPageBreak/>
        <w:t>8. Focus-gene correlations and low-n guards</w:t>
      </w:r>
    </w:p>
    <w:tbl>
      <w:tblPr>
        <w:tblStyle w:val="TableGrid"/>
        <w:tblW w:w="0" w:type="auto"/>
        <w:jc w:val="center"/>
        <w:tblLook w:val="04A0" w:firstRow="1" w:lastRow="0" w:firstColumn="1" w:lastColumn="0" w:noHBand="0" w:noVBand="1"/>
      </w:tblPr>
      <w:tblGrid>
        <w:gridCol w:w="3541"/>
        <w:gridCol w:w="1312"/>
        <w:gridCol w:w="1626"/>
        <w:gridCol w:w="1326"/>
        <w:gridCol w:w="1545"/>
      </w:tblGrid>
      <w:tr w:rsidR="00B77918" w:rsidRPr="00B77918" w14:paraId="25EDB05F" w14:textId="77777777" w:rsidTr="00151104">
        <w:trPr>
          <w:jc w:val="center"/>
        </w:trPr>
        <w:tc>
          <w:tcPr>
            <w:tcW w:w="1872" w:type="dxa"/>
            <w:shd w:val="clear" w:color="auto" w:fill="DCE6F1"/>
          </w:tcPr>
          <w:p w14:paraId="062E58EF"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3B167EB3"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69076381"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5B813AD5"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07BAD799"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2FFC891E" w14:textId="77777777" w:rsidTr="00151104">
        <w:trPr>
          <w:jc w:val="center"/>
        </w:trPr>
        <w:tc>
          <w:tcPr>
            <w:tcW w:w="1872" w:type="dxa"/>
          </w:tcPr>
          <w:p w14:paraId="2A93F14C"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module3.analysis.focus_genes</w:t>
            </w:r>
          </w:p>
        </w:tc>
        <w:tc>
          <w:tcPr>
            <w:tcW w:w="1872" w:type="dxa"/>
          </w:tcPr>
          <w:p w14:paraId="089CC0B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SFTPC, AGER, ...</w:t>
            </w:r>
          </w:p>
        </w:tc>
        <w:tc>
          <w:tcPr>
            <w:tcW w:w="1872" w:type="dxa"/>
          </w:tcPr>
          <w:p w14:paraId="0099C04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Genes plotted/correlated</w:t>
            </w:r>
          </w:p>
        </w:tc>
        <w:tc>
          <w:tcPr>
            <w:tcW w:w="1872" w:type="dxa"/>
          </w:tcPr>
          <w:p w14:paraId="2571A26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Edit list</w:t>
            </w:r>
          </w:p>
        </w:tc>
        <w:tc>
          <w:tcPr>
            <w:tcW w:w="1872" w:type="dxa"/>
          </w:tcPr>
          <w:p w14:paraId="136F4D7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Which rows appear; not genome-wide stats</w:t>
            </w:r>
          </w:p>
        </w:tc>
      </w:tr>
      <w:tr w:rsidR="00B77918" w:rsidRPr="00B77918" w14:paraId="3E66B6DC" w14:textId="77777777" w:rsidTr="00151104">
        <w:trPr>
          <w:jc w:val="center"/>
        </w:trPr>
        <w:tc>
          <w:tcPr>
            <w:tcW w:w="1872" w:type="dxa"/>
          </w:tcPr>
          <w:p w14:paraId="062517C9"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module3.analysis.focus_gene_cell_types</w:t>
            </w:r>
          </w:p>
        </w:tc>
        <w:tc>
          <w:tcPr>
            <w:tcW w:w="1872" w:type="dxa"/>
          </w:tcPr>
          <w:p w14:paraId="580E279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per-gene Azimuth lists</w:t>
            </w:r>
          </w:p>
        </w:tc>
        <w:tc>
          <w:tcPr>
            <w:tcW w:w="1872" w:type="dxa"/>
          </w:tcPr>
          <w:p w14:paraId="32128CF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Expected cell types for within-type n</w:t>
            </w:r>
          </w:p>
        </w:tc>
        <w:tc>
          <w:tcPr>
            <w:tcW w:w="1872" w:type="dxa"/>
          </w:tcPr>
          <w:p w14:paraId="0CB69036"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Edit</w:t>
            </w:r>
          </w:p>
        </w:tc>
        <w:tc>
          <w:tcPr>
            <w:tcW w:w="1872" w:type="dxa"/>
          </w:tcPr>
          <w:p w14:paraId="52C72F1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Changes within-type n and flags</w:t>
            </w:r>
          </w:p>
        </w:tc>
      </w:tr>
      <w:tr w:rsidR="00B77918" w:rsidRPr="00B77918" w14:paraId="42FB28D8" w14:textId="77777777" w:rsidTr="00151104">
        <w:trPr>
          <w:jc w:val="center"/>
        </w:trPr>
        <w:tc>
          <w:tcPr>
            <w:tcW w:w="1872" w:type="dxa"/>
          </w:tcPr>
          <w:p w14:paraId="0581FB87"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module3.analysis.focus_genes_not_in_both_modalities</w:t>
            </w:r>
          </w:p>
        </w:tc>
        <w:tc>
          <w:tcPr>
            <w:tcW w:w="1872" w:type="dxa"/>
          </w:tcPr>
          <w:p w14:paraId="669B2935"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[EPCAM]</w:t>
            </w:r>
          </w:p>
        </w:tc>
        <w:tc>
          <w:tcPr>
            <w:tcW w:w="1872" w:type="dxa"/>
          </w:tcPr>
          <w:p w14:paraId="6988B4D0"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Genes known unpaired</w:t>
            </w:r>
          </w:p>
        </w:tc>
        <w:tc>
          <w:tcPr>
            <w:tcW w:w="1872" w:type="dxa"/>
          </w:tcPr>
          <w:p w14:paraId="3C8D723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Edit</w:t>
            </w:r>
          </w:p>
        </w:tc>
        <w:tc>
          <w:tcPr>
            <w:tcW w:w="1872" w:type="dxa"/>
          </w:tcPr>
          <w:p w14:paraId="196496D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Documentation of impossible pairs</w:t>
            </w:r>
          </w:p>
        </w:tc>
      </w:tr>
      <w:tr w:rsidR="00B77918" w:rsidRPr="00B77918" w14:paraId="2C8CC238" w14:textId="77777777" w:rsidTr="00151104">
        <w:trPr>
          <w:jc w:val="center"/>
        </w:trPr>
        <w:tc>
          <w:tcPr>
            <w:tcW w:w="1872" w:type="dxa"/>
          </w:tcPr>
          <w:p w14:paraId="385ABA8A"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module3.thresholds.min_nuclei_correlation</w:t>
            </w:r>
          </w:p>
        </w:tc>
        <w:tc>
          <w:tcPr>
            <w:tcW w:w="1872" w:type="dxa"/>
          </w:tcPr>
          <w:p w14:paraId="0BB31255"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50</w:t>
            </w:r>
          </w:p>
        </w:tc>
        <w:tc>
          <w:tcPr>
            <w:tcW w:w="1872" w:type="dxa"/>
          </w:tcPr>
          <w:p w14:paraId="6FD30451"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Flag low-n correlations</w:t>
            </w:r>
          </w:p>
        </w:tc>
        <w:tc>
          <w:tcPr>
            <w:tcW w:w="1872" w:type="dxa"/>
          </w:tcPr>
          <w:p w14:paraId="0D59958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Raise</w:t>
            </w:r>
          </w:p>
        </w:tc>
        <w:tc>
          <w:tcPr>
            <w:tcW w:w="1872" w:type="dxa"/>
          </w:tcPr>
          <w:p w14:paraId="40CA50D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More rows flagged unreliable</w:t>
            </w:r>
          </w:p>
        </w:tc>
      </w:tr>
      <w:tr w:rsidR="00B77918" w:rsidRPr="00B77918" w14:paraId="42328343" w14:textId="77777777" w:rsidTr="00151104">
        <w:trPr>
          <w:jc w:val="center"/>
        </w:trPr>
        <w:tc>
          <w:tcPr>
            <w:tcW w:w="1872" w:type="dxa"/>
          </w:tcPr>
          <w:p w14:paraId="2F039DF6"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module3.thresholds.noise_delta_r</w:t>
            </w:r>
          </w:p>
        </w:tc>
        <w:tc>
          <w:tcPr>
            <w:tcW w:w="1872" w:type="dxa"/>
          </w:tcPr>
          <w:p w14:paraId="38CFA203"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0.01</w:t>
            </w:r>
          </w:p>
        </w:tc>
        <w:tc>
          <w:tcPr>
            <w:tcW w:w="1872" w:type="dxa"/>
          </w:tcPr>
          <w:p w14:paraId="1087170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Noise margin vs global r</w:t>
            </w:r>
          </w:p>
        </w:tc>
        <w:tc>
          <w:tcPr>
            <w:tcW w:w="1872" w:type="dxa"/>
          </w:tcPr>
          <w:p w14:paraId="298BE58D"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Raise</w:t>
            </w:r>
          </w:p>
        </w:tc>
        <w:tc>
          <w:tcPr>
            <w:tcW w:w="1872" w:type="dxa"/>
          </w:tcPr>
          <w:p w14:paraId="76F222EB"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Stricter "real within-type" calls</w:t>
            </w:r>
          </w:p>
        </w:tc>
      </w:tr>
    </w:tbl>
    <w:p w14:paraId="26E27EC7" w14:textId="77777777" w:rsidR="00B77918" w:rsidRPr="00B77918" w:rsidRDefault="00B77918" w:rsidP="00B77918">
      <w:pPr>
        <w:pStyle w:val="Heading4"/>
        <w:rPr>
          <w:rFonts w:ascii="Times New Roman" w:hAnsi="Times New Roman" w:cs="Times New Roman"/>
        </w:rPr>
      </w:pPr>
      <w:r w:rsidRPr="00B77918">
        <w:rPr>
          <w:rFonts w:ascii="Times New Roman" w:hAnsi="Times New Roman" w:cs="Times New Roman"/>
          <w:color w:val="1F4E79"/>
        </w:rPr>
        <w:t>Optional MuData extension</w:t>
      </w:r>
    </w:p>
    <w:tbl>
      <w:tblPr>
        <w:tblStyle w:val="TableGrid"/>
        <w:tblW w:w="0" w:type="auto"/>
        <w:jc w:val="center"/>
        <w:tblLook w:val="04A0" w:firstRow="1" w:lastRow="0" w:firstColumn="1" w:lastColumn="0" w:noHBand="0" w:noVBand="1"/>
      </w:tblPr>
      <w:tblGrid>
        <w:gridCol w:w="2916"/>
        <w:gridCol w:w="1537"/>
        <w:gridCol w:w="1636"/>
        <w:gridCol w:w="1549"/>
        <w:gridCol w:w="1712"/>
      </w:tblGrid>
      <w:tr w:rsidR="00B77918" w:rsidRPr="00B77918" w14:paraId="36D07727" w14:textId="77777777" w:rsidTr="00151104">
        <w:trPr>
          <w:jc w:val="center"/>
        </w:trPr>
        <w:tc>
          <w:tcPr>
            <w:tcW w:w="1872" w:type="dxa"/>
            <w:shd w:val="clear" w:color="auto" w:fill="DCE6F1"/>
          </w:tcPr>
          <w:p w14:paraId="5A265F2D"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Config key</w:t>
            </w:r>
          </w:p>
        </w:tc>
        <w:tc>
          <w:tcPr>
            <w:tcW w:w="1872" w:type="dxa"/>
            <w:shd w:val="clear" w:color="auto" w:fill="DCE6F1"/>
          </w:tcPr>
          <w:p w14:paraId="0D1E14BF"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Default</w:t>
            </w:r>
          </w:p>
        </w:tc>
        <w:tc>
          <w:tcPr>
            <w:tcW w:w="1872" w:type="dxa"/>
            <w:shd w:val="clear" w:color="auto" w:fill="DCE6F1"/>
          </w:tcPr>
          <w:p w14:paraId="560E9D3B"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Definition</w:t>
            </w:r>
          </w:p>
        </w:tc>
        <w:tc>
          <w:tcPr>
            <w:tcW w:w="1872" w:type="dxa"/>
            <w:shd w:val="clear" w:color="auto" w:fill="DCE6F1"/>
          </w:tcPr>
          <w:p w14:paraId="09B2C2F8"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If modified</w:t>
            </w:r>
          </w:p>
        </w:tc>
        <w:tc>
          <w:tcPr>
            <w:tcW w:w="1872" w:type="dxa"/>
            <w:shd w:val="clear" w:color="auto" w:fill="DCE6F1"/>
          </w:tcPr>
          <w:p w14:paraId="29EE521A" w14:textId="77777777" w:rsidR="00B77918" w:rsidRPr="00B77918" w:rsidRDefault="00B77918" w:rsidP="00151104">
            <w:pPr>
              <w:rPr>
                <w:rFonts w:ascii="Times New Roman" w:hAnsi="Times New Roman" w:cs="Times New Roman"/>
              </w:rPr>
            </w:pPr>
            <w:r w:rsidRPr="00B77918">
              <w:rPr>
                <w:rFonts w:ascii="Times New Roman" w:hAnsi="Times New Roman" w:cs="Times New Roman"/>
                <w:b/>
                <w:sz w:val="17"/>
              </w:rPr>
              <w:t>Impact on results</w:t>
            </w:r>
          </w:p>
        </w:tc>
      </w:tr>
      <w:tr w:rsidR="00B77918" w:rsidRPr="00B77918" w14:paraId="0C9DD518" w14:textId="77777777" w:rsidTr="00151104">
        <w:trPr>
          <w:jc w:val="center"/>
        </w:trPr>
        <w:tc>
          <w:tcPr>
            <w:tcW w:w="1872" w:type="dxa"/>
          </w:tcPr>
          <w:p w14:paraId="7677E67C"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module3.params.load_h5mu</w:t>
            </w:r>
          </w:p>
        </w:tc>
        <w:tc>
          <w:tcPr>
            <w:tcW w:w="1872" w:type="dxa"/>
          </w:tcPr>
          <w:p w14:paraId="70D222A6"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false</w:t>
            </w:r>
          </w:p>
        </w:tc>
        <w:tc>
          <w:tcPr>
            <w:tcW w:w="1872" w:type="dxa"/>
          </w:tcPr>
          <w:p w14:paraId="48882108"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Whether MuData extension runs</w:t>
            </w:r>
          </w:p>
        </w:tc>
        <w:tc>
          <w:tcPr>
            <w:tcW w:w="1872" w:type="dxa"/>
          </w:tcPr>
          <w:p w14:paraId="29680AF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Set </w:t>
            </w:r>
            <w:r w:rsidRPr="00B77918">
              <w:rPr>
                <w:rFonts w:ascii="Times New Roman" w:hAnsi="Times New Roman" w:cs="Times New Roman"/>
                <w:color w:val="1A3E6E"/>
                <w:sz w:val="15"/>
              </w:rPr>
              <w:t>true</w:t>
            </w:r>
          </w:p>
        </w:tc>
        <w:tc>
          <w:tcPr>
            <w:tcW w:w="1872" w:type="dxa"/>
          </w:tcPr>
          <w:p w14:paraId="1778B3F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Large download/RAM; extra panels</w:t>
            </w:r>
          </w:p>
        </w:tc>
      </w:tr>
      <w:tr w:rsidR="00B77918" w:rsidRPr="00B77918" w14:paraId="4AE76A4F" w14:textId="77777777" w:rsidTr="00151104">
        <w:trPr>
          <w:jc w:val="center"/>
        </w:trPr>
        <w:tc>
          <w:tcPr>
            <w:tcW w:w="1872" w:type="dxa"/>
          </w:tcPr>
          <w:p w14:paraId="1E04A794"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module3.params.secondary_h5mu_size_note</w:t>
            </w:r>
          </w:p>
        </w:tc>
        <w:tc>
          <w:tcPr>
            <w:tcW w:w="1872" w:type="dxa"/>
          </w:tcPr>
          <w:p w14:paraId="339D9289"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~14.7 GiB; optional...</w:t>
            </w:r>
          </w:p>
        </w:tc>
        <w:tc>
          <w:tcPr>
            <w:tcW w:w="1872" w:type="dxa"/>
          </w:tcPr>
          <w:p w14:paraId="3F0B6D55"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Human-readable size warning</w:t>
            </w:r>
          </w:p>
        </w:tc>
        <w:tc>
          <w:tcPr>
            <w:tcW w:w="1872" w:type="dxa"/>
          </w:tcPr>
          <w:p w14:paraId="346E2E5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Editorial</w:t>
            </w:r>
          </w:p>
        </w:tc>
        <w:tc>
          <w:tcPr>
            <w:tcW w:w="1872" w:type="dxa"/>
          </w:tcPr>
          <w:p w14:paraId="01F5B9D9"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Docs only</w:t>
            </w:r>
          </w:p>
        </w:tc>
      </w:tr>
      <w:tr w:rsidR="00B77918" w:rsidRPr="00B77918" w14:paraId="7AEC250F" w14:textId="77777777" w:rsidTr="00151104">
        <w:trPr>
          <w:jc w:val="center"/>
        </w:trPr>
        <w:tc>
          <w:tcPr>
            <w:tcW w:w="1872" w:type="dxa"/>
          </w:tcPr>
          <w:p w14:paraId="2AE6468C"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module3.interpretation</w:t>
            </w:r>
          </w:p>
        </w:tc>
        <w:tc>
          <w:tcPr>
            <w:tcW w:w="1872" w:type="dxa"/>
          </w:tcPr>
          <w:p w14:paraId="5F2D3E47"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true</w:t>
            </w:r>
          </w:p>
        </w:tc>
        <w:tc>
          <w:tcPr>
            <w:tcW w:w="1872" w:type="dxa"/>
          </w:tcPr>
          <w:p w14:paraId="65BB0654"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Write interpretation markdown</w:t>
            </w:r>
          </w:p>
        </w:tc>
        <w:tc>
          <w:tcPr>
            <w:tcW w:w="1872" w:type="dxa"/>
          </w:tcPr>
          <w:p w14:paraId="52EEAADE"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 xml:space="preserve">Set </w:t>
            </w:r>
            <w:r w:rsidRPr="00B77918">
              <w:rPr>
                <w:rFonts w:ascii="Times New Roman" w:hAnsi="Times New Roman" w:cs="Times New Roman"/>
                <w:color w:val="1A3E6E"/>
                <w:sz w:val="15"/>
              </w:rPr>
              <w:t>false</w:t>
            </w:r>
          </w:p>
        </w:tc>
        <w:tc>
          <w:tcPr>
            <w:tcW w:w="1872" w:type="dxa"/>
          </w:tcPr>
          <w:p w14:paraId="291DE52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Skips narrative export</w:t>
            </w:r>
          </w:p>
        </w:tc>
      </w:tr>
      <w:tr w:rsidR="00B77918" w:rsidRPr="00B77918" w14:paraId="6996E342" w14:textId="77777777" w:rsidTr="00151104">
        <w:trPr>
          <w:jc w:val="center"/>
        </w:trPr>
        <w:tc>
          <w:tcPr>
            <w:tcW w:w="1872" w:type="dxa"/>
          </w:tcPr>
          <w:p w14:paraId="5056BD3D"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module3.assay</w:t>
            </w:r>
          </w:p>
        </w:tc>
        <w:tc>
          <w:tcPr>
            <w:tcW w:w="1872" w:type="dxa"/>
          </w:tcPr>
          <w:p w14:paraId="2AA6B2B1" w14:textId="77777777" w:rsidR="00B77918" w:rsidRPr="00B77918" w:rsidRDefault="00B77918" w:rsidP="00151104">
            <w:pPr>
              <w:rPr>
                <w:rFonts w:ascii="Times New Roman" w:hAnsi="Times New Roman" w:cs="Times New Roman"/>
              </w:rPr>
            </w:pPr>
            <w:r w:rsidRPr="00B77918">
              <w:rPr>
                <w:rFonts w:ascii="Times New Roman" w:hAnsi="Times New Roman" w:cs="Times New Roman"/>
                <w:color w:val="1A3E6E"/>
                <w:sz w:val="15"/>
              </w:rPr>
              <w:t>SNARE-seq2 [Salmon + ArchR + Muon]</w:t>
            </w:r>
          </w:p>
        </w:tc>
        <w:tc>
          <w:tcPr>
            <w:tcW w:w="1872" w:type="dxa"/>
          </w:tcPr>
          <w:p w14:paraId="5821E87F"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Assay label for reports</w:t>
            </w:r>
          </w:p>
        </w:tc>
        <w:tc>
          <w:tcPr>
            <w:tcW w:w="1872" w:type="dxa"/>
          </w:tcPr>
          <w:p w14:paraId="27E132D2"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Editorial</w:t>
            </w:r>
          </w:p>
        </w:tc>
        <w:tc>
          <w:tcPr>
            <w:tcW w:w="1872" w:type="dxa"/>
          </w:tcPr>
          <w:p w14:paraId="05675E3C" w14:textId="77777777" w:rsidR="00B77918" w:rsidRPr="00B77918" w:rsidRDefault="00B77918" w:rsidP="00151104">
            <w:pPr>
              <w:rPr>
                <w:rFonts w:ascii="Times New Roman" w:hAnsi="Times New Roman" w:cs="Times New Roman"/>
              </w:rPr>
            </w:pPr>
            <w:r w:rsidRPr="00B77918">
              <w:rPr>
                <w:rFonts w:ascii="Times New Roman" w:hAnsi="Times New Roman" w:cs="Times New Roman"/>
                <w:sz w:val="17"/>
              </w:rPr>
              <w:t>Provenance text</w:t>
            </w:r>
          </w:p>
        </w:tc>
      </w:tr>
    </w:tbl>
    <w:p w14:paraId="5C995568" w14:textId="77777777" w:rsidR="00B77918" w:rsidRPr="00B77918" w:rsidRDefault="00B77918" w:rsidP="00B77918">
      <w:pPr>
        <w:pStyle w:val="Heading1"/>
        <w:rPr>
          <w:rFonts w:ascii="Times New Roman" w:hAnsi="Times New Roman" w:cs="Times New Roman"/>
        </w:rPr>
      </w:pPr>
      <w:r w:rsidRPr="00B77918">
        <w:rPr>
          <w:rFonts w:ascii="Times New Roman" w:hAnsi="Times New Roman" w:cs="Times New Roman"/>
          <w:color w:val="1F4E79"/>
        </w:rPr>
        <w:t>References</w:t>
      </w:r>
    </w:p>
    <w:p w14:paraId="016E6F58"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 xml:space="preserve">Duong TE, Diep D, Conklin KY, et al. A Multimodal Spatial and Epigenomic Atlas of Human Adult Lung Topography. </w:t>
      </w:r>
      <w:r w:rsidRPr="00B77918">
        <w:rPr>
          <w:rFonts w:ascii="Times New Roman" w:hAnsi="Times New Roman" w:cs="Times New Roman"/>
          <w:i/>
        </w:rPr>
        <w:t>bioRxiv</w:t>
      </w:r>
      <w:r w:rsidRPr="00B77918">
        <w:rPr>
          <w:rFonts w:ascii="Times New Roman" w:hAnsi="Times New Roman" w:cs="Times New Roman"/>
        </w:rPr>
        <w:t xml:space="preserve">. 2025. DOI: </w:t>
      </w:r>
      <w:hyperlink r:id="rId14">
        <w:r w:rsidRPr="00B77918">
          <w:rPr>
            <w:rFonts w:ascii="Times New Roman" w:hAnsi="Times New Roman" w:cs="Times New Roman"/>
            <w:color w:val="0B4F8A"/>
            <w:u w:val="single"/>
          </w:rPr>
          <w:t>10.1101/2025.05.23.655666</w:t>
        </w:r>
      </w:hyperlink>
      <w:r w:rsidRPr="00B77918">
        <w:rPr>
          <w:rFonts w:ascii="Times New Roman" w:hAnsi="Times New Roman" w:cs="Times New Roman"/>
        </w:rPr>
        <w:t>. Preprint; the source publication for the SNARE-seq2 and snRNA-seq data this course uses. Its own analysis labels SNARE-seq2 nuclei from the RNA modality alone and reports no joint RNA-ATAC factor model, so the MOFA object interpreted here is a product of the HuBMAP central pipeline rather than of that paper.</w:t>
      </w:r>
    </w:p>
    <w:p w14:paraId="04B2406A"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 xml:space="preserve">Argelaguet R, et al. MOFA+: a statistical framework for comprehensive integration of multi-modal single-cell data. </w:t>
      </w:r>
      <w:r w:rsidRPr="00B77918">
        <w:rPr>
          <w:rFonts w:ascii="Times New Roman" w:hAnsi="Times New Roman" w:cs="Times New Roman"/>
          <w:i/>
        </w:rPr>
        <w:t>Genome Biol</w:t>
      </w:r>
      <w:r w:rsidRPr="00B77918">
        <w:rPr>
          <w:rFonts w:ascii="Times New Roman" w:hAnsi="Times New Roman" w:cs="Times New Roman"/>
        </w:rPr>
        <w:t xml:space="preserve">. 2020;21(1):111. PMID: </w:t>
      </w:r>
      <w:hyperlink r:id="rId15">
        <w:r w:rsidRPr="00B77918">
          <w:rPr>
            <w:rFonts w:ascii="Times New Roman" w:hAnsi="Times New Roman" w:cs="Times New Roman"/>
            <w:color w:val="0B4F8A"/>
            <w:u w:val="single"/>
          </w:rPr>
          <w:t>32393329</w:t>
        </w:r>
      </w:hyperlink>
      <w:r w:rsidRPr="00B77918">
        <w:rPr>
          <w:rFonts w:ascii="Times New Roman" w:hAnsi="Times New Roman" w:cs="Times New Roman"/>
        </w:rPr>
        <w:t>.</w:t>
      </w:r>
    </w:p>
    <w:p w14:paraId="455DD3E3"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 xml:space="preserve">HuBMAP Consortium. The human body at cellular resolution: the NIH Human Biomolecular Atlas Program. </w:t>
      </w:r>
      <w:r w:rsidRPr="00B77918">
        <w:rPr>
          <w:rFonts w:ascii="Times New Roman" w:hAnsi="Times New Roman" w:cs="Times New Roman"/>
          <w:i/>
        </w:rPr>
        <w:t>Nature</w:t>
      </w:r>
      <w:r w:rsidRPr="00B77918">
        <w:rPr>
          <w:rFonts w:ascii="Times New Roman" w:hAnsi="Times New Roman" w:cs="Times New Roman"/>
        </w:rPr>
        <w:t xml:space="preserve">. 2019;574(7777):187-192. PMID: </w:t>
      </w:r>
      <w:hyperlink r:id="rId16">
        <w:r w:rsidRPr="00B77918">
          <w:rPr>
            <w:rFonts w:ascii="Times New Roman" w:hAnsi="Times New Roman" w:cs="Times New Roman"/>
            <w:color w:val="0B4F8A"/>
            <w:u w:val="single"/>
          </w:rPr>
          <w:t>31597973</w:t>
        </w:r>
      </w:hyperlink>
      <w:r w:rsidRPr="00B77918">
        <w:rPr>
          <w:rFonts w:ascii="Times New Roman" w:hAnsi="Times New Roman" w:cs="Times New Roman"/>
        </w:rPr>
        <w:t>.</w:t>
      </w:r>
    </w:p>
    <w:p w14:paraId="3B968558"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 xml:space="preserve">Dataset: HuBMAP </w:t>
      </w:r>
      <w:r w:rsidRPr="00B77918">
        <w:rPr>
          <w:rFonts w:ascii="Times New Roman" w:hAnsi="Times New Roman" w:cs="Times New Roman"/>
          <w:color w:val="1A3E6E"/>
          <w:sz w:val="19"/>
        </w:rPr>
        <w:t>HBM828.GPVG.252</w:t>
      </w:r>
      <w:r w:rsidRPr="00B77918">
        <w:rPr>
          <w:rFonts w:ascii="Times New Roman" w:hAnsi="Times New Roman" w:cs="Times New Roman"/>
        </w:rPr>
        <w:t xml:space="preserve"> (SNARE-seq2 Salmon + ArchR + Muon). Portal: </w:t>
      </w:r>
      <w:hyperlink r:id="rId17">
        <w:r w:rsidRPr="00B77918">
          <w:rPr>
            <w:rFonts w:ascii="Times New Roman" w:hAnsi="Times New Roman" w:cs="Times New Roman"/>
            <w:color w:val="0B4F8A"/>
            <w:u w:val="single"/>
          </w:rPr>
          <w:t>browse dataset</w:t>
        </w:r>
      </w:hyperlink>
      <w:r w:rsidRPr="00B77918">
        <w:rPr>
          <w:rFonts w:ascii="Times New Roman" w:hAnsi="Times New Roman" w:cs="Times New Roman"/>
        </w:rPr>
        <w:t>.</w:t>
      </w:r>
    </w:p>
    <w:p w14:paraId="188642FC" w14:textId="77777777" w:rsidR="00B77918" w:rsidRPr="00B77918" w:rsidRDefault="00B77918" w:rsidP="00B77918">
      <w:pPr>
        <w:pStyle w:val="ListNumber"/>
        <w:tabs>
          <w:tab w:val="num" w:pos="360"/>
        </w:tabs>
        <w:spacing w:after="40"/>
        <w:ind w:left="360" w:hanging="360"/>
        <w:rPr>
          <w:rFonts w:ascii="Times New Roman" w:hAnsi="Times New Roman" w:cs="Times New Roman"/>
        </w:rPr>
      </w:pPr>
      <w:r w:rsidRPr="00B77918">
        <w:rPr>
          <w:rFonts w:ascii="Times New Roman" w:hAnsi="Times New Roman" w:cs="Times New Roman"/>
        </w:rPr>
        <w:t xml:space="preserve">Matched 10x snRNA teaching block: HuBMAP </w:t>
      </w:r>
      <w:r w:rsidRPr="00B77918">
        <w:rPr>
          <w:rFonts w:ascii="Times New Roman" w:hAnsi="Times New Roman" w:cs="Times New Roman"/>
          <w:color w:val="1A3E6E"/>
          <w:sz w:val="19"/>
        </w:rPr>
        <w:t>HBM473.NKMR.872</w:t>
      </w:r>
      <w:r w:rsidRPr="00B77918">
        <w:rPr>
          <w:rFonts w:ascii="Times New Roman" w:hAnsi="Times New Roman" w:cs="Times New Roman"/>
        </w:rPr>
        <w:t xml:space="preserve">. Portal: </w:t>
      </w:r>
      <w:hyperlink r:id="rId18">
        <w:r w:rsidRPr="00B77918">
          <w:rPr>
            <w:rFonts w:ascii="Times New Roman" w:hAnsi="Times New Roman" w:cs="Times New Roman"/>
            <w:color w:val="0B4F8A"/>
            <w:u w:val="single"/>
          </w:rPr>
          <w:t>browse dataset</w:t>
        </w:r>
      </w:hyperlink>
      <w:r w:rsidRPr="00B77918">
        <w:rPr>
          <w:rFonts w:ascii="Times New Roman" w:hAnsi="Times New Roman" w:cs="Times New Roman"/>
        </w:rPr>
        <w:t>.</w:t>
      </w:r>
    </w:p>
    <w:p w14:paraId="74361552" w14:textId="77777777" w:rsidR="00BA234A" w:rsidRPr="00B77918" w:rsidRDefault="00BA234A">
      <w:pPr>
        <w:rPr>
          <w:rFonts w:ascii="Times New Roman" w:hAnsi="Times New Roman" w:cs="Times New Roman"/>
        </w:rPr>
      </w:pPr>
    </w:p>
    <w:sectPr w:rsidR="00BA234A" w:rsidRPr="00B77918" w:rsidSect="00B77918">
      <w:footerReference w:type="default" r:id="rId1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87A07" w14:textId="77777777" w:rsidR="00B77918" w:rsidRDefault="00B77918">
    <w:pPr>
      <w:pStyle w:val="Footer"/>
      <w:jc w:val="center"/>
    </w:pPr>
    <w:r>
      <w:rPr>
        <w:color w:val="444444"/>
        <w:sz w:val="18"/>
      </w:rPr>
      <w:fldChar w:fldCharType="begin"/>
    </w:r>
    <w:r>
      <w:rPr>
        <w:color w:val="444444"/>
        <w:sz w:val="18"/>
      </w:rPr>
      <w:instrText xml:space="preserve"> PAGE </w:instrText>
    </w:r>
    <w:r>
      <w:rPr>
        <w:color w:val="444444"/>
        <w:sz w:val="18"/>
      </w:rPr>
      <w:fldChar w:fldCharType="separate"/>
    </w:r>
    <w:r>
      <w:rPr>
        <w:noProof/>
        <w:color w:val="444444"/>
        <w:sz w:val="18"/>
      </w:rPr>
      <w:t>1</w:t>
    </w:r>
    <w:r>
      <w:rPr>
        <w:color w:val="444444"/>
        <w:sz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D96E1D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FEEAC6"/>
    <w:lvl w:ilvl="0">
      <w:start w:val="1"/>
      <w:numFmt w:val="bullet"/>
      <w:pStyle w:val="ListBullet"/>
      <w:lvlText w:val=""/>
      <w:lvlJc w:val="left"/>
      <w:pPr>
        <w:tabs>
          <w:tab w:val="num" w:pos="360"/>
        </w:tabs>
        <w:ind w:left="360" w:hanging="360"/>
      </w:pPr>
      <w:rPr>
        <w:rFonts w:ascii="Symbol" w:hAnsi="Symbol" w:hint="default"/>
      </w:rPr>
    </w:lvl>
  </w:abstractNum>
  <w:num w:numId="1" w16cid:durableId="22748585">
    <w:abstractNumId w:val="8"/>
  </w:num>
  <w:num w:numId="2" w16cid:durableId="796072374">
    <w:abstractNumId w:val="6"/>
  </w:num>
  <w:num w:numId="3" w16cid:durableId="1394965428">
    <w:abstractNumId w:val="5"/>
  </w:num>
  <w:num w:numId="4" w16cid:durableId="2142571522">
    <w:abstractNumId w:val="4"/>
  </w:num>
  <w:num w:numId="5" w16cid:durableId="156502815">
    <w:abstractNumId w:val="7"/>
  </w:num>
  <w:num w:numId="6" w16cid:durableId="98986218">
    <w:abstractNumId w:val="3"/>
  </w:num>
  <w:num w:numId="7" w16cid:durableId="230122735">
    <w:abstractNumId w:val="2"/>
  </w:num>
  <w:num w:numId="8" w16cid:durableId="978535374">
    <w:abstractNumId w:val="1"/>
  </w:num>
  <w:num w:numId="9" w16cid:durableId="10362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29"/>
    <w:rsid w:val="00216BCA"/>
    <w:rsid w:val="0031396B"/>
    <w:rsid w:val="005B6A4E"/>
    <w:rsid w:val="00812C29"/>
    <w:rsid w:val="00B77918"/>
    <w:rsid w:val="00BA2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8C70AA"/>
  <w15:chartTrackingRefBased/>
  <w15:docId w15:val="{4BF79348-0634-D94A-8EAF-3F04C4182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918"/>
    <w:pPr>
      <w:spacing w:after="120" w:line="276" w:lineRule="auto"/>
    </w:pPr>
    <w:rPr>
      <w:rFonts w:ascii="Calibri" w:eastAsiaTheme="minorEastAsia" w:hAnsi="Calibri"/>
      <w:kern w:val="0"/>
      <w:sz w:val="21"/>
      <w:szCs w:val="22"/>
      <w14:ligatures w14:val="none"/>
    </w:rPr>
  </w:style>
  <w:style w:type="paragraph" w:styleId="Heading1">
    <w:name w:val="heading 1"/>
    <w:basedOn w:val="Normal"/>
    <w:next w:val="Normal"/>
    <w:link w:val="Heading1Char"/>
    <w:uiPriority w:val="9"/>
    <w:qFormat/>
    <w:rsid w:val="00812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2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2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29"/>
    <w:rPr>
      <w:rFonts w:eastAsiaTheme="majorEastAsia" w:cstheme="majorBidi"/>
      <w:color w:val="272727" w:themeColor="text1" w:themeTint="D8"/>
    </w:rPr>
  </w:style>
  <w:style w:type="paragraph" w:styleId="Title">
    <w:name w:val="Title"/>
    <w:basedOn w:val="Normal"/>
    <w:next w:val="Normal"/>
    <w:link w:val="TitleChar"/>
    <w:uiPriority w:val="10"/>
    <w:qFormat/>
    <w:rsid w:val="00812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29"/>
    <w:pPr>
      <w:spacing w:before="160"/>
      <w:jc w:val="center"/>
    </w:pPr>
    <w:rPr>
      <w:i/>
      <w:iCs/>
      <w:color w:val="404040" w:themeColor="text1" w:themeTint="BF"/>
    </w:rPr>
  </w:style>
  <w:style w:type="character" w:customStyle="1" w:styleId="QuoteChar">
    <w:name w:val="Quote Char"/>
    <w:basedOn w:val="DefaultParagraphFont"/>
    <w:link w:val="Quote"/>
    <w:uiPriority w:val="29"/>
    <w:rsid w:val="00812C29"/>
    <w:rPr>
      <w:i/>
      <w:iCs/>
      <w:color w:val="404040" w:themeColor="text1" w:themeTint="BF"/>
    </w:rPr>
  </w:style>
  <w:style w:type="paragraph" w:styleId="ListParagraph">
    <w:name w:val="List Paragraph"/>
    <w:basedOn w:val="Normal"/>
    <w:uiPriority w:val="34"/>
    <w:qFormat/>
    <w:rsid w:val="00812C29"/>
    <w:pPr>
      <w:ind w:left="720"/>
      <w:contextualSpacing/>
    </w:pPr>
  </w:style>
  <w:style w:type="character" w:styleId="IntenseEmphasis">
    <w:name w:val="Intense Emphasis"/>
    <w:basedOn w:val="DefaultParagraphFont"/>
    <w:uiPriority w:val="21"/>
    <w:qFormat/>
    <w:rsid w:val="00812C29"/>
    <w:rPr>
      <w:i/>
      <w:iCs/>
      <w:color w:val="0F4761" w:themeColor="accent1" w:themeShade="BF"/>
    </w:rPr>
  </w:style>
  <w:style w:type="paragraph" w:styleId="IntenseQuote">
    <w:name w:val="Intense Quote"/>
    <w:basedOn w:val="Normal"/>
    <w:next w:val="Normal"/>
    <w:link w:val="IntenseQuoteChar"/>
    <w:uiPriority w:val="30"/>
    <w:qFormat/>
    <w:rsid w:val="00812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29"/>
    <w:rPr>
      <w:i/>
      <w:iCs/>
      <w:color w:val="0F4761" w:themeColor="accent1" w:themeShade="BF"/>
    </w:rPr>
  </w:style>
  <w:style w:type="character" w:styleId="IntenseReference">
    <w:name w:val="Intense Reference"/>
    <w:basedOn w:val="DefaultParagraphFont"/>
    <w:uiPriority w:val="32"/>
    <w:qFormat/>
    <w:rsid w:val="00812C29"/>
    <w:rPr>
      <w:b/>
      <w:bCs/>
      <w:smallCaps/>
      <w:color w:val="0F4761" w:themeColor="accent1" w:themeShade="BF"/>
      <w:spacing w:val="5"/>
    </w:rPr>
  </w:style>
  <w:style w:type="paragraph" w:styleId="Header">
    <w:name w:val="header"/>
    <w:basedOn w:val="Normal"/>
    <w:link w:val="HeaderChar"/>
    <w:uiPriority w:val="99"/>
    <w:unhideWhenUsed/>
    <w:rsid w:val="00B77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7918"/>
    <w:rPr>
      <w:rFonts w:ascii="Calibri" w:eastAsiaTheme="minorEastAsia" w:hAnsi="Calibri"/>
      <w:kern w:val="0"/>
      <w:sz w:val="21"/>
      <w:szCs w:val="22"/>
      <w14:ligatures w14:val="none"/>
    </w:rPr>
  </w:style>
  <w:style w:type="paragraph" w:styleId="Footer">
    <w:name w:val="footer"/>
    <w:basedOn w:val="Normal"/>
    <w:link w:val="FooterChar"/>
    <w:uiPriority w:val="99"/>
    <w:unhideWhenUsed/>
    <w:rsid w:val="00B77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918"/>
    <w:rPr>
      <w:rFonts w:ascii="Calibri" w:eastAsiaTheme="minorEastAsia" w:hAnsi="Calibri"/>
      <w:kern w:val="0"/>
      <w:sz w:val="21"/>
      <w:szCs w:val="22"/>
      <w14:ligatures w14:val="none"/>
    </w:rPr>
  </w:style>
  <w:style w:type="paragraph" w:styleId="NoSpacing">
    <w:name w:val="No Spacing"/>
    <w:uiPriority w:val="1"/>
    <w:qFormat/>
    <w:rsid w:val="00B77918"/>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B77918"/>
  </w:style>
  <w:style w:type="character" w:customStyle="1" w:styleId="BodyTextChar">
    <w:name w:val="Body Text Char"/>
    <w:basedOn w:val="DefaultParagraphFont"/>
    <w:link w:val="BodyText"/>
    <w:uiPriority w:val="99"/>
    <w:rsid w:val="00B77918"/>
    <w:rPr>
      <w:rFonts w:ascii="Calibri" w:eastAsiaTheme="minorEastAsia" w:hAnsi="Calibri"/>
      <w:kern w:val="0"/>
      <w:sz w:val="21"/>
      <w:szCs w:val="22"/>
      <w14:ligatures w14:val="none"/>
    </w:rPr>
  </w:style>
  <w:style w:type="paragraph" w:styleId="BodyText2">
    <w:name w:val="Body Text 2"/>
    <w:basedOn w:val="Normal"/>
    <w:link w:val="BodyText2Char"/>
    <w:uiPriority w:val="99"/>
    <w:unhideWhenUsed/>
    <w:rsid w:val="00B77918"/>
    <w:pPr>
      <w:spacing w:line="480" w:lineRule="auto"/>
    </w:pPr>
  </w:style>
  <w:style w:type="character" w:customStyle="1" w:styleId="BodyText2Char">
    <w:name w:val="Body Text 2 Char"/>
    <w:basedOn w:val="DefaultParagraphFont"/>
    <w:link w:val="BodyText2"/>
    <w:uiPriority w:val="99"/>
    <w:rsid w:val="00B77918"/>
    <w:rPr>
      <w:rFonts w:ascii="Calibri" w:eastAsiaTheme="minorEastAsia" w:hAnsi="Calibri"/>
      <w:kern w:val="0"/>
      <w:sz w:val="21"/>
      <w:szCs w:val="22"/>
      <w14:ligatures w14:val="none"/>
    </w:rPr>
  </w:style>
  <w:style w:type="paragraph" w:styleId="BodyText3">
    <w:name w:val="Body Text 3"/>
    <w:basedOn w:val="Normal"/>
    <w:link w:val="BodyText3Char"/>
    <w:uiPriority w:val="99"/>
    <w:unhideWhenUsed/>
    <w:rsid w:val="00B77918"/>
    <w:rPr>
      <w:sz w:val="16"/>
      <w:szCs w:val="16"/>
    </w:rPr>
  </w:style>
  <w:style w:type="character" w:customStyle="1" w:styleId="BodyText3Char">
    <w:name w:val="Body Text 3 Char"/>
    <w:basedOn w:val="DefaultParagraphFont"/>
    <w:link w:val="BodyText3"/>
    <w:uiPriority w:val="99"/>
    <w:rsid w:val="00B77918"/>
    <w:rPr>
      <w:rFonts w:ascii="Calibri" w:eastAsiaTheme="minorEastAsia" w:hAnsi="Calibri"/>
      <w:kern w:val="0"/>
      <w:sz w:val="16"/>
      <w:szCs w:val="16"/>
      <w14:ligatures w14:val="none"/>
    </w:rPr>
  </w:style>
  <w:style w:type="paragraph" w:styleId="List">
    <w:name w:val="List"/>
    <w:basedOn w:val="Normal"/>
    <w:uiPriority w:val="99"/>
    <w:unhideWhenUsed/>
    <w:rsid w:val="00B77918"/>
    <w:pPr>
      <w:ind w:left="360" w:hanging="360"/>
      <w:contextualSpacing/>
    </w:pPr>
  </w:style>
  <w:style w:type="paragraph" w:styleId="List2">
    <w:name w:val="List 2"/>
    <w:basedOn w:val="Normal"/>
    <w:uiPriority w:val="99"/>
    <w:unhideWhenUsed/>
    <w:rsid w:val="00B77918"/>
    <w:pPr>
      <w:ind w:left="720" w:hanging="360"/>
      <w:contextualSpacing/>
    </w:pPr>
  </w:style>
  <w:style w:type="paragraph" w:styleId="List3">
    <w:name w:val="List 3"/>
    <w:basedOn w:val="Normal"/>
    <w:uiPriority w:val="99"/>
    <w:unhideWhenUsed/>
    <w:rsid w:val="00B77918"/>
    <w:pPr>
      <w:ind w:left="1080" w:hanging="360"/>
      <w:contextualSpacing/>
    </w:pPr>
  </w:style>
  <w:style w:type="paragraph" w:styleId="ListBullet">
    <w:name w:val="List Bullet"/>
    <w:basedOn w:val="Normal"/>
    <w:uiPriority w:val="99"/>
    <w:unhideWhenUsed/>
    <w:rsid w:val="00B77918"/>
    <w:pPr>
      <w:numPr>
        <w:numId w:val="1"/>
      </w:numPr>
      <w:tabs>
        <w:tab w:val="clear" w:pos="360"/>
      </w:tabs>
      <w:ind w:left="0" w:firstLine="0"/>
      <w:contextualSpacing/>
    </w:pPr>
  </w:style>
  <w:style w:type="paragraph" w:styleId="ListBullet2">
    <w:name w:val="List Bullet 2"/>
    <w:basedOn w:val="Normal"/>
    <w:uiPriority w:val="99"/>
    <w:unhideWhenUsed/>
    <w:rsid w:val="00B77918"/>
    <w:pPr>
      <w:numPr>
        <w:numId w:val="2"/>
      </w:numPr>
      <w:tabs>
        <w:tab w:val="clear" w:pos="720"/>
      </w:tabs>
      <w:ind w:left="0" w:firstLine="0"/>
      <w:contextualSpacing/>
    </w:pPr>
  </w:style>
  <w:style w:type="paragraph" w:styleId="ListBullet3">
    <w:name w:val="List Bullet 3"/>
    <w:basedOn w:val="Normal"/>
    <w:uiPriority w:val="99"/>
    <w:unhideWhenUsed/>
    <w:rsid w:val="00B77918"/>
    <w:pPr>
      <w:numPr>
        <w:numId w:val="3"/>
      </w:numPr>
      <w:tabs>
        <w:tab w:val="clear" w:pos="1080"/>
      </w:tabs>
      <w:ind w:left="0" w:firstLine="0"/>
      <w:contextualSpacing/>
    </w:pPr>
  </w:style>
  <w:style w:type="paragraph" w:styleId="ListNumber">
    <w:name w:val="List Number"/>
    <w:basedOn w:val="Normal"/>
    <w:uiPriority w:val="99"/>
    <w:unhideWhenUsed/>
    <w:rsid w:val="00B77918"/>
    <w:pPr>
      <w:numPr>
        <w:numId w:val="5"/>
      </w:numPr>
      <w:tabs>
        <w:tab w:val="clear" w:pos="360"/>
      </w:tabs>
      <w:ind w:left="0" w:firstLine="0"/>
      <w:contextualSpacing/>
    </w:pPr>
  </w:style>
  <w:style w:type="paragraph" w:styleId="ListNumber2">
    <w:name w:val="List Number 2"/>
    <w:basedOn w:val="Normal"/>
    <w:uiPriority w:val="99"/>
    <w:unhideWhenUsed/>
    <w:rsid w:val="00B77918"/>
    <w:pPr>
      <w:numPr>
        <w:numId w:val="6"/>
      </w:numPr>
      <w:tabs>
        <w:tab w:val="clear" w:pos="720"/>
      </w:tabs>
      <w:ind w:left="0" w:firstLine="0"/>
      <w:contextualSpacing/>
    </w:pPr>
  </w:style>
  <w:style w:type="paragraph" w:styleId="ListNumber3">
    <w:name w:val="List Number 3"/>
    <w:basedOn w:val="Normal"/>
    <w:uiPriority w:val="99"/>
    <w:unhideWhenUsed/>
    <w:rsid w:val="00B77918"/>
    <w:pPr>
      <w:numPr>
        <w:numId w:val="7"/>
      </w:numPr>
      <w:tabs>
        <w:tab w:val="clear" w:pos="1080"/>
      </w:tabs>
      <w:ind w:left="0" w:firstLine="0"/>
      <w:contextualSpacing/>
    </w:pPr>
  </w:style>
  <w:style w:type="paragraph" w:styleId="ListContinue">
    <w:name w:val="List Continue"/>
    <w:basedOn w:val="Normal"/>
    <w:uiPriority w:val="99"/>
    <w:unhideWhenUsed/>
    <w:rsid w:val="00B77918"/>
    <w:pPr>
      <w:ind w:left="360"/>
      <w:contextualSpacing/>
    </w:pPr>
  </w:style>
  <w:style w:type="paragraph" w:styleId="ListContinue2">
    <w:name w:val="List Continue 2"/>
    <w:basedOn w:val="Normal"/>
    <w:uiPriority w:val="99"/>
    <w:unhideWhenUsed/>
    <w:rsid w:val="00B77918"/>
    <w:pPr>
      <w:ind w:left="720"/>
      <w:contextualSpacing/>
    </w:pPr>
  </w:style>
  <w:style w:type="paragraph" w:styleId="ListContinue3">
    <w:name w:val="List Continue 3"/>
    <w:basedOn w:val="Normal"/>
    <w:uiPriority w:val="99"/>
    <w:unhideWhenUsed/>
    <w:rsid w:val="00B77918"/>
    <w:pPr>
      <w:ind w:left="1080"/>
      <w:contextualSpacing/>
    </w:pPr>
  </w:style>
  <w:style w:type="paragraph" w:styleId="MacroText">
    <w:name w:val="macro"/>
    <w:link w:val="MacroTextChar"/>
    <w:uiPriority w:val="99"/>
    <w:unhideWhenUsed/>
    <w:rsid w:val="00B7791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B77918"/>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B77918"/>
    <w:pPr>
      <w:spacing w:line="240" w:lineRule="auto"/>
    </w:pPr>
    <w:rPr>
      <w:b/>
      <w:bCs/>
      <w:color w:val="156082" w:themeColor="accent1"/>
      <w:sz w:val="18"/>
      <w:szCs w:val="18"/>
    </w:rPr>
  </w:style>
  <w:style w:type="character" w:styleId="Strong">
    <w:name w:val="Strong"/>
    <w:basedOn w:val="DefaultParagraphFont"/>
    <w:uiPriority w:val="22"/>
    <w:qFormat/>
    <w:rsid w:val="00B77918"/>
    <w:rPr>
      <w:b/>
      <w:bCs/>
    </w:rPr>
  </w:style>
  <w:style w:type="character" w:styleId="Emphasis">
    <w:name w:val="Emphasis"/>
    <w:basedOn w:val="DefaultParagraphFont"/>
    <w:uiPriority w:val="20"/>
    <w:qFormat/>
    <w:rsid w:val="00B77918"/>
    <w:rPr>
      <w:i/>
      <w:iCs/>
    </w:rPr>
  </w:style>
  <w:style w:type="character" w:styleId="SubtleEmphasis">
    <w:name w:val="Subtle Emphasis"/>
    <w:basedOn w:val="DefaultParagraphFont"/>
    <w:uiPriority w:val="19"/>
    <w:qFormat/>
    <w:rsid w:val="00B77918"/>
    <w:rPr>
      <w:i/>
      <w:iCs/>
      <w:color w:val="808080" w:themeColor="text1" w:themeTint="7F"/>
    </w:rPr>
  </w:style>
  <w:style w:type="character" w:styleId="SubtleReference">
    <w:name w:val="Subtle Reference"/>
    <w:basedOn w:val="DefaultParagraphFont"/>
    <w:uiPriority w:val="31"/>
    <w:qFormat/>
    <w:rsid w:val="00B77918"/>
    <w:rPr>
      <w:smallCaps/>
      <w:color w:val="E97132" w:themeColor="accent2"/>
      <w:u w:val="single"/>
    </w:rPr>
  </w:style>
  <w:style w:type="character" w:styleId="BookTitle">
    <w:name w:val="Book Title"/>
    <w:basedOn w:val="DefaultParagraphFont"/>
    <w:uiPriority w:val="33"/>
    <w:qFormat/>
    <w:rsid w:val="00B77918"/>
    <w:rPr>
      <w:b/>
      <w:bCs/>
      <w:smallCaps/>
      <w:spacing w:val="5"/>
    </w:rPr>
  </w:style>
  <w:style w:type="paragraph" w:styleId="TOCHeading">
    <w:name w:val="TOC Heading"/>
    <w:basedOn w:val="Heading1"/>
    <w:next w:val="Normal"/>
    <w:uiPriority w:val="39"/>
    <w:semiHidden/>
    <w:unhideWhenUsed/>
    <w:qFormat/>
    <w:rsid w:val="00B77918"/>
    <w:pPr>
      <w:spacing w:before="480" w:after="0"/>
      <w:outlineLvl w:val="9"/>
    </w:pPr>
    <w:rPr>
      <w:b/>
      <w:bCs/>
      <w:sz w:val="28"/>
      <w:szCs w:val="28"/>
    </w:rPr>
  </w:style>
  <w:style w:type="table" w:styleId="TableGrid">
    <w:name w:val="Table Grid"/>
    <w:basedOn w:val="TableNormal"/>
    <w:uiPriority w:val="59"/>
    <w:rsid w:val="00B7791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77918"/>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77918"/>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77918"/>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77918"/>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77918"/>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77918"/>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77918"/>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779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779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779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779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779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779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77918"/>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7791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77918"/>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779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779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779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779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779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779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77918"/>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779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779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779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779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779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779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77918"/>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77918"/>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ortal.hubmapconsortium.org/browse/dataset/HBM473.NKMR.872"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ortal.hubmapconsortium.org/browse/dataset/HBM828.GPVG.252" TargetMode="External"/><Relationship Id="rId2" Type="http://schemas.openxmlformats.org/officeDocument/2006/relationships/styles" Target="styles.xml"/><Relationship Id="rId16" Type="http://schemas.openxmlformats.org/officeDocument/2006/relationships/hyperlink" Target="https://pubmed.ncbi.nlm.nih.gov/3159797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ortal.hubmapconsortium.org/browse/dataset/HBM828.GPVG.252" TargetMode="External"/><Relationship Id="rId15" Type="http://schemas.openxmlformats.org/officeDocument/2006/relationships/hyperlink" Target="https://pubmed.ncbi.nlm.nih.gov/32393329/" TargetMode="Externa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101/2025.05.23.655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4368</Words>
  <Characters>24637</Characters>
  <Application>Microsoft Office Word</Application>
  <DocSecurity>0</DocSecurity>
  <Lines>947</Lines>
  <Paragraphs>630</Paragraphs>
  <ScaleCrop>false</ScaleCrop>
  <Company/>
  <LinksUpToDate>false</LinksUpToDate>
  <CharactersWithSpaces>28375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Billings</dc:creator>
  <cp:keywords/>
  <dc:description/>
  <cp:lastModifiedBy>Brian Billings</cp:lastModifiedBy>
  <cp:revision>2</cp:revision>
  <dcterms:created xsi:type="dcterms:W3CDTF">2026-08-14T19:32:00Z</dcterms:created>
  <dcterms:modified xsi:type="dcterms:W3CDTF">2026-08-14T19:32:00Z</dcterms:modified>
</cp:coreProperties>
</file>