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360"/>
        <w:jc w:val="center"/>
      </w:pPr>
      <w:r>
        <w:rPr>
          <w:rFonts w:ascii="Calibri" w:hAnsi="Calibri"/>
          <w:b/>
          <w:color w:val="9A6B12"/>
          <w:sz w:val="21"/>
        </w:rPr>
        <w:t>LEARNER GUIDE</w:t>
      </w:r>
    </w:p>
    <w:p>
      <w:pPr>
        <w:pStyle w:val="Title"/>
        <w:jc w:val="center"/>
      </w:pPr>
      <w:r>
        <w:t>Metabo-Diet</w:t>
      </w:r>
    </w:p>
    <w:p>
      <w:pPr>
        <w:pStyle w:val="Subtitle"/>
        <w:jc w:val="center"/>
      </w:pPr>
      <w:r>
        <w:t>Harmonizing Dietary and Exercise Phenotypes</w:t>
      </w:r>
    </w:p>
    <w:p>
      <w:pPr>
        <w:pStyle w:val="Subtitle"/>
        <w:spacing w:after="560"/>
        <w:jc w:val="center"/>
      </w:pPr>
      <w:r>
        <w:t>with Metabolomics Across CFDE Resources</w:t>
      </w:r>
    </w:p>
    <w:p>
      <w:pPr>
        <w:spacing w:after="1440"/>
        <w:jc w:val="center"/>
      </w:pPr>
      <w:r>
        <w:rPr>
          <w:rFonts w:ascii="Calibri" w:hAnsi="Calibri"/>
          <w:b/>
          <w:color w:val="9A6B12"/>
          <w:sz w:val="21"/>
        </w:rPr>
        <w:t>An intermediate, asynchronous field guide</w:t>
      </w:r>
    </w:p>
    <w:p>
      <w:pPr>
        <w:spacing w:after="80"/>
        <w:jc w:val="center"/>
      </w:pPr>
      <w:r>
        <w:rPr>
          <w:rFonts w:ascii="Calibri" w:hAnsi="Calibri"/>
          <w:b/>
          <w:color w:val="203748"/>
          <w:sz w:val="24"/>
        </w:rPr>
        <w:t>Release 1.0  |  August 2026</w:t>
      </w:r>
    </w:p>
    <w:p>
      <w:pPr>
        <w:spacing w:after="360"/>
        <w:jc w:val="center"/>
      </w:pPr>
      <w:r>
        <w:rPr>
          <w:rFonts w:ascii="Calibri" w:hAnsi="Calibri"/>
          <w:i/>
          <w:color w:val="5A6570"/>
          <w:sz w:val="19"/>
        </w:rPr>
        <w:t>Prepared for CFDE learners working with public metabolomics data</w:t>
      </w:r>
    </w:p>
    <w:p>
      <w:r>
        <w:br w:type="page"/>
      </w:r>
    </w:p>
    <w:p>
      <w:pPr>
        <w:pStyle w:val="Heading1"/>
      </w:pPr>
      <w:r>
        <w:t>Contents</w:t>
      </w:r>
    </w:p>
    <w:p>
      <w:r>
        <w:rPr>
          <w:rFonts w:ascii="Calibri" w:hAnsi="Calibri"/>
          <w:color w:val="222222"/>
        </w:rPr>
        <w:t>Use Word's Navigation pane or the descriptive headings in the PDF to move through the packet.</w:t>
      </w:r>
    </w:p>
    <w:p>
      <w:pPr>
        <w:ind w:left="259" w:hanging="259"/>
      </w:pPr>
      <w:r>
        <w:rPr>
          <w:rFonts w:ascii="Calibri" w:hAnsi="Calibri"/>
          <w:b/>
          <w:color w:val="9A6B12"/>
          <w:sz w:val="21"/>
        </w:rPr>
        <w:t xml:space="preserve">01  </w:t>
      </w:r>
      <w:r>
        <w:rPr>
          <w:rFonts w:ascii="Calibri" w:hAnsi="Calibri"/>
          <w:b/>
          <w:color w:val="203748"/>
          <w:sz w:val="22"/>
        </w:rPr>
        <w:t>How to use this guide</w:t>
      </w:r>
    </w:p>
    <w:p>
      <w:pPr>
        <w:ind w:left="259" w:hanging="259"/>
      </w:pPr>
      <w:r>
        <w:rPr>
          <w:rFonts w:ascii="Calibri" w:hAnsi="Calibri"/>
          <w:b/>
          <w:color w:val="9A6B12"/>
          <w:sz w:val="21"/>
        </w:rPr>
        <w:t xml:space="preserve">02  </w:t>
      </w:r>
      <w:r>
        <w:rPr>
          <w:rFonts w:ascii="Calibri" w:hAnsi="Calibri"/>
          <w:b/>
          <w:color w:val="203748"/>
          <w:sz w:val="22"/>
        </w:rPr>
        <w:t>Pretest</w:t>
      </w:r>
    </w:p>
    <w:p>
      <w:pPr>
        <w:ind w:left="259" w:hanging="259"/>
      </w:pPr>
      <w:r>
        <w:rPr>
          <w:rFonts w:ascii="Calibri" w:hAnsi="Calibri"/>
          <w:b/>
          <w:color w:val="9A6B12"/>
          <w:sz w:val="21"/>
        </w:rPr>
        <w:t xml:space="preserve">03  </w:t>
      </w:r>
      <w:r>
        <w:rPr>
          <w:rFonts w:ascii="Calibri" w:hAnsi="Calibri"/>
          <w:b/>
          <w:color w:val="203748"/>
          <w:sz w:val="22"/>
        </w:rPr>
        <w:t>Lesson 1 - Why harmonization matters</w:t>
      </w:r>
    </w:p>
    <w:p>
      <w:pPr>
        <w:ind w:left="259" w:hanging="259"/>
      </w:pPr>
      <w:r>
        <w:rPr>
          <w:rFonts w:ascii="Calibri" w:hAnsi="Calibri"/>
          <w:b/>
          <w:color w:val="9A6B12"/>
          <w:sz w:val="21"/>
        </w:rPr>
        <w:t xml:space="preserve">04  </w:t>
      </w:r>
      <w:r>
        <w:rPr>
          <w:rFonts w:ascii="Calibri" w:hAnsi="Calibri"/>
          <w:b/>
          <w:color w:val="203748"/>
          <w:sz w:val="22"/>
        </w:rPr>
        <w:t>Lesson 2 - Comparing study design</w:t>
      </w:r>
    </w:p>
    <w:p>
      <w:pPr>
        <w:ind w:left="259" w:hanging="259"/>
      </w:pPr>
      <w:r>
        <w:rPr>
          <w:rFonts w:ascii="Calibri" w:hAnsi="Calibri"/>
          <w:b/>
          <w:color w:val="9A6B12"/>
          <w:sz w:val="21"/>
        </w:rPr>
        <w:t xml:space="preserve">05  </w:t>
      </w:r>
      <w:r>
        <w:rPr>
          <w:rFonts w:ascii="Calibri" w:hAnsi="Calibri"/>
          <w:b/>
          <w:color w:val="203748"/>
          <w:sz w:val="22"/>
        </w:rPr>
        <w:t>Lesson 3 - Harmonizing metabolomics and metadata</w:t>
      </w:r>
    </w:p>
    <w:p>
      <w:pPr>
        <w:ind w:left="259" w:hanging="259"/>
      </w:pPr>
      <w:r>
        <w:rPr>
          <w:rFonts w:ascii="Calibri" w:hAnsi="Calibri"/>
          <w:b/>
          <w:color w:val="9A6B12"/>
          <w:sz w:val="21"/>
        </w:rPr>
        <w:t xml:space="preserve">06  </w:t>
      </w:r>
      <w:r>
        <w:rPr>
          <w:rFonts w:ascii="Calibri" w:hAnsi="Calibri"/>
          <w:b/>
          <w:color w:val="203748"/>
          <w:sz w:val="22"/>
        </w:rPr>
        <w:t>Lesson 4 - Guided analysis and interpretation</w:t>
      </w:r>
    </w:p>
    <w:p>
      <w:pPr>
        <w:ind w:left="259" w:hanging="259"/>
      </w:pPr>
      <w:r>
        <w:rPr>
          <w:rFonts w:ascii="Calibri" w:hAnsi="Calibri"/>
          <w:b/>
          <w:color w:val="9A6B12"/>
          <w:sz w:val="21"/>
        </w:rPr>
        <w:t xml:space="preserve">07  </w:t>
      </w:r>
      <w:r>
        <w:rPr>
          <w:rFonts w:ascii="Calibri" w:hAnsi="Calibri"/>
          <w:b/>
          <w:color w:val="203748"/>
          <w:sz w:val="22"/>
        </w:rPr>
        <w:t>Lesson 5 - Access tiers and transfer</w:t>
      </w:r>
    </w:p>
    <w:p>
      <w:pPr>
        <w:ind w:left="259" w:hanging="259"/>
      </w:pPr>
      <w:r>
        <w:rPr>
          <w:rFonts w:ascii="Calibri" w:hAnsi="Calibri"/>
          <w:b/>
          <w:color w:val="9A6B12"/>
          <w:sz w:val="21"/>
        </w:rPr>
        <w:t xml:space="preserve">08  </w:t>
      </w:r>
      <w:r>
        <w:rPr>
          <w:rFonts w:ascii="Calibri" w:hAnsi="Calibri"/>
          <w:b/>
          <w:color w:val="203748"/>
          <w:sz w:val="22"/>
        </w:rPr>
        <w:t>Posttest</w:t>
      </w:r>
    </w:p>
    <w:p>
      <w:pPr>
        <w:ind w:left="259" w:hanging="259"/>
      </w:pPr>
      <w:r>
        <w:rPr>
          <w:rFonts w:ascii="Calibri" w:hAnsi="Calibri"/>
          <w:b/>
          <w:color w:val="9A6B12"/>
          <w:sz w:val="21"/>
        </w:rPr>
        <w:t xml:space="preserve">09  </w:t>
      </w:r>
      <w:r>
        <w:rPr>
          <w:rFonts w:ascii="Calibri" w:hAnsi="Calibri"/>
          <w:b/>
          <w:color w:val="203748"/>
          <w:sz w:val="22"/>
        </w:rPr>
        <w:t>Learner worksheets and checklists</w:t>
      </w:r>
    </w:p>
    <w:p>
      <w:pPr>
        <w:ind w:left="259" w:hanging="259"/>
      </w:pPr>
      <w:r>
        <w:rPr>
          <w:rFonts w:ascii="Calibri" w:hAnsi="Calibri"/>
          <w:b/>
          <w:color w:val="9A6B12"/>
          <w:sz w:val="21"/>
        </w:rPr>
        <w:t xml:space="preserve">10  </w:t>
      </w:r>
      <w:r>
        <w:rPr>
          <w:rFonts w:ascii="Calibri" w:hAnsi="Calibri"/>
          <w:b/>
          <w:color w:val="203748"/>
          <w:sz w:val="22"/>
        </w:rPr>
        <w:t>Glossary</w:t>
      </w:r>
    </w:p>
    <w:p>
      <w:pPr>
        <w:ind w:left="259" w:hanging="259"/>
      </w:pPr>
      <w:r>
        <w:rPr>
          <w:rFonts w:ascii="Calibri" w:hAnsi="Calibri"/>
          <w:b/>
          <w:color w:val="9A6B12"/>
          <w:sz w:val="21"/>
        </w:rPr>
        <w:t xml:space="preserve">11  </w:t>
      </w:r>
      <w:r>
        <w:rPr>
          <w:rFonts w:ascii="Calibri" w:hAnsi="Calibri"/>
          <w:b/>
          <w:color w:val="203748"/>
          <w:sz w:val="22"/>
        </w:rPr>
        <w:t>Appendix - PCA worked examples</w:t>
      </w:r>
    </w:p>
    <w:p>
      <w:pPr>
        <w:ind w:left="259" w:hanging="259"/>
      </w:pPr>
      <w:r>
        <w:rPr>
          <w:rFonts w:ascii="Calibri" w:hAnsi="Calibri"/>
          <w:b/>
          <w:color w:val="9A6B12"/>
          <w:sz w:val="21"/>
        </w:rPr>
        <w:t xml:space="preserve">12  </w:t>
      </w:r>
      <w:r>
        <w:rPr>
          <w:rFonts w:ascii="Calibri" w:hAnsi="Calibri"/>
          <w:b/>
          <w:color w:val="203748"/>
          <w:sz w:val="22"/>
        </w:rPr>
        <w:t>Data provenance and sources</w:t>
      </w:r>
    </w:p>
    <w:p>
      <w:r>
        <w:br w:type="page"/>
      </w:r>
    </w:p>
    <w:p>
      <w:pPr>
        <w:pStyle w:val="Heading1"/>
      </w:pPr>
      <w:r>
        <w:t>How to use this guide</w:t>
      </w:r>
    </w:p>
    <w:p>
      <w:r>
        <w:rPr>
          <w:rFonts w:ascii="Calibri" w:hAnsi="Calibri"/>
          <w:color w:val="222222"/>
        </w:rPr>
        <w:t>The module is designed for approximately 153 minutes: 140 minutes of lesson activity, a 5-minute pretest, and an 8-minute posttest. Complete the lessons in order and keep the three learner worksheets open while you work. The primary runnable artifact is module/notebooks/metabo_diet_harmonization.ipynb; the guide provides the conceptual frame and tells you exactly when to use each notebook section.</w:t>
      </w:r>
    </w:p>
    <w:p>
      <w:pPr>
        <w:pStyle w:val="Heading2"/>
      </w:pPr>
      <w:r>
        <w:t>Guide-to-notebook sequence</w:t>
      </w:r>
    </w:p>
    <w:p>
      <w:pPr>
        <w:numPr>
          <w:ilvl w:val="0"/>
          <w:numId w:val="10"/>
        </w:numPr>
        <w:spacing w:after="80" w:line="300" w:lineRule="auto"/>
      </w:pPr>
      <w:r>
        <w:rPr>
          <w:rFonts w:ascii="Calibri" w:hAnsi="Calibri"/>
          <w:color w:val="222222"/>
        </w:rPr>
        <w:t>READ the learner-guide lesson and its scientific guardrails.</w:t>
      </w:r>
    </w:p>
    <w:p>
      <w:pPr>
        <w:numPr>
          <w:ilvl w:val="0"/>
          <w:numId w:val="10"/>
        </w:numPr>
        <w:spacing w:after="80" w:line="300" w:lineRule="auto"/>
      </w:pPr>
      <w:r>
        <w:rPr>
          <w:rFonts w:ascii="Calibri" w:hAnsi="Calibri"/>
          <w:color w:val="222222"/>
        </w:rPr>
        <w:t>FIND the matching notebook heading by its stable NB-L1 through NB-L5 key.</w:t>
      </w:r>
    </w:p>
    <w:p>
      <w:pPr>
        <w:numPr>
          <w:ilvl w:val="0"/>
          <w:numId w:val="10"/>
        </w:numPr>
        <w:spacing w:after="80" w:line="300" w:lineRule="auto"/>
      </w:pPr>
      <w:r>
        <w:rPr>
          <w:rFonts w:ascii="Calibri" w:hAnsi="Calibri"/>
          <w:color w:val="222222"/>
        </w:rPr>
        <w:t>RUN the cells labeled Run now in top-to-bottom order.</w:t>
      </w:r>
    </w:p>
    <w:p>
      <w:pPr>
        <w:numPr>
          <w:ilvl w:val="0"/>
          <w:numId w:val="10"/>
        </w:numPr>
        <w:spacing w:after="80" w:line="300" w:lineRule="auto"/>
      </w:pPr>
      <w:r>
        <w:rPr>
          <w:rFonts w:ascii="Calibri" w:hAnsi="Calibri"/>
          <w:color w:val="222222"/>
        </w:rPr>
        <w:t>OBSERVE the named output and stop if a stated check fails.</w:t>
      </w:r>
    </w:p>
    <w:p>
      <w:pPr>
        <w:numPr>
          <w:ilvl w:val="0"/>
          <w:numId w:val="10"/>
        </w:numPr>
        <w:spacing w:after="80" w:line="300" w:lineRule="auto"/>
      </w:pPr>
      <w:r>
        <w:rPr>
          <w:rFonts w:ascii="Calibri" w:hAnsi="Calibri"/>
          <w:color w:val="222222"/>
        </w:rPr>
        <w:t>RECORD the requested answer in the worksheet or learner-edit cell.</w:t>
      </w:r>
    </w:p>
    <w:p>
      <w:pPr>
        <w:numPr>
          <w:ilvl w:val="0"/>
          <w:numId w:val="10"/>
        </w:numPr>
        <w:spacing w:after="80" w:line="300" w:lineRule="auto"/>
      </w:pPr>
      <w:r>
        <w:rPr>
          <w:rFonts w:ascii="Calibri" w:hAnsi="Calibri"/>
          <w:color w:val="222222"/>
        </w:rPr>
        <w:t>CHECK the completion statement before moving to the next lesson.</w:t>
      </w:r>
    </w:p>
    <w:tbl>
      <w:tblPr>
        <w:tblStyle w:val="TableGrid"/>
        <w:tblW w:type="dxa" w:w="9360"/>
        <w:jc w:val="left"/>
        <w:tblLayout w:type="fixed"/>
        <w:tblLook w:firstColumn="1" w:firstRow="1" w:lastColumn="0" w:lastRow="0" w:noHBand="0" w:noVBand="1" w:val="04A0"/>
        <w:tblInd w:w="120" w:type="dxa"/>
      </w:tblPr>
      <w:tblGrid>
        <w:gridCol w:w="3435"/>
        <w:gridCol w:w="2040"/>
        <w:gridCol w:w="3885"/>
      </w:tblGrid>
      <w:tr>
        <w:trPr>
          <w:cantSplit w:val="true"/>
          <w:tblHeader w:val="true"/>
        </w:trPr>
        <w:tc>
          <w:tcPr>
            <w:tcW w:type="dxa" w:w="343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Guide lesson</w:t>
            </w:r>
          </w:p>
        </w:tc>
        <w:tc>
          <w:tcPr>
            <w:tcW w:type="dxa" w:w="204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Notebook key</w:t>
            </w:r>
          </w:p>
        </w:tc>
        <w:tc>
          <w:tcPr>
            <w:tcW w:type="dxa" w:w="388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Run or complete</w:t>
            </w:r>
          </w:p>
        </w:tc>
      </w:tr>
      <w:tr>
        <w:trPr>
          <w:cantSplit w:val="true"/>
        </w:trPr>
        <w:tc>
          <w:tcPr>
            <w:tcW w:type="dxa" w:w="34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Lesson 1 - Why harmonization matters</w:t>
            </w:r>
          </w:p>
        </w:tc>
        <w:tc>
          <w:tcPr>
            <w:tcW w:type="dxa" w:w="204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NB-L1</w:t>
            </w:r>
          </w:p>
        </w:tc>
        <w:tc>
          <w:tcPr>
            <w:tcW w:type="dxa" w:w="38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NB-SETUP; locked configuration; scientific boundary</w:t>
            </w:r>
          </w:p>
        </w:tc>
      </w:tr>
      <w:tr>
        <w:trPr>
          <w:cantSplit w:val="true"/>
        </w:trPr>
        <w:tc>
          <w:tcPr>
            <w:tcW w:type="dxa" w:w="34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Lesson 2 - Comparing study design</w:t>
            </w:r>
          </w:p>
        </w:tc>
        <w:tc>
          <w:tcPr>
            <w:tcW w:type="dxa" w:w="204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NB-L2</w:t>
            </w:r>
          </w:p>
        </w:tc>
        <w:tc>
          <w:tcPr>
            <w:tcW w:type="dxa" w:w="38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Endpoint, sample-role, participant, and time audits</w:t>
            </w:r>
          </w:p>
        </w:tc>
      </w:tr>
      <w:tr>
        <w:trPr>
          <w:cantSplit w:val="true"/>
        </w:trPr>
        <w:tc>
          <w:tcPr>
            <w:tcW w:type="dxa" w:w="34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Lesson 3 - Harmonizing metadata/metabolites</w:t>
            </w:r>
          </w:p>
        </w:tc>
        <w:tc>
          <w:tcPr>
            <w:tcW w:type="dxa" w:w="204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NB-L3</w:t>
            </w:r>
          </w:p>
        </w:tc>
        <w:tc>
          <w:tcPr>
            <w:tcW w:type="dxa" w:w="38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NB-L3-CROSSWALK; labeled-standard and trace exercises</w:t>
            </w:r>
          </w:p>
        </w:tc>
      </w:tr>
      <w:tr>
        <w:trPr>
          <w:cantSplit w:val="true"/>
        </w:trPr>
        <w:tc>
          <w:tcPr>
            <w:tcW w:type="dxa" w:w="34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Lesson 4 - Guided analysis</w:t>
            </w:r>
          </w:p>
        </w:tc>
        <w:tc>
          <w:tcPr>
            <w:tcW w:type="dxa" w:w="204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NB-L4</w:t>
            </w:r>
          </w:p>
        </w:tc>
        <w:tc>
          <w:tcPr>
            <w:tcW w:type="dxa" w:w="38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NB-L4-CLASS; NB-L4-PCA-DIET; NB-L4-PCA-EXERCISE</w:t>
            </w:r>
          </w:p>
        </w:tc>
      </w:tr>
      <w:tr>
        <w:trPr>
          <w:cantSplit w:val="true"/>
        </w:trPr>
        <w:tc>
          <w:tcPr>
            <w:tcW w:type="dxa" w:w="34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Lesson 5 - Access transfer</w:t>
            </w:r>
          </w:p>
        </w:tc>
        <w:tc>
          <w:tcPr>
            <w:tcW w:type="dxa" w:w="204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NB-L5</w:t>
            </w:r>
          </w:p>
        </w:tc>
        <w:tc>
          <w:tcPr>
            <w:tcW w:type="dxa" w:w="38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Transfer-decision learner edit; NB-REPRO; posttest</w:t>
            </w:r>
          </w:p>
        </w:tc>
      </w:tr>
    </w:tbl>
    <w:p>
      <w:pPr>
        <w:spacing w:before="0" w:after="40"/>
      </w:pPr>
    </w:p>
    <w:tbl>
      <w:tblPr>
        <w:tblStyle w:val="TableGrid"/>
        <w:tblW w:type="dxa" w:w="9360"/>
        <w:jc w:val="left"/>
        <w:tblLayout w:type="fixed"/>
        <w:tblLook w:firstColumn="1" w:firstRow="1" w:lastColumn="0" w:lastRow="0" w:noHBand="0" w:noVBand="1" w:val="04A0"/>
        <w:tblInd w:w="120" w:type="dxa"/>
      </w:tblPr>
      <w:tblGrid>
        <w:gridCol w:w="3356"/>
        <w:gridCol w:w="6004"/>
      </w:tblGrid>
      <w:tr>
        <w:trPr>
          <w:cantSplit w:val="true"/>
          <w:tblHeader w:val="true"/>
        </w:trPr>
        <w:tc>
          <w:tcPr>
            <w:tcW w:type="dxa" w:w="335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Release control</w:t>
            </w:r>
          </w:p>
        </w:tc>
        <w:tc>
          <w:tcPr>
            <w:tcW w:type="dxa" w:w="600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Value</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Diet case study</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ST001521 - FARMM diet-anchored plasma study</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Exercise case study</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ST003348 - race-walking exercise-anchored serum study</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Analysis boundary</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Quantitative exploration stays within study; cross-study pooling is not authorized.</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Offline path</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Use the versioned cache and record the fallback in the source log.</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Visual accessibility</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Every proposed figure is paired with an equivalent text description in its lesson.</w:t>
            </w:r>
          </w:p>
        </w:tc>
      </w:tr>
    </w:tbl>
    <w:p>
      <w:pPr>
        <w:spacing w:before="0" w:after="40"/>
      </w:pPr>
    </w:p>
    <w:p>
      <w:pPr>
        <w:pStyle w:val="Heading2"/>
      </w:pPr>
      <w:r>
        <w:t>Module learning objectives</w:t>
      </w:r>
    </w:p>
    <w:p>
      <w:pPr>
        <w:numPr>
          <w:ilvl w:val="0"/>
          <w:numId w:val="11"/>
        </w:numPr>
        <w:spacing w:after="80" w:line="300" w:lineRule="auto"/>
      </w:pPr>
      <w:r>
        <w:rPr>
          <w:rFonts w:ascii="Calibri" w:hAnsi="Calibri"/>
          <w:color w:val="222222"/>
        </w:rPr>
        <w:t>LO1 - Explain how study design, specimen, time, and phenotype context shape interpretation.</w:t>
      </w:r>
    </w:p>
    <w:p>
      <w:pPr>
        <w:numPr>
          <w:ilvl w:val="0"/>
          <w:numId w:val="11"/>
        </w:numPr>
        <w:spacing w:after="80" w:line="300" w:lineRule="auto"/>
      </w:pPr>
      <w:r>
        <w:rPr>
          <w:rFonts w:ascii="Calibri" w:hAnsi="Calibri"/>
          <w:color w:val="222222"/>
        </w:rPr>
        <w:t>LO2 - Judge direct, partial, and non-comparability for a stated purpose.</w:t>
      </w:r>
    </w:p>
    <w:p>
      <w:pPr>
        <w:numPr>
          <w:ilvl w:val="0"/>
          <w:numId w:val="11"/>
        </w:numPr>
        <w:spacing w:after="80" w:line="300" w:lineRule="auto"/>
      </w:pPr>
      <w:r>
        <w:rPr>
          <w:rFonts w:ascii="Calibri" w:hAnsi="Calibri"/>
          <w:color w:val="222222"/>
        </w:rPr>
        <w:t>LO3 - Build a provenance-preserving RefMet crosswalk and document mapping uncertainty.</w:t>
      </w:r>
    </w:p>
    <w:p>
      <w:pPr>
        <w:numPr>
          <w:ilvl w:val="0"/>
          <w:numId w:val="11"/>
        </w:numPr>
        <w:spacing w:after="80" w:line="300" w:lineRule="auto"/>
      </w:pPr>
      <w:r>
        <w:rPr>
          <w:rFonts w:ascii="Calibri" w:hAnsi="Calibri"/>
          <w:color w:val="222222"/>
        </w:rPr>
        <w:t>LO4 - Retrieve, validate, harmonize, and explore public MW data reproducibly.</w:t>
      </w:r>
    </w:p>
    <w:p>
      <w:pPr>
        <w:numPr>
          <w:ilvl w:val="0"/>
          <w:numId w:val="11"/>
        </w:numPr>
        <w:spacing w:after="80" w:line="300" w:lineRule="auto"/>
      </w:pPr>
      <w:r>
        <w:rPr>
          <w:rFonts w:ascii="Calibri" w:hAnsi="Calibri"/>
          <w:color w:val="222222"/>
        </w:rPr>
        <w:t>LO5 - Verify access requirements and transfer the workflow safely to other resources.</w:t>
      </w:r>
    </w:p>
    <w:p>
      <w:r>
        <w:br w:type="page"/>
      </w:r>
    </w:p>
    <w:p>
      <w:pPr>
        <w:pStyle w:val="Heading1"/>
        <w:pageBreakBefore w:val="0"/>
      </w:pPr>
      <w:r>
        <w:t>Learner pretest</w:t>
      </w:r>
    </w:p>
    <w:p>
      <w:pPr>
        <w:spacing w:after="160"/>
      </w:pPr>
      <w:r>
        <w:rPr>
          <w:rFonts w:ascii="Calibri" w:hAnsi="Calibri"/>
          <w:color w:val="222222"/>
        </w:rPr>
        <w:t>Answer without consulting the lessons. This baseline does not determine eligibility. The delivery platform should hide answers and rationales until submission.</w:t>
      </w:r>
    </w:p>
    <w:p>
      <w:pPr>
        <w:spacing w:after="200"/>
      </w:pPr>
      <w:r>
        <w:rPr>
          <w:rFonts w:ascii="Calibri" w:hAnsi="Calibri"/>
          <w:color w:val="222222"/>
        </w:rPr>
        <w:t>Estimated time: 5 minutes</w:t>
      </w:r>
    </w:p>
    <w:p>
      <w:pPr>
        <w:pStyle w:val="Heading2"/>
        <w:keepNext/>
      </w:pPr>
      <w:r>
        <w:rPr>
          <w:rFonts w:ascii="Calibri" w:hAnsi="Calibri"/>
          <w:color w:val="222222"/>
        </w:rPr>
        <w:t>1. Which information is essential for interpreting a metabolite value labeled post?</w:t>
      </w:r>
    </w:p>
    <w:p>
      <w:pPr>
        <w:keepNext/>
        <w:spacing w:after="60"/>
        <w:ind w:left="547" w:hanging="317"/>
      </w:pPr>
      <w:r>
        <w:rPr>
          <w:rFonts w:ascii="Calibri" w:hAnsi="Calibri"/>
          <w:b/>
          <w:color w:val="1F4D78"/>
        </w:rPr>
        <w:t xml:space="preserve">[ ] A. </w:t>
      </w:r>
      <w:r>
        <w:rPr>
          <w:rFonts w:ascii="Calibri" w:hAnsi="Calibri"/>
          <w:color w:val="222222"/>
        </w:rPr>
        <w:t>Only the metabolite name</w:t>
      </w:r>
    </w:p>
    <w:p>
      <w:pPr>
        <w:keepNext/>
        <w:spacing w:after="60"/>
        <w:ind w:left="547" w:hanging="317"/>
      </w:pPr>
      <w:r>
        <w:rPr>
          <w:rFonts w:ascii="Calibri" w:hAnsi="Calibri"/>
          <w:b/>
          <w:color w:val="1F4D78"/>
        </w:rPr>
        <w:t xml:space="preserve">[ ] B. </w:t>
      </w:r>
      <w:r>
        <w:rPr>
          <w:rFonts w:ascii="Calibri" w:hAnsi="Calibri"/>
          <w:color w:val="222222"/>
        </w:rPr>
        <w:t>Only the participant's age</w:t>
      </w:r>
    </w:p>
    <w:p>
      <w:pPr>
        <w:keepNext/>
        <w:spacing w:after="60"/>
        <w:ind w:left="547" w:hanging="317"/>
      </w:pPr>
      <w:r>
        <w:rPr>
          <w:rFonts w:ascii="Calibri" w:hAnsi="Calibri"/>
          <w:b/>
          <w:color w:val="1F4D78"/>
        </w:rPr>
        <w:t xml:space="preserve">[ ] C. </w:t>
      </w:r>
      <w:r>
        <w:rPr>
          <w:rFonts w:ascii="Calibri" w:hAnsi="Calibri"/>
          <w:color w:val="222222"/>
        </w:rPr>
        <w:t>The anchor event, elapsed time, specimen, physiological state, and assay context</w:t>
      </w:r>
    </w:p>
    <w:p>
      <w:pPr>
        <w:keepNext/>
        <w:spacing w:after="60"/>
        <w:ind w:left="547" w:hanging="317"/>
      </w:pPr>
      <w:r>
        <w:rPr>
          <w:rFonts w:ascii="Calibri" w:hAnsi="Calibri"/>
          <w:b/>
          <w:color w:val="1F4D78"/>
        </w:rPr>
        <w:t xml:space="preserve">[ ] D. </w:t>
      </w:r>
      <w:r>
        <w:rPr>
          <w:rFonts w:ascii="Calibri" w:hAnsi="Calibri"/>
          <w:color w:val="222222"/>
        </w:rPr>
        <w:t>Only whether the value is above the median</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2. A repository lists 120 samples from 30 people collected at four visits. Which statement is correct?</w:t>
      </w:r>
    </w:p>
    <w:p>
      <w:pPr>
        <w:keepNext/>
        <w:spacing w:after="60"/>
        <w:ind w:left="547" w:hanging="317"/>
      </w:pPr>
      <w:r>
        <w:rPr>
          <w:rFonts w:ascii="Calibri" w:hAnsi="Calibri"/>
          <w:b/>
          <w:color w:val="1F4D78"/>
        </w:rPr>
        <w:t xml:space="preserve">[ ] A. </w:t>
      </w:r>
      <w:r>
        <w:rPr>
          <w:rFonts w:ascii="Calibri" w:hAnsi="Calibri"/>
          <w:color w:val="222222"/>
        </w:rPr>
        <w:t>The study contains 120 independent participants.</w:t>
      </w:r>
    </w:p>
    <w:p>
      <w:pPr>
        <w:keepNext/>
        <w:spacing w:after="60"/>
        <w:ind w:left="547" w:hanging="317"/>
      </w:pPr>
      <w:r>
        <w:rPr>
          <w:rFonts w:ascii="Calibri" w:hAnsi="Calibri"/>
          <w:b/>
          <w:color w:val="1F4D78"/>
        </w:rPr>
        <w:t xml:space="preserve">[ ] B. </w:t>
      </w:r>
      <w:r>
        <w:rPr>
          <w:rFonts w:ascii="Calibri" w:hAnsi="Calibri"/>
          <w:color w:val="222222"/>
        </w:rPr>
        <w:t>The repeated samples are correlated and participant linkage must be preserved.</w:t>
      </w:r>
    </w:p>
    <w:p>
      <w:pPr>
        <w:keepNext/>
        <w:spacing w:after="60"/>
        <w:ind w:left="547" w:hanging="317"/>
      </w:pPr>
      <w:r>
        <w:rPr>
          <w:rFonts w:ascii="Calibri" w:hAnsi="Calibri"/>
          <w:b/>
          <w:color w:val="1F4D78"/>
        </w:rPr>
        <w:t xml:space="preserve">[ ] C. </w:t>
      </w:r>
      <w:r>
        <w:rPr>
          <w:rFonts w:ascii="Calibri" w:hAnsi="Calibri"/>
          <w:color w:val="222222"/>
        </w:rPr>
        <w:t>Visit can be ignored if metabolite names match.</w:t>
      </w:r>
    </w:p>
    <w:p>
      <w:pPr>
        <w:keepNext/>
        <w:spacing w:after="60"/>
        <w:ind w:left="547" w:hanging="317"/>
      </w:pPr>
      <w:r>
        <w:rPr>
          <w:rFonts w:ascii="Calibri" w:hAnsi="Calibri"/>
          <w:b/>
          <w:color w:val="1F4D78"/>
        </w:rPr>
        <w:t xml:space="preserve">[ ] D. </w:t>
      </w:r>
      <w:r>
        <w:rPr>
          <w:rFonts w:ascii="Calibri" w:hAnsi="Calibri"/>
          <w:color w:val="222222"/>
        </w:rPr>
        <w:t>PCA automatically accounts for the repeated design.</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3. Two studies report the same standardized metabolite name. What does this establish?</w:t>
      </w:r>
    </w:p>
    <w:p>
      <w:pPr>
        <w:keepNext/>
        <w:spacing w:after="60"/>
        <w:ind w:left="547" w:hanging="317"/>
      </w:pPr>
      <w:r>
        <w:rPr>
          <w:rFonts w:ascii="Calibri" w:hAnsi="Calibri"/>
          <w:b/>
          <w:color w:val="1F4D78"/>
        </w:rPr>
        <w:t xml:space="preserve">[ ] A. </w:t>
      </w:r>
      <w:r>
        <w:rPr>
          <w:rFonts w:ascii="Calibri" w:hAnsi="Calibri"/>
          <w:color w:val="222222"/>
        </w:rPr>
        <w:t>A common candidate naming key, subject to annotation and context review</w:t>
      </w:r>
    </w:p>
    <w:p>
      <w:pPr>
        <w:keepNext/>
        <w:spacing w:after="60"/>
        <w:ind w:left="547" w:hanging="317"/>
      </w:pPr>
      <w:r>
        <w:rPr>
          <w:rFonts w:ascii="Calibri" w:hAnsi="Calibri"/>
          <w:b/>
          <w:color w:val="1F4D78"/>
        </w:rPr>
        <w:t xml:space="preserve">[ ] B. </w:t>
      </w:r>
      <w:r>
        <w:rPr>
          <w:rFonts w:ascii="Calibri" w:hAnsi="Calibri"/>
          <w:color w:val="222222"/>
        </w:rPr>
        <w:t>A common quantitative scale</w:t>
      </w:r>
    </w:p>
    <w:p>
      <w:pPr>
        <w:keepNext/>
        <w:spacing w:after="60"/>
        <w:ind w:left="547" w:hanging="317"/>
      </w:pPr>
      <w:r>
        <w:rPr>
          <w:rFonts w:ascii="Calibri" w:hAnsi="Calibri"/>
          <w:b/>
          <w:color w:val="1F4D78"/>
        </w:rPr>
        <w:t xml:space="preserve">[ ] C. </w:t>
      </w:r>
      <w:r>
        <w:rPr>
          <w:rFonts w:ascii="Calibri" w:hAnsi="Calibri"/>
          <w:color w:val="222222"/>
        </w:rPr>
        <w:t>A common causal intervention effect</w:t>
      </w:r>
    </w:p>
    <w:p>
      <w:pPr>
        <w:keepNext/>
        <w:spacing w:after="60"/>
        <w:ind w:left="547" w:hanging="317"/>
      </w:pPr>
      <w:r>
        <w:rPr>
          <w:rFonts w:ascii="Calibri" w:hAnsi="Calibri"/>
          <w:b/>
          <w:color w:val="1F4D78"/>
        </w:rPr>
        <w:t xml:space="preserve">[ ] D. </w:t>
      </w:r>
      <w:r>
        <w:rPr>
          <w:rFonts w:ascii="Calibri" w:hAnsi="Calibri"/>
          <w:color w:val="222222"/>
        </w:rPr>
        <w:t>Identical specimens and preprocessing</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4. What is RefMet's primary role in this module?</w:t>
      </w:r>
    </w:p>
    <w:p>
      <w:pPr>
        <w:keepNext/>
        <w:spacing w:after="60"/>
        <w:ind w:left="547" w:hanging="317"/>
      </w:pPr>
      <w:r>
        <w:rPr>
          <w:rFonts w:ascii="Calibri" w:hAnsi="Calibri"/>
          <w:b/>
          <w:color w:val="1F4D78"/>
        </w:rPr>
        <w:t xml:space="preserve">[ ] A. </w:t>
      </w:r>
      <w:r>
        <w:rPr>
          <w:rFonts w:ascii="Calibri" w:hAnsi="Calibri"/>
          <w:color w:val="222222"/>
        </w:rPr>
        <w:t>Convert every peak area to concentration</w:t>
      </w:r>
    </w:p>
    <w:p>
      <w:pPr>
        <w:keepNext/>
        <w:spacing w:after="60"/>
        <w:ind w:left="547" w:hanging="317"/>
      </w:pPr>
      <w:r>
        <w:rPr>
          <w:rFonts w:ascii="Calibri" w:hAnsi="Calibri"/>
          <w:b/>
          <w:color w:val="1F4D78"/>
        </w:rPr>
        <w:t xml:space="preserve">[ ] B. </w:t>
      </w:r>
      <w:r>
        <w:rPr>
          <w:rFonts w:ascii="Calibri" w:hAnsi="Calibri"/>
          <w:color w:val="222222"/>
        </w:rPr>
        <w:t>Provide standardized analytical-chemistry nomenclature for metabolite structures and species</w:t>
      </w:r>
    </w:p>
    <w:p>
      <w:pPr>
        <w:keepNext/>
        <w:spacing w:after="60"/>
        <w:ind w:left="547" w:hanging="317"/>
      </w:pPr>
      <w:r>
        <w:rPr>
          <w:rFonts w:ascii="Calibri" w:hAnsi="Calibri"/>
          <w:b/>
          <w:color w:val="1F4D78"/>
        </w:rPr>
        <w:t xml:space="preserve">[ ] C. </w:t>
      </w:r>
      <w:r>
        <w:rPr>
          <w:rFonts w:ascii="Calibri" w:hAnsi="Calibri"/>
          <w:color w:val="222222"/>
        </w:rPr>
        <w:t>Correct all batch effects</w:t>
      </w:r>
    </w:p>
    <w:p>
      <w:pPr>
        <w:keepNext/>
        <w:spacing w:after="60"/>
        <w:ind w:left="547" w:hanging="317"/>
      </w:pPr>
      <w:r>
        <w:rPr>
          <w:rFonts w:ascii="Calibri" w:hAnsi="Calibri"/>
          <w:b/>
          <w:color w:val="1F4D78"/>
        </w:rPr>
        <w:t xml:space="preserve">[ ] D. </w:t>
      </w:r>
      <w:r>
        <w:rPr>
          <w:rFonts w:ascii="Calibri" w:hAnsi="Calibri"/>
          <w:color w:val="222222"/>
        </w:rPr>
        <w:t>Determine participant access eligibility</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5. A name lookup returns two plausible metabolite candidates and no additional structural evidence. What is the best next step?</w:t>
      </w:r>
    </w:p>
    <w:p>
      <w:pPr>
        <w:keepNext/>
        <w:spacing w:after="60"/>
        <w:ind w:left="547" w:hanging="317"/>
      </w:pPr>
      <w:r>
        <w:rPr>
          <w:rFonts w:ascii="Calibri" w:hAnsi="Calibri"/>
          <w:b/>
          <w:color w:val="1F4D78"/>
        </w:rPr>
        <w:t xml:space="preserve">[ ] A. </w:t>
      </w:r>
      <w:r>
        <w:rPr>
          <w:rFonts w:ascii="Calibri" w:hAnsi="Calibri"/>
          <w:color w:val="222222"/>
        </w:rPr>
        <w:t>Choose the first candidate.</w:t>
      </w:r>
    </w:p>
    <w:p>
      <w:pPr>
        <w:keepNext/>
        <w:spacing w:after="60"/>
        <w:ind w:left="547" w:hanging="317"/>
      </w:pPr>
      <w:r>
        <w:rPr>
          <w:rFonts w:ascii="Calibri" w:hAnsi="Calibri"/>
          <w:b/>
          <w:color w:val="1F4D78"/>
        </w:rPr>
        <w:t xml:space="preserve">[ ] B. </w:t>
      </w:r>
      <w:r>
        <w:rPr>
          <w:rFonts w:ascii="Calibri" w:hAnsi="Calibri"/>
          <w:color w:val="222222"/>
        </w:rPr>
        <w:t>Choose the candidate that maximizes study overlap.</w:t>
      </w:r>
    </w:p>
    <w:p>
      <w:pPr>
        <w:keepNext/>
        <w:spacing w:after="60"/>
        <w:ind w:left="547" w:hanging="317"/>
      </w:pPr>
      <w:r>
        <w:rPr>
          <w:rFonts w:ascii="Calibri" w:hAnsi="Calibri"/>
          <w:b/>
          <w:color w:val="1F4D78"/>
        </w:rPr>
        <w:t xml:space="preserve">[ ] C. </w:t>
      </w:r>
      <w:r>
        <w:rPr>
          <w:rFonts w:ascii="Calibri" w:hAnsi="Calibri"/>
          <w:color w:val="222222"/>
        </w:rPr>
        <w:t>Preserve both candidates, flag the row for review, and exclude it from exact overlap until resolved.</w:t>
      </w:r>
    </w:p>
    <w:p>
      <w:pPr>
        <w:keepNext/>
        <w:spacing w:after="60"/>
        <w:ind w:left="547" w:hanging="317"/>
      </w:pPr>
      <w:r>
        <w:rPr>
          <w:rFonts w:ascii="Calibri" w:hAnsi="Calibri"/>
          <w:b/>
          <w:color w:val="1F4D78"/>
        </w:rPr>
        <w:t xml:space="preserve">[ ] D. </w:t>
      </w:r>
      <w:r>
        <w:rPr>
          <w:rFonts w:ascii="Calibri" w:hAnsi="Calibri"/>
          <w:color w:val="222222"/>
        </w:rPr>
        <w:t>Delete the source label.</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6. Which Metabolomics Workbench REST study output is designed to return samples and experimental factors?</w:t>
      </w:r>
    </w:p>
    <w:p>
      <w:pPr>
        <w:keepNext/>
        <w:spacing w:after="60"/>
        <w:ind w:left="547" w:hanging="317"/>
      </w:pPr>
      <w:r>
        <w:rPr>
          <w:rFonts w:ascii="Calibri" w:hAnsi="Calibri"/>
          <w:b/>
          <w:color w:val="1F4D78"/>
        </w:rPr>
        <w:t xml:space="preserve">[ ] A. </w:t>
      </w:r>
      <w:r>
        <w:rPr>
          <w:rFonts w:ascii="Calibri" w:hAnsi="Calibri"/>
          <w:color w:val="222222"/>
        </w:rPr>
        <w:t>summary</w:t>
      </w:r>
    </w:p>
    <w:p>
      <w:pPr>
        <w:keepNext/>
        <w:spacing w:after="60"/>
        <w:ind w:left="547" w:hanging="317"/>
      </w:pPr>
      <w:r>
        <w:rPr>
          <w:rFonts w:ascii="Calibri" w:hAnsi="Calibri"/>
          <w:b/>
          <w:color w:val="1F4D78"/>
        </w:rPr>
        <w:t xml:space="preserve">[ ] B. </w:t>
      </w:r>
      <w:r>
        <w:rPr>
          <w:rFonts w:ascii="Calibri" w:hAnsi="Calibri"/>
          <w:color w:val="222222"/>
        </w:rPr>
        <w:t>factors</w:t>
      </w:r>
    </w:p>
    <w:p>
      <w:pPr>
        <w:keepNext/>
        <w:spacing w:after="60"/>
        <w:ind w:left="547" w:hanging="317"/>
      </w:pPr>
      <w:r>
        <w:rPr>
          <w:rFonts w:ascii="Calibri" w:hAnsi="Calibri"/>
          <w:b/>
          <w:color w:val="1F4D78"/>
        </w:rPr>
        <w:t xml:space="preserve">[ ] C. </w:t>
      </w:r>
      <w:r>
        <w:rPr>
          <w:rFonts w:ascii="Calibri" w:hAnsi="Calibri"/>
          <w:color w:val="222222"/>
        </w:rPr>
        <w:t>classification</w:t>
      </w:r>
    </w:p>
    <w:p>
      <w:pPr>
        <w:keepNext/>
        <w:spacing w:after="60"/>
        <w:ind w:left="547" w:hanging="317"/>
      </w:pPr>
      <w:r>
        <w:rPr>
          <w:rFonts w:ascii="Calibri" w:hAnsi="Calibri"/>
          <w:b/>
          <w:color w:val="1F4D78"/>
        </w:rPr>
        <w:t xml:space="preserve">[ ] D. </w:t>
      </w:r>
      <w:r>
        <w:rPr>
          <w:rFonts w:ascii="Calibri" w:hAnsi="Calibri"/>
          <w:color w:val="222222"/>
        </w:rPr>
        <w:t>molfile</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7. What does separation in an exploratory PCA prove?</w:t>
      </w:r>
    </w:p>
    <w:p>
      <w:pPr>
        <w:keepNext/>
        <w:spacing w:after="60"/>
        <w:ind w:left="547" w:hanging="317"/>
      </w:pPr>
      <w:r>
        <w:rPr>
          <w:rFonts w:ascii="Calibri" w:hAnsi="Calibri"/>
          <w:b/>
          <w:color w:val="1F4D78"/>
        </w:rPr>
        <w:t xml:space="preserve">[ ] A. </w:t>
      </w:r>
      <w:r>
        <w:rPr>
          <w:rFonts w:ascii="Calibri" w:hAnsi="Calibri"/>
          <w:color w:val="222222"/>
        </w:rPr>
        <w:t>The intervention caused every difference.</w:t>
      </w:r>
    </w:p>
    <w:p>
      <w:pPr>
        <w:keepNext/>
        <w:spacing w:after="60"/>
        <w:ind w:left="547" w:hanging="317"/>
      </w:pPr>
      <w:r>
        <w:rPr>
          <w:rFonts w:ascii="Calibri" w:hAnsi="Calibri"/>
          <w:b/>
          <w:color w:val="1F4D78"/>
        </w:rPr>
        <w:t xml:space="preserve">[ ] B. </w:t>
      </w:r>
      <w:r>
        <w:rPr>
          <w:rFonts w:ascii="Calibri" w:hAnsi="Calibri"/>
          <w:color w:val="222222"/>
        </w:rPr>
        <w:t>The displayed samples differ along major variance directions under the selected preprocessing; causes require additional evidence.</w:t>
      </w:r>
    </w:p>
    <w:p>
      <w:pPr>
        <w:keepNext/>
        <w:spacing w:after="60"/>
        <w:ind w:left="547" w:hanging="317"/>
      </w:pPr>
      <w:r>
        <w:rPr>
          <w:rFonts w:ascii="Calibri" w:hAnsi="Calibri"/>
          <w:b/>
          <w:color w:val="1F4D78"/>
        </w:rPr>
        <w:t xml:space="preserve">[ ] C. </w:t>
      </w:r>
      <w:r>
        <w:rPr>
          <w:rFonts w:ascii="Calibri" w:hAnsi="Calibri"/>
          <w:color w:val="222222"/>
        </w:rPr>
        <w:t>Batch effects have been removed.</w:t>
      </w:r>
    </w:p>
    <w:p>
      <w:pPr>
        <w:keepNext/>
        <w:spacing w:after="60"/>
        <w:ind w:left="547" w:hanging="317"/>
      </w:pPr>
      <w:r>
        <w:rPr>
          <w:rFonts w:ascii="Calibri" w:hAnsi="Calibri"/>
          <w:b/>
          <w:color w:val="1F4D78"/>
        </w:rPr>
        <w:t xml:space="preserve">[ ] D. </w:t>
      </w:r>
      <w:r>
        <w:rPr>
          <w:rFonts w:ascii="Calibri" w:hAnsi="Calibri"/>
          <w:color w:val="222222"/>
        </w:rPr>
        <w:t>The data are normally distributed.</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8. What is the best way to determine whether a dataset is open, agreement-gated, or controlled?</w:t>
      </w:r>
    </w:p>
    <w:p>
      <w:pPr>
        <w:keepNext/>
        <w:spacing w:after="60"/>
        <w:ind w:left="547" w:hanging="317"/>
      </w:pPr>
      <w:r>
        <w:rPr>
          <w:rFonts w:ascii="Calibri" w:hAnsi="Calibri"/>
          <w:b/>
          <w:color w:val="1F4D78"/>
        </w:rPr>
        <w:t xml:space="preserve">[ ] A. </w:t>
      </w:r>
      <w:r>
        <w:rPr>
          <w:rFonts w:ascii="Calibri" w:hAnsi="Calibri"/>
          <w:color w:val="222222"/>
        </w:rPr>
        <w:t>Use the program's access status from memory.</w:t>
      </w:r>
    </w:p>
    <w:p>
      <w:pPr>
        <w:keepNext/>
        <w:spacing w:after="60"/>
        <w:ind w:left="547" w:hanging="317"/>
      </w:pPr>
      <w:r>
        <w:rPr>
          <w:rFonts w:ascii="Calibri" w:hAnsi="Calibri"/>
          <w:b/>
          <w:color w:val="1F4D78"/>
        </w:rPr>
        <w:t xml:space="preserve">[ ] B. </w:t>
      </w:r>
      <w:r>
        <w:rPr>
          <w:rFonts w:ascii="Calibri" w:hAnsi="Calibri"/>
          <w:color w:val="222222"/>
        </w:rPr>
        <w:t>Check current first-party documentation for the exact dataset, release, and intended action and record the date.</w:t>
      </w:r>
    </w:p>
    <w:p>
      <w:pPr>
        <w:keepNext/>
        <w:spacing w:after="60"/>
        <w:ind w:left="547" w:hanging="317"/>
      </w:pPr>
      <w:r>
        <w:rPr>
          <w:rFonts w:ascii="Calibri" w:hAnsi="Calibri"/>
          <w:b/>
          <w:color w:val="1F4D78"/>
        </w:rPr>
        <w:t xml:space="preserve">[ ] C. </w:t>
      </w:r>
      <w:r>
        <w:rPr>
          <w:rFonts w:ascii="Calibri" w:hAnsi="Calibri"/>
          <w:color w:val="222222"/>
        </w:rPr>
        <w:t>Assume that a public landing page permits download.</w:t>
      </w:r>
    </w:p>
    <w:p>
      <w:pPr>
        <w:keepNext/>
        <w:spacing w:after="60"/>
        <w:ind w:left="547" w:hanging="317"/>
      </w:pPr>
      <w:r>
        <w:rPr>
          <w:rFonts w:ascii="Calibri" w:hAnsi="Calibri"/>
          <w:b/>
          <w:color w:val="1F4D78"/>
        </w:rPr>
        <w:t xml:space="preserve">[ ] D. </w:t>
      </w:r>
      <w:r>
        <w:rPr>
          <w:rFonts w:ascii="Calibri" w:hAnsi="Calibri"/>
          <w:color w:val="222222"/>
        </w:rPr>
        <w:t>Assume all NIH data are unrestricted.</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9. For broad dataset discovery, plasma and serum are best classified as:</w:t>
      </w:r>
    </w:p>
    <w:p>
      <w:pPr>
        <w:keepNext/>
        <w:spacing w:after="60"/>
        <w:ind w:left="547" w:hanging="317"/>
      </w:pPr>
      <w:r>
        <w:rPr>
          <w:rFonts w:ascii="Calibri" w:hAnsi="Calibri"/>
          <w:b/>
          <w:color w:val="1F4D78"/>
        </w:rPr>
        <w:t xml:space="preserve">[ ] A. </w:t>
      </w:r>
      <w:r>
        <w:rPr>
          <w:rFonts w:ascii="Calibri" w:hAnsi="Calibri"/>
          <w:color w:val="222222"/>
        </w:rPr>
        <w:t>Identical matrices</w:t>
      </w:r>
    </w:p>
    <w:p>
      <w:pPr>
        <w:keepNext/>
        <w:spacing w:after="60"/>
        <w:ind w:left="547" w:hanging="317"/>
      </w:pPr>
      <w:r>
        <w:rPr>
          <w:rFonts w:ascii="Calibri" w:hAnsi="Calibri"/>
          <w:b/>
          <w:color w:val="1F4D78"/>
        </w:rPr>
        <w:t xml:space="preserve">[ ] B. </w:t>
      </w:r>
      <w:r>
        <w:rPr>
          <w:rFonts w:ascii="Calibri" w:hAnsi="Calibri"/>
          <w:color w:val="222222"/>
        </w:rPr>
        <w:t>Partially comparable blood-derived fluids whose exact matrices must remain visible</w:t>
      </w:r>
    </w:p>
    <w:p>
      <w:pPr>
        <w:keepNext/>
        <w:spacing w:after="60"/>
        <w:ind w:left="547" w:hanging="317"/>
      </w:pPr>
      <w:r>
        <w:rPr>
          <w:rFonts w:ascii="Calibri" w:hAnsi="Calibri"/>
          <w:b/>
          <w:color w:val="1F4D78"/>
        </w:rPr>
        <w:t xml:space="preserve">[ ] C. </w:t>
      </w:r>
      <w:r>
        <w:rPr>
          <w:rFonts w:ascii="Calibri" w:hAnsi="Calibri"/>
          <w:color w:val="222222"/>
        </w:rPr>
        <w:t>Always not comparable for any purpose</w:t>
      </w:r>
    </w:p>
    <w:p>
      <w:pPr>
        <w:keepNext/>
        <w:spacing w:after="60"/>
        <w:ind w:left="547" w:hanging="317"/>
      </w:pPr>
      <w:r>
        <w:rPr>
          <w:rFonts w:ascii="Calibri" w:hAnsi="Calibri"/>
          <w:b/>
          <w:color w:val="1F4D78"/>
        </w:rPr>
        <w:t xml:space="preserve">[ ] D. </w:t>
      </w:r>
      <w:r>
        <w:rPr>
          <w:rFonts w:ascii="Calibri" w:hAnsi="Calibri"/>
          <w:color w:val="222222"/>
        </w:rPr>
        <w:t>Directly comparable after z-scoring</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10. What is the safest default architecture for participant-level data in a controlled Researcher Workbench?</w:t>
      </w:r>
    </w:p>
    <w:p>
      <w:pPr>
        <w:keepNext/>
        <w:spacing w:after="60"/>
        <w:ind w:left="547" w:hanging="317"/>
      </w:pPr>
      <w:r>
        <w:rPr>
          <w:rFonts w:ascii="Calibri" w:hAnsi="Calibri"/>
          <w:b/>
          <w:color w:val="1F4D78"/>
        </w:rPr>
        <w:t xml:space="preserve">[ ] A. </w:t>
      </w:r>
      <w:r>
        <w:rPr>
          <w:rFonts w:ascii="Calibri" w:hAnsi="Calibri"/>
          <w:color w:val="222222"/>
        </w:rPr>
        <w:t>Download the participant table to a personal laptop for speed.</w:t>
      </w:r>
    </w:p>
    <w:p>
      <w:pPr>
        <w:keepNext/>
        <w:spacing w:after="60"/>
        <w:ind w:left="547" w:hanging="317"/>
      </w:pPr>
      <w:r>
        <w:rPr>
          <w:rFonts w:ascii="Calibri" w:hAnsi="Calibri"/>
          <w:b/>
          <w:color w:val="1F4D78"/>
        </w:rPr>
        <w:t xml:space="preserve">[ ] B. </w:t>
      </w:r>
      <w:r>
        <w:rPr>
          <w:rFonts w:ascii="Calibri" w:hAnsi="Calibri"/>
          <w:color w:val="222222"/>
        </w:rPr>
        <w:t>Run approved code in the governed workspace and export only outputs permitted by current policy.</w:t>
      </w:r>
    </w:p>
    <w:p>
      <w:pPr>
        <w:keepNext/>
        <w:spacing w:after="60"/>
        <w:ind w:left="547" w:hanging="317"/>
      </w:pPr>
      <w:r>
        <w:rPr>
          <w:rFonts w:ascii="Calibri" w:hAnsi="Calibri"/>
          <w:b/>
          <w:color w:val="1F4D78"/>
        </w:rPr>
        <w:t xml:space="preserve">[ ] C. </w:t>
      </w:r>
      <w:r>
        <w:rPr>
          <w:rFonts w:ascii="Calibri" w:hAnsi="Calibri"/>
          <w:color w:val="222222"/>
        </w:rPr>
        <w:t>Put the data in a public module cache.</w:t>
      </w:r>
    </w:p>
    <w:p>
      <w:pPr>
        <w:keepNext/>
        <w:spacing w:after="60"/>
        <w:ind w:left="547" w:hanging="317"/>
      </w:pPr>
      <w:r>
        <w:rPr>
          <w:rFonts w:ascii="Calibri" w:hAnsi="Calibri"/>
          <w:b/>
          <w:color w:val="1F4D78"/>
        </w:rPr>
        <w:t xml:space="preserve">[ ] D. </w:t>
      </w:r>
      <w:r>
        <w:rPr>
          <w:rFonts w:ascii="Calibri" w:hAnsi="Calibri"/>
          <w:color w:val="222222"/>
        </w:rPr>
        <w:t>Share credentials with collaborators.</w:t>
      </w:r>
    </w:p>
    <w:p>
      <w:pPr>
        <w:spacing w:after="160"/>
      </w:pPr>
      <w:r>
        <w:rPr>
          <w:rFonts w:ascii="Calibri" w:hAnsi="Calibri"/>
          <w:i/>
          <w:color w:val="5A6570"/>
          <w:sz w:val="19"/>
        </w:rPr>
        <w:t>Response: ________    Confidence (1-5): ________</w:t>
      </w:r>
    </w:p>
    <w:p>
      <w:r>
        <w:br w:type="page"/>
      </w:r>
    </w:p>
    <w:p>
      <w:pPr>
        <w:pStyle w:val="Heading1"/>
      </w:pPr>
      <w:r>
        <w:rPr>
          <w:rFonts w:ascii="Calibri" w:hAnsi="Calibri"/>
          <w:color w:val="222222"/>
        </w:rPr>
        <w:t>Lesson 1 - Why phenotype-to-metabolome harmonization matters</w:t>
      </w:r>
    </w:p>
    <w:p>
      <w:r>
        <w:rPr>
          <w:rFonts w:ascii="Calibri" w:hAnsi="Calibri"/>
          <w:b/>
          <w:color w:val="222222"/>
        </w:rPr>
        <w:t>Estimated time:</w:t>
      </w:r>
      <w:r>
        <w:rPr>
          <w:rFonts w:ascii="Calibri" w:hAnsi="Calibri"/>
          <w:color w:val="222222"/>
        </w:rPr>
        <w:t xml:space="preserve"> 20 minutes</w:t>
      </w:r>
    </w:p>
    <w:p>
      <w:r>
        <w:rPr>
          <w:rFonts w:ascii="Calibri" w:hAnsi="Calibri"/>
          <w:b/>
          <w:color w:val="222222"/>
        </w:rPr>
        <w:t>Bloom levels:</w:t>
      </w:r>
      <w:r>
        <w:rPr>
          <w:rFonts w:ascii="Calibri" w:hAnsi="Calibri"/>
          <w:color w:val="222222"/>
        </w:rPr>
        <w:t xml:space="preserve"> Remember, understand</w:t>
      </w:r>
    </w:p>
    <w:p>
      <w:r>
        <w:rPr>
          <w:rFonts w:ascii="Calibri" w:hAnsi="Calibri"/>
          <w:b/>
          <w:color w:val="222222"/>
        </w:rPr>
        <w:t>Module objectives addressed:</w:t>
      </w:r>
      <w:r>
        <w:rPr>
          <w:rFonts w:ascii="Calibri" w:hAnsi="Calibri"/>
          <w:color w:val="222222"/>
        </w:rPr>
        <w:t xml:space="preserve"> LO1, LO2, LO5</w:t>
      </w:r>
    </w:p>
    <w:p>
      <w:pPr>
        <w:pStyle w:val="Heading2"/>
      </w:pPr>
      <w:r>
        <w:rPr>
          <w:rFonts w:ascii="Calibri" w:hAnsi="Calibri"/>
          <w:color w:val="222222"/>
        </w:rPr>
        <w:t>Learning objectives</w:t>
      </w:r>
    </w:p>
    <w:p>
      <w:r>
        <w:rPr>
          <w:rFonts w:ascii="Calibri" w:hAnsi="Calibri"/>
          <w:color w:val="222222"/>
        </w:rPr>
        <w:t>By the end of this lesson, you will be able to:</w:t>
      </w:r>
    </w:p>
    <w:p>
      <w:pPr>
        <w:numPr>
          <w:ilvl w:val="0"/>
          <w:numId w:val="12"/>
        </w:numPr>
        <w:spacing w:after="80" w:line="300" w:lineRule="auto"/>
      </w:pPr>
      <w:r>
        <w:rPr>
          <w:rFonts w:ascii="Calibri" w:hAnsi="Calibri"/>
          <w:color w:val="222222"/>
        </w:rPr>
        <w:t>Explain why metabolite measurements are not interpretable without study-design, specimen, timepoint, and phenotype context.</w:t>
      </w:r>
    </w:p>
    <w:p>
      <w:pPr>
        <w:numPr>
          <w:ilvl w:val="0"/>
          <w:numId w:val="12"/>
        </w:numPr>
        <w:spacing w:after="80" w:line="300" w:lineRule="auto"/>
      </w:pPr>
      <w:r>
        <w:rPr>
          <w:rFonts w:ascii="Calibri" w:hAnsi="Calibri"/>
          <w:color w:val="222222"/>
        </w:rPr>
        <w:t>Distinguish structural harmonization from statistical pooling.</w:t>
      </w:r>
    </w:p>
    <w:p>
      <w:pPr>
        <w:numPr>
          <w:ilvl w:val="0"/>
          <w:numId w:val="12"/>
        </w:numPr>
        <w:spacing w:after="80" w:line="300" w:lineRule="auto"/>
      </w:pPr>
      <w:r>
        <w:rPr>
          <w:rFonts w:ascii="Calibri" w:hAnsi="Calibri"/>
          <w:color w:val="222222"/>
        </w:rPr>
        <w:t>Recognize open, registration- or agreement-gated, and controlled-compute access patterns.</w:t>
      </w:r>
    </w:p>
    <w:p>
      <w:pPr>
        <w:numPr>
          <w:ilvl w:val="0"/>
          <w:numId w:val="12"/>
        </w:numPr>
        <w:spacing w:after="80" w:line="300" w:lineRule="auto"/>
      </w:pPr>
      <w:r>
        <w:rPr>
          <w:rFonts w:ascii="Calibri" w:hAnsi="Calibri"/>
          <w:color w:val="222222"/>
        </w:rPr>
        <w:t>Locate the two configurable Metabolomics Workbench case studies used throughout the module.</w:t>
      </w:r>
    </w:p>
    <w:p>
      <w:pPr>
        <w:pStyle w:val="Heading2"/>
      </w:pPr>
      <w:r>
        <w:rPr>
          <w:rFonts w:ascii="Calibri" w:hAnsi="Calibri"/>
          <w:color w:val="222222"/>
        </w:rPr>
        <w:t>Lesson map</w:t>
      </w:r>
    </w:p>
    <w:tbl>
      <w:tblPr>
        <w:tblStyle w:val="TableGrid"/>
        <w:tblW w:type="dxa" w:w="9360"/>
        <w:jc w:val="left"/>
        <w:tblLayout w:type="fixed"/>
        <w:tblLook w:firstColumn="1" w:firstRow="1" w:lastColumn="0" w:lastRow="0" w:noHBand="0" w:noVBand="1" w:val="04A0"/>
        <w:tblInd w:w="120" w:type="dxa"/>
      </w:tblPr>
      <w:tblGrid>
        <w:gridCol w:w="6784"/>
        <w:gridCol w:w="2576"/>
      </w:tblGrid>
      <w:tr>
        <w:trPr>
          <w:cantSplit w:val="true"/>
          <w:tblHeader w:val="true"/>
        </w:trPr>
        <w:tc>
          <w:tcPr>
            <w:tcW w:type="dxa" w:w="678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Activity</w:t>
            </w:r>
          </w:p>
        </w:tc>
        <w:tc>
          <w:tcPr>
            <w:tcW w:type="dxa" w:w="257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Minutes</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Pretest, additional assessment time</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The phenotype-to-metabolome problem</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The Metabo-Diet workflow and access patterns</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Worked triage activity</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7</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Knowledge check and reflection</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b/>
                <w:color w:val="222222"/>
                <w:sz w:val="18"/>
              </w:rPr>
              <w:t>Instructional subtotal, excluding pretest</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b/>
                <w:color w:val="222222"/>
                <w:sz w:val="18"/>
              </w:rPr>
              <w:t>20</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b/>
                <w:color w:val="222222"/>
                <w:sz w:val="18"/>
              </w:rPr>
              <w:t>Learner time with pretest</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b/>
                <w:color w:val="222222"/>
                <w:sz w:val="18"/>
              </w:rPr>
              <w:t>25</w:t>
            </w:r>
          </w:p>
        </w:tc>
      </w:tr>
    </w:tbl>
    <w:p>
      <w:pPr>
        <w:spacing w:before="0" w:after="40"/>
      </w:pPr>
    </w:p>
    <w:p>
      <w:pPr>
        <w:spacing w:before="100" w:after="120"/>
        <w:ind w:left="259" w:right="115"/>
        <w:shd w:fill="F4F6F9"/>
        <w:pBdr>
          <w:left w:val="single" w:sz="16" w:space="8" w:color="2E74B5"/>
        </w:pBdr>
      </w:pPr>
      <w:r>
        <w:rPr>
          <w:rFonts w:ascii="Calibri" w:hAnsi="Calibri"/>
          <w:b/>
          <w:color w:val="1F4D78"/>
        </w:rPr>
        <w:t>Notebook connection - `NB-L1`.</w:t>
      </w:r>
      <w:r>
        <w:rPr>
          <w:rFonts w:ascii="Calibri" w:hAnsi="Calibri"/>
          <w:color w:val="1F4D78"/>
        </w:rPr>
        <w:t xml:space="preserve"> First complete the pretest. Then open </w:t>
      </w:r>
      <w:r>
        <w:rPr>
          <w:rFonts w:ascii="Consolas" w:hAnsi="Consolas"/>
          <w:color w:val="1F4D78"/>
          <w:sz w:val="21"/>
          <w:shd w:fill="EEF1F4"/>
        </w:rPr>
        <w:t>module/notebooks/metabo_diet_harmonization.ipynb</w:t>
      </w:r>
      <w:r>
        <w:rPr>
          <w:rFonts w:ascii="Calibri" w:hAnsi="Calibri"/>
          <w:color w:val="1F4D78"/>
        </w:rPr>
        <w:t xml:space="preserve">, finish </w:t>
      </w:r>
      <w:r>
        <w:rPr>
          <w:rFonts w:ascii="Consolas" w:hAnsi="Consolas"/>
          <w:color w:val="1F4D78"/>
          <w:sz w:val="21"/>
          <w:shd w:fill="EEF1F4"/>
        </w:rPr>
        <w:t>NB-SETUP</w:t>
      </w:r>
      <w:r>
        <w:rPr>
          <w:rFonts w:ascii="Calibri" w:hAnsi="Calibri"/>
          <w:color w:val="1F4D78"/>
        </w:rPr>
        <w:t xml:space="preserve">, and go to </w:t>
      </w:r>
      <w:r>
        <w:rPr>
          <w:rFonts w:ascii="Calibri" w:hAnsi="Calibri"/>
          <w:b/>
          <w:color w:val="1F4D78"/>
        </w:rPr>
        <w:t>Lesson 1 - Why harmonization matters (`NB-L1`)</w:t>
      </w:r>
      <w:r>
        <w:rPr>
          <w:rFonts w:ascii="Calibri" w:hAnsi="Calibri"/>
          <w:color w:val="1F4D78"/>
        </w:rPr>
        <w:t xml:space="preserve">. Run the environment and configuration cells, confirm </w:t>
      </w:r>
      <w:r>
        <w:rPr>
          <w:rFonts w:ascii="Consolas" w:hAnsi="Consolas"/>
          <w:color w:val="1F4D78"/>
          <w:sz w:val="21"/>
          <w:shd w:fill="EEF1F4"/>
        </w:rPr>
        <w:t>ST001521</w:t>
      </w:r>
      <w:r>
        <w:rPr>
          <w:rFonts w:ascii="Calibri" w:hAnsi="Calibri"/>
          <w:color w:val="1F4D78"/>
        </w:rPr>
        <w:t xml:space="preserve">, </w:t>
      </w:r>
      <w:r>
        <w:rPr>
          <w:rFonts w:ascii="Consolas" w:hAnsi="Consolas"/>
          <w:color w:val="1F4D78"/>
          <w:sz w:val="21"/>
          <w:shd w:fill="EEF1F4"/>
        </w:rPr>
        <w:t>ST003348</w:t>
      </w:r>
      <w:r>
        <w:rPr>
          <w:rFonts w:ascii="Calibri" w:hAnsi="Calibri"/>
          <w:color w:val="1F4D78"/>
        </w:rPr>
        <w:t xml:space="preserve">, and the retrieval mode, then pause and record why the matrices must remain separate. Do not begin </w:t>
      </w:r>
      <w:r>
        <w:rPr>
          <w:rFonts w:ascii="Consolas" w:hAnsi="Consolas"/>
          <w:color w:val="1F4D78"/>
          <w:sz w:val="21"/>
          <w:shd w:fill="EEF1F4"/>
        </w:rPr>
        <w:t>NB-L2</w:t>
      </w:r>
      <w:r>
        <w:rPr>
          <w:rFonts w:ascii="Calibri" w:hAnsi="Calibri"/>
          <w:color w:val="1F4D78"/>
        </w:rPr>
        <w:t xml:space="preserve"> until this lesson is complete.</w:t>
      </w:r>
    </w:p>
    <w:p>
      <w:pPr>
        <w:pStyle w:val="Heading2"/>
      </w:pPr>
      <w:r>
        <w:rPr>
          <w:rFonts w:ascii="Calibri" w:hAnsi="Calibri"/>
          <w:color w:val="222222"/>
        </w:rPr>
        <w:t>Before you begin</w:t>
      </w:r>
    </w:p>
    <w:p>
      <w:r>
        <w:rPr>
          <w:rFonts w:ascii="Calibri" w:hAnsi="Calibri"/>
          <w:color w:val="222222"/>
        </w:rPr>
        <w:t>Complete the pretest before opening the answer key. Its purpose is to establish a baseline, not to determine eligibility. Record your confidence separately from correctness; confidence and knowledge can change at different rates.</w:t>
      </w:r>
    </w:p>
    <w:p>
      <w:r>
        <w:rPr>
          <w:rFonts w:ascii="Calibri" w:hAnsi="Calibri"/>
          <w:color w:val="222222"/>
        </w:rPr>
        <w:t>This module keeps two configuration labels so a study pair can be replaced without rewriting the workflow. The release pair is now locked:</w:t>
      </w:r>
    </w:p>
    <w:p>
      <w:pPr>
        <w:numPr>
          <w:ilvl w:val="0"/>
          <w:numId w:val="13"/>
        </w:numPr>
        <w:spacing w:after="80" w:line="300" w:lineRule="auto"/>
      </w:pPr>
      <w:r>
        <w:rPr>
          <w:rFonts w:ascii="Consolas" w:hAnsi="Consolas"/>
          <w:color w:val="1F4D78"/>
          <w:sz w:val="21"/>
          <w:shd w:fill="EEF1F4"/>
        </w:rPr>
        <w:t>DIET_ACCESSION = ST001521</w:t>
      </w:r>
      <w:r>
        <w:rPr>
          <w:rFonts w:ascii="Calibri" w:hAnsi="Calibri"/>
          <w:color w:val="222222"/>
        </w:rPr>
        <w:t>: the public, human FARMM diet-anchored plasma study.</w:t>
      </w:r>
    </w:p>
    <w:p>
      <w:pPr>
        <w:numPr>
          <w:ilvl w:val="0"/>
          <w:numId w:val="13"/>
        </w:numPr>
        <w:spacing w:after="80" w:line="300" w:lineRule="auto"/>
      </w:pPr>
      <w:r>
        <w:rPr>
          <w:rFonts w:ascii="Consolas" w:hAnsi="Consolas"/>
          <w:color w:val="1F4D78"/>
          <w:sz w:val="21"/>
          <w:shd w:fill="EEF1F4"/>
        </w:rPr>
        <w:t>EXERCISE_ACCESSION = ST003348</w:t>
      </w:r>
      <w:r>
        <w:rPr>
          <w:rFonts w:ascii="Calibri" w:hAnsi="Calibri"/>
          <w:color w:val="222222"/>
        </w:rPr>
        <w:t>: the public, human race-walking exercise-anchored serum study.</w:t>
      </w:r>
    </w:p>
    <w:p>
      <w:r>
        <w:rPr>
          <w:rFonts w:ascii="Calibri" w:hAnsi="Calibri"/>
          <w:color w:val="222222"/>
        </w:rPr>
        <w:t>The variable names are not accession numbers and must never be sent to the REST API literally. The notebook configuration cell resolves them to the values above. Before teaching, the instructor confirms that both studies remain public and that the release manifest still matches the retrieved records.</w:t>
      </w:r>
    </w:p>
    <w:p>
      <w:pPr>
        <w:pStyle w:val="Heading2"/>
      </w:pPr>
      <w:r>
        <w:rPr>
          <w:rFonts w:ascii="Calibri" w:hAnsi="Calibri"/>
          <w:color w:val="222222"/>
        </w:rPr>
        <w:t>1. A metabolite value is an observation in context</w:t>
      </w:r>
    </w:p>
    <w:p>
      <w:r>
        <w:rPr>
          <w:rFonts w:ascii="Calibri" w:hAnsi="Calibri"/>
          <w:color w:val="222222"/>
        </w:rPr>
        <w:t xml:space="preserve">Imagine two rows labeled </w:t>
      </w:r>
      <w:r>
        <w:rPr>
          <w:rFonts w:ascii="Consolas" w:hAnsi="Consolas"/>
          <w:color w:val="1F4D78"/>
          <w:sz w:val="21"/>
          <w:shd w:fill="EEF1F4"/>
        </w:rPr>
        <w:t>glucose</w:t>
      </w:r>
      <w:r>
        <w:rPr>
          <w:rFonts w:ascii="Calibri" w:hAnsi="Calibri"/>
          <w:color w:val="222222"/>
        </w:rPr>
        <w:t>. One value was measured in fasting plasma before a controlled diet; the other was measured in serum immediately after a maximal exercise bout. The analyte labels look compatible, but the observations are not interchangeable.</w:t>
      </w:r>
    </w:p>
    <w:p>
      <w:r>
        <w:rPr>
          <w:rFonts w:ascii="Calibri" w:hAnsi="Calibri"/>
          <w:color w:val="222222"/>
        </w:rPr>
        <w:t>At least five layers shape what a metabolite value means:</w:t>
      </w:r>
    </w:p>
    <w:p>
      <w:pPr>
        <w:numPr>
          <w:ilvl w:val="0"/>
          <w:numId w:val="14"/>
        </w:numPr>
        <w:spacing w:after="80" w:line="300" w:lineRule="auto"/>
      </w:pPr>
      <w:r>
        <w:rPr>
          <w:rFonts w:ascii="Calibri" w:hAnsi="Calibri"/>
          <w:b/>
          <w:color w:val="222222"/>
        </w:rPr>
        <w:t>Biological question:</w:t>
      </w:r>
      <w:r>
        <w:rPr>
          <w:rFonts w:ascii="Calibri" w:hAnsi="Calibri"/>
          <w:color w:val="222222"/>
        </w:rPr>
        <w:t xml:space="preserve"> What exposure, intervention, or phenotype anchors the study?</w:t>
      </w:r>
    </w:p>
    <w:p>
      <w:pPr>
        <w:numPr>
          <w:ilvl w:val="0"/>
          <w:numId w:val="14"/>
        </w:numPr>
        <w:spacing w:after="80" w:line="300" w:lineRule="auto"/>
      </w:pPr>
      <w:r>
        <w:rPr>
          <w:rFonts w:ascii="Calibri" w:hAnsi="Calibri"/>
          <w:b/>
          <w:color w:val="222222"/>
        </w:rPr>
        <w:t>Sampling context:</w:t>
      </w:r>
      <w:r>
        <w:rPr>
          <w:rFonts w:ascii="Calibri" w:hAnsi="Calibri"/>
          <w:color w:val="222222"/>
        </w:rPr>
        <w:t xml:space="preserve"> Which specimen was collected, from whom, and under what conditions?</w:t>
      </w:r>
    </w:p>
    <w:p>
      <w:pPr>
        <w:numPr>
          <w:ilvl w:val="0"/>
          <w:numId w:val="14"/>
        </w:numPr>
        <w:spacing w:after="80" w:line="300" w:lineRule="auto"/>
      </w:pPr>
      <w:r>
        <w:rPr>
          <w:rFonts w:ascii="Calibri" w:hAnsi="Calibri"/>
          <w:b/>
          <w:color w:val="222222"/>
        </w:rPr>
        <w:t>Time meaning:</w:t>
      </w:r>
      <w:r>
        <w:rPr>
          <w:rFonts w:ascii="Calibri" w:hAnsi="Calibri"/>
          <w:color w:val="222222"/>
        </w:rPr>
        <w:t xml:space="preserve"> Does a label such as </w:t>
      </w:r>
      <w:r>
        <w:rPr>
          <w:rFonts w:ascii="Consolas" w:hAnsi="Consolas"/>
          <w:color w:val="1F4D78"/>
          <w:sz w:val="21"/>
          <w:shd w:fill="EEF1F4"/>
        </w:rPr>
        <w:t>post</w:t>
      </w:r>
      <w:r>
        <w:rPr>
          <w:rFonts w:ascii="Calibri" w:hAnsi="Calibri"/>
          <w:color w:val="222222"/>
        </w:rPr>
        <w:t xml:space="preserve"> mean after a meal, after weeks of feeding, immediately after exercise, or during recovery?</w:t>
      </w:r>
    </w:p>
    <w:p>
      <w:pPr>
        <w:numPr>
          <w:ilvl w:val="0"/>
          <w:numId w:val="14"/>
        </w:numPr>
        <w:spacing w:after="80" w:line="300" w:lineRule="auto"/>
      </w:pPr>
      <w:r>
        <w:rPr>
          <w:rFonts w:ascii="Calibri" w:hAnsi="Calibri"/>
          <w:b/>
          <w:color w:val="222222"/>
        </w:rPr>
        <w:t>Analytical process:</w:t>
      </w:r>
      <w:r>
        <w:rPr>
          <w:rFonts w:ascii="Calibri" w:hAnsi="Calibri"/>
          <w:color w:val="222222"/>
        </w:rPr>
        <w:t xml:space="preserve"> Which platform, method, batch structure, preprocessing, and units produced the value?</w:t>
      </w:r>
    </w:p>
    <w:p>
      <w:pPr>
        <w:numPr>
          <w:ilvl w:val="0"/>
          <w:numId w:val="14"/>
        </w:numPr>
        <w:spacing w:after="80" w:line="300" w:lineRule="auto"/>
      </w:pPr>
      <w:r>
        <w:rPr>
          <w:rFonts w:ascii="Calibri" w:hAnsi="Calibri"/>
          <w:b/>
          <w:color w:val="222222"/>
        </w:rPr>
        <w:t>Data representation:</w:t>
      </w:r>
      <w:r>
        <w:rPr>
          <w:rFonts w:ascii="Calibri" w:hAnsi="Calibri"/>
          <w:color w:val="222222"/>
        </w:rPr>
        <w:t xml:space="preserve"> How are samples, factors, metabolites, missing values, and identifiers encoded?</w:t>
      </w:r>
    </w:p>
    <w:p>
      <w:r>
        <w:rPr>
          <w:rFonts w:ascii="Calibri" w:hAnsi="Calibri"/>
          <w:color w:val="222222"/>
        </w:rPr>
        <w:t>Harmonization makes these layers explicit. It does not erase them.</w:t>
      </w:r>
    </w:p>
    <w:p>
      <w:pPr>
        <w:spacing w:before="100" w:after="120"/>
        <w:ind w:left="259" w:right="115"/>
        <w:shd w:fill="F4F6F9"/>
        <w:pBdr>
          <w:left w:val="single" w:sz="16" w:space="8" w:color="2E74B5"/>
        </w:pBdr>
      </w:pPr>
      <w:r>
        <w:rPr>
          <w:rFonts w:ascii="Calibri" w:hAnsi="Calibri"/>
          <w:b/>
          <w:color w:val="1F4D78"/>
        </w:rPr>
        <w:t>Core guardrail:</w:t>
      </w:r>
      <w:r>
        <w:rPr>
          <w:rFonts w:ascii="Calibri" w:hAnsi="Calibri"/>
          <w:color w:val="1F4D78"/>
        </w:rPr>
        <w:t xml:space="preserve"> Structural harmonization can make records easier to compare. It does not, by itself, make participants, interventions, specimens, timepoints, platforms, units, or quantitative values exchangeable.</w:t>
      </w:r>
    </w:p>
    <w:p>
      <w:r>
        <w:rPr>
          <w:rFonts w:ascii="Calibri" w:hAnsi="Calibri"/>
          <w:color w:val="222222"/>
        </w:rPr>
        <w:t>This distinction protects against a tempting but invalid workflow: matching metabolite names, stacking two intensity matrices, and interpreting the first principal component as a diet-versus-exercise biological effect. If study and phenotype are perfectly confounded, the observed separation may arise from platform, sample handling, units, batch, population, or other design differences. No statistical technique can identify a unique biological cause from that contrast alone.</w:t>
      </w:r>
    </w:p>
    <w:p>
      <w:pPr>
        <w:pStyle w:val="Heading2"/>
      </w:pPr>
      <w:r>
        <w:rPr>
          <w:rFonts w:ascii="Calibri" w:hAnsi="Calibri"/>
          <w:color w:val="222222"/>
        </w:rPr>
        <w:t>2. What harmonization can accomplish</w:t>
      </w:r>
    </w:p>
    <w:p>
      <w:r>
        <w:rPr>
          <w:rFonts w:ascii="Calibri" w:hAnsi="Calibri"/>
          <w:color w:val="222222"/>
        </w:rPr>
        <w:t>The Metabo-Diet workflow supports several defensible tasks:</w:t>
      </w:r>
    </w:p>
    <w:p>
      <w:pPr>
        <w:numPr>
          <w:ilvl w:val="0"/>
          <w:numId w:val="15"/>
        </w:numPr>
        <w:spacing w:after="80" w:line="300" w:lineRule="auto"/>
      </w:pPr>
      <w:r>
        <w:rPr>
          <w:rFonts w:ascii="Calibri" w:hAnsi="Calibri"/>
          <w:color w:val="222222"/>
        </w:rPr>
        <w:t>Compare how studies represent intervention, specimen, timepoint, and phenotype variables.</w:t>
      </w:r>
    </w:p>
    <w:p>
      <w:pPr>
        <w:numPr>
          <w:ilvl w:val="0"/>
          <w:numId w:val="15"/>
        </w:numPr>
        <w:spacing w:after="80" w:line="300" w:lineRule="auto"/>
      </w:pPr>
      <w:r>
        <w:rPr>
          <w:rFonts w:ascii="Calibri" w:hAnsi="Calibri"/>
          <w:color w:val="222222"/>
        </w:rPr>
        <w:t>Standardize metabolite labels while preserving the submitted names and mapping evidence.</w:t>
      </w:r>
    </w:p>
    <w:p>
      <w:pPr>
        <w:numPr>
          <w:ilvl w:val="0"/>
          <w:numId w:val="15"/>
        </w:numPr>
        <w:spacing w:after="80" w:line="300" w:lineRule="auto"/>
      </w:pPr>
      <w:r>
        <w:rPr>
          <w:rFonts w:ascii="Calibri" w:hAnsi="Calibri"/>
          <w:color w:val="222222"/>
        </w:rPr>
        <w:t>Identify metabolites reported in both studies at a compatible annotation level.</w:t>
      </w:r>
    </w:p>
    <w:p>
      <w:pPr>
        <w:numPr>
          <w:ilvl w:val="0"/>
          <w:numId w:val="15"/>
        </w:numPr>
        <w:spacing w:after="80" w:line="300" w:lineRule="auto"/>
      </w:pPr>
      <w:r>
        <w:rPr>
          <w:rFonts w:ascii="Calibri" w:hAnsi="Calibri"/>
          <w:color w:val="222222"/>
        </w:rPr>
        <w:t>Describe where metadata concepts align, partially align, or do not align.</w:t>
      </w:r>
    </w:p>
    <w:p>
      <w:pPr>
        <w:numPr>
          <w:ilvl w:val="0"/>
          <w:numId w:val="15"/>
        </w:numPr>
        <w:spacing w:after="80" w:line="300" w:lineRule="auto"/>
      </w:pPr>
      <w:r>
        <w:rPr>
          <w:rFonts w:ascii="Calibri" w:hAnsi="Calibri"/>
          <w:color w:val="222222"/>
        </w:rPr>
        <w:t>Conduct exploratory analyses within each study using study-appropriate preprocessing.</w:t>
      </w:r>
    </w:p>
    <w:p>
      <w:pPr>
        <w:numPr>
          <w:ilvl w:val="0"/>
          <w:numId w:val="15"/>
        </w:numPr>
        <w:spacing w:after="80" w:line="300" w:lineRule="auto"/>
      </w:pPr>
      <w:r>
        <w:rPr>
          <w:rFonts w:ascii="Calibri" w:hAnsi="Calibri"/>
          <w:color w:val="222222"/>
        </w:rPr>
        <w:t>Compare patterns descriptively when the measurement and design context supports the comparison.</w:t>
      </w:r>
    </w:p>
    <w:p>
      <w:pPr>
        <w:numPr>
          <w:ilvl w:val="0"/>
          <w:numId w:val="15"/>
        </w:numPr>
        <w:spacing w:after="80" w:line="300" w:lineRule="auto"/>
      </w:pPr>
      <w:r>
        <w:rPr>
          <w:rFonts w:ascii="Calibri" w:hAnsi="Calibri"/>
          <w:color w:val="222222"/>
        </w:rPr>
        <w:t>Document unresolved mappings and incompatibilities for future reuse.</w:t>
      </w:r>
    </w:p>
    <w:p>
      <w:r>
        <w:rPr>
          <w:rFonts w:ascii="Calibri" w:hAnsi="Calibri"/>
          <w:color w:val="222222"/>
        </w:rPr>
        <w:t xml:space="preserve">It does </w:t>
      </w:r>
      <w:r>
        <w:rPr>
          <w:rFonts w:ascii="Calibri" w:hAnsi="Calibri"/>
          <w:b/>
          <w:color w:val="222222"/>
        </w:rPr>
        <w:t>not</w:t>
      </w:r>
      <w:r>
        <w:rPr>
          <w:rFonts w:ascii="Calibri" w:hAnsi="Calibri"/>
          <w:color w:val="222222"/>
        </w:rPr>
        <w:t xml:space="preserve"> automatically support:</w:t>
      </w:r>
    </w:p>
    <w:p>
      <w:pPr>
        <w:numPr>
          <w:ilvl w:val="0"/>
          <w:numId w:val="16"/>
        </w:numPr>
        <w:spacing w:after="80" w:line="300" w:lineRule="auto"/>
      </w:pPr>
      <w:r>
        <w:rPr>
          <w:rFonts w:ascii="Calibri" w:hAnsi="Calibri"/>
          <w:color w:val="222222"/>
        </w:rPr>
        <w:t>Direct comparison of raw or normalized intensities across platforms.</w:t>
      </w:r>
    </w:p>
    <w:p>
      <w:pPr>
        <w:numPr>
          <w:ilvl w:val="0"/>
          <w:numId w:val="16"/>
        </w:numPr>
        <w:spacing w:after="80" w:line="300" w:lineRule="auto"/>
      </w:pPr>
      <w:r>
        <w:rPr>
          <w:rFonts w:ascii="Calibri" w:hAnsi="Calibri"/>
          <w:color w:val="222222"/>
        </w:rPr>
        <w:t xml:space="preserve">Treating </w:t>
      </w:r>
      <w:r>
        <w:rPr>
          <w:rFonts w:ascii="Consolas" w:hAnsi="Consolas"/>
          <w:color w:val="1F4D78"/>
          <w:sz w:val="21"/>
          <w:shd w:fill="EEF1F4"/>
        </w:rPr>
        <w:t>post</w:t>
      </w:r>
      <w:r>
        <w:rPr>
          <w:rFonts w:ascii="Calibri" w:hAnsi="Calibri"/>
          <w:color w:val="222222"/>
        </w:rPr>
        <w:t xml:space="preserve"> timepoints as equivalent without physiological definitions.</w:t>
      </w:r>
    </w:p>
    <w:p>
      <w:pPr>
        <w:numPr>
          <w:ilvl w:val="0"/>
          <w:numId w:val="16"/>
        </w:numPr>
        <w:spacing w:after="80" w:line="300" w:lineRule="auto"/>
      </w:pPr>
      <w:r>
        <w:rPr>
          <w:rFonts w:ascii="Calibri" w:hAnsi="Calibri"/>
          <w:color w:val="222222"/>
        </w:rPr>
        <w:t>Treating plasma and serum as the same specimen.</w:t>
      </w:r>
    </w:p>
    <w:p>
      <w:pPr>
        <w:numPr>
          <w:ilvl w:val="0"/>
          <w:numId w:val="16"/>
        </w:numPr>
        <w:spacing w:after="80" w:line="300" w:lineRule="auto"/>
      </w:pPr>
      <w:r>
        <w:rPr>
          <w:rFonts w:ascii="Calibri" w:hAnsi="Calibri"/>
          <w:color w:val="222222"/>
        </w:rPr>
        <w:t>Treating a metabolite class label as a uniquely identified molecular structure.</w:t>
      </w:r>
    </w:p>
    <w:p>
      <w:pPr>
        <w:numPr>
          <w:ilvl w:val="0"/>
          <w:numId w:val="16"/>
        </w:numPr>
        <w:spacing w:after="80" w:line="300" w:lineRule="auto"/>
      </w:pPr>
      <w:r>
        <w:rPr>
          <w:rFonts w:ascii="Calibri" w:hAnsi="Calibri"/>
          <w:color w:val="222222"/>
        </w:rPr>
        <w:t>Inferring that an exposure caused a cross-study difference.</w:t>
      </w:r>
    </w:p>
    <w:p>
      <w:pPr>
        <w:numPr>
          <w:ilvl w:val="0"/>
          <w:numId w:val="16"/>
        </w:numPr>
        <w:spacing w:after="80" w:line="300" w:lineRule="auto"/>
      </w:pPr>
      <w:r>
        <w:rPr>
          <w:rFonts w:ascii="Calibri" w:hAnsi="Calibri"/>
          <w:color w:val="222222"/>
        </w:rPr>
        <w:t>Increasing effective sample size by concatenating unrelated cohorts.</w:t>
      </w:r>
    </w:p>
    <w:p>
      <w:r>
        <w:rPr>
          <w:rFonts w:ascii="Calibri" w:hAnsi="Calibri"/>
          <w:color w:val="222222"/>
        </w:rPr>
        <w:t xml:space="preserve">The right output is sometimes a well-documented decision </w:t>
      </w:r>
      <w:r>
        <w:rPr>
          <w:rFonts w:ascii="Calibri" w:hAnsi="Calibri"/>
          <w:b/>
          <w:color w:val="222222"/>
        </w:rPr>
        <w:t>not</w:t>
      </w:r>
      <w:r>
        <w:rPr>
          <w:rFonts w:ascii="Calibri" w:hAnsi="Calibri"/>
          <w:color w:val="222222"/>
        </w:rPr>
        <w:t xml:space="preserve"> to combine a field or analyte. A flagged incompatibility is a successful harmonization result.</w:t>
      </w:r>
    </w:p>
    <w:p>
      <w:pPr>
        <w:pStyle w:val="Heading2"/>
      </w:pPr>
      <w:r>
        <w:rPr>
          <w:rFonts w:ascii="Calibri" w:hAnsi="Calibri"/>
          <w:color w:val="222222"/>
        </w:rPr>
        <w:t>3. The resources in this module</w:t>
      </w:r>
    </w:p>
    <w:p>
      <w:pPr>
        <w:pStyle w:val="Heading3"/>
      </w:pPr>
      <w:r>
        <w:rPr>
          <w:rFonts w:ascii="Calibri" w:hAnsi="Calibri"/>
          <w:color w:val="222222"/>
        </w:rPr>
        <w:t>Metabolomics Workbench and NMDR</w:t>
      </w:r>
    </w:p>
    <w:p>
      <w:r>
        <w:rPr>
          <w:rFonts w:ascii="Calibri" w:hAnsi="Calibri"/>
          <w:color w:val="222222"/>
        </w:rPr>
        <w:t>The Metabolomics Workbench hosts the National Metabolomics Data Repository (NMDR). Its REST service can return study summaries, factors, analyses, metabolite annotations, measurement tables, and mwTab records. Public studies are the hands-on substrate for this module. The paired accessions are configurable so the module can survive a study revision or replacement without rewriting every lesson.</w:t>
      </w:r>
    </w:p>
    <w:p>
      <w:r>
        <w:rPr>
          <w:rFonts w:ascii="Calibri" w:hAnsi="Calibri"/>
          <w:color w:val="222222"/>
        </w:rPr>
        <w:t>The mwTab representation organizes information into blocks. Depending on the record, these include study, subject, sample-factor, collection, sample-preparation, chromatography, mass-spectrometry or NMR, and metabolite-data content. The exact fields present vary across deposits. That variation is not an inconvenience to hide; it is evidence to inspect.</w:t>
      </w:r>
    </w:p>
    <w:p>
      <w:pPr>
        <w:pStyle w:val="Heading3"/>
      </w:pPr>
      <w:r>
        <w:rPr>
          <w:rFonts w:ascii="Calibri" w:hAnsi="Calibri"/>
          <w:color w:val="222222"/>
        </w:rPr>
        <w:t>RefMet</w:t>
      </w:r>
    </w:p>
    <w:p>
      <w:r>
        <w:rPr>
          <w:rFonts w:ascii="Calibri" w:hAnsi="Calibri"/>
          <w:color w:val="222222"/>
        </w:rPr>
        <w:t>RefMet provides an analytical-chemistry-centered reference nomenclature for metabolite structures and metabolite species. It is especially useful when deposited names differ in punctuation, synonym choice, or lipid notation. A RefMet match is evidence about nomenclature, not proof that two measurement features have identical analytical specificity. Lesson 3 develops this distinction.</w:t>
      </w:r>
    </w:p>
    <w:p>
      <w:pPr>
        <w:pStyle w:val="Heading3"/>
      </w:pPr>
      <w:r>
        <w:rPr>
          <w:rFonts w:ascii="Calibri" w:hAnsi="Calibri"/>
          <w:color w:val="222222"/>
        </w:rPr>
        <w:t>MoTrPAC and Nutrition for Precision Health</w:t>
      </w:r>
    </w:p>
    <w:p>
      <w:r>
        <w:rPr>
          <w:rFonts w:ascii="Calibri" w:hAnsi="Calibri"/>
          <w:color w:val="222222"/>
        </w:rPr>
        <w:t>The Molecular Transducers of Physical Activity Consortium (MoTrPAC) and Nutrition for Precision Health (NPH), powered by All of Us, appear as transfer cases rather than learner data dependencies. Their study designs show how exercise and diet phenotypes can be captured at consortium scale.</w:t>
      </w:r>
    </w:p>
    <w:p>
      <w:r>
        <w:rPr>
          <w:rFonts w:ascii="Calibri" w:hAnsi="Calibri"/>
          <w:color w:val="222222"/>
        </w:rPr>
        <w:t xml:space="preserve">Access status is a property of a </w:t>
      </w:r>
      <w:r>
        <w:rPr>
          <w:rFonts w:ascii="Calibri" w:hAnsi="Calibri"/>
          <w:b/>
          <w:color w:val="222222"/>
        </w:rPr>
        <w:t>specific dataset, release, and intended action</w:t>
      </w:r>
      <w:r>
        <w:rPr>
          <w:rFonts w:ascii="Calibri" w:hAnsi="Calibri"/>
          <w:color w:val="222222"/>
        </w:rPr>
        <w:t>, not a permanent label attached to an entire program. Current MoTrPAC documentation states that public releases can be accessed without an account, while restricted or embargoed data can require authentication and a data-use agreement. NPH documentation states that data are stored and analyzed in the All of Us Researcher Workbench, which is available to approved researchers. Requirements can change, so Lesson 5 teaches verification from current first-party documentation.</w:t>
      </w:r>
    </w:p>
    <w:p>
      <w:pPr>
        <w:pStyle w:val="Heading2"/>
      </w:pPr>
      <w:r>
        <w:rPr>
          <w:rFonts w:ascii="Calibri" w:hAnsi="Calibri"/>
          <w:color w:val="222222"/>
        </w:rPr>
        <w:t>4. Three access patterns</w:t>
      </w:r>
    </w:p>
    <w:p>
      <w:r>
        <w:rPr>
          <w:rFonts w:ascii="Calibri" w:hAnsi="Calibri"/>
          <w:color w:val="222222"/>
        </w:rPr>
        <w:t>Use the following patterns as planning aids, not legal categories:</w:t>
      </w:r>
    </w:p>
    <w:tbl>
      <w:tblPr>
        <w:tblStyle w:val="TableGrid"/>
        <w:tblW w:type="dxa" w:w="9360"/>
        <w:jc w:val="left"/>
        <w:tblLayout w:type="fixed"/>
        <w:tblLook w:firstColumn="1" w:firstRow="1" w:lastColumn="0" w:lastRow="0" w:noHBand="0" w:noVBand="1" w:val="04A0"/>
        <w:tblInd w:w="120" w:type="dxa"/>
      </w:tblPr>
      <w:tblGrid>
        <w:gridCol w:w="2740"/>
        <w:gridCol w:w="3309"/>
        <w:gridCol w:w="3311"/>
      </w:tblGrid>
      <w:tr>
        <w:trPr>
          <w:cantSplit w:val="true"/>
          <w:tblHeader w:val="true"/>
        </w:trPr>
        <w:tc>
          <w:tcPr>
            <w:tcW w:type="dxa" w:w="274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Pattern</w:t>
            </w:r>
          </w:p>
        </w:tc>
        <w:tc>
          <w:tcPr>
            <w:tcW w:type="dxa" w:w="3309"/>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Typical learner experience</w:t>
            </w:r>
          </w:p>
        </w:tc>
        <w:tc>
          <w:tcPr>
            <w:tcW w:type="dxa" w:w="331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Questions to verify</w:t>
            </w:r>
          </w:p>
        </w:tc>
      </w:tr>
      <w:tr>
        <w:trPr>
          <w:cantSplit w:val="true"/>
        </w:trPr>
        <w:tc>
          <w:tcPr>
            <w:tcW w:type="dxa" w:w="27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Open public retrieval</w:t>
            </w:r>
          </w:p>
        </w:tc>
        <w:tc>
          <w:tcPr>
            <w:tcW w:type="dxa" w:w="330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 public study can be viewed or retrieved without personal credentials.</w:t>
            </w:r>
          </w:p>
        </w:tc>
        <w:tc>
          <w:tcPr>
            <w:tcW w:type="dxa" w:w="331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Is this exact accession public? Is there an embargo? Are redistribution terms stated?</w:t>
            </w:r>
          </w:p>
        </w:tc>
      </w:tr>
      <w:tr>
        <w:trPr>
          <w:cantSplit w:val="true"/>
        </w:trPr>
        <w:tc>
          <w:tcPr>
            <w:tcW w:type="dxa" w:w="27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Account, agreement, or approval gated</w:t>
            </w:r>
          </w:p>
        </w:tc>
        <w:tc>
          <w:tcPr>
            <w:tcW w:type="dxa" w:w="330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Access requires identity, an account, acceptance of terms, a DUA, or review.</w:t>
            </w:r>
          </w:p>
        </w:tc>
        <w:tc>
          <w:tcPr>
            <w:tcW w:type="dxa" w:w="331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Who may apply? What uses and exports are allowed? How long might approval take?</w:t>
            </w:r>
          </w:p>
        </w:tc>
      </w:tr>
      <w:tr>
        <w:trPr>
          <w:cantSplit w:val="true"/>
        </w:trPr>
        <w:tc>
          <w:tcPr>
            <w:tcW w:type="dxa" w:w="27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Controlled compute</w:t>
            </w:r>
          </w:p>
        </w:tc>
        <w:tc>
          <w:tcPr>
            <w:tcW w:type="dxa" w:w="330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Participant-level data remain inside an approved environment; only permitted outputs leave it.</w:t>
            </w:r>
          </w:p>
        </w:tc>
        <w:tc>
          <w:tcPr>
            <w:tcW w:type="dxa" w:w="331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What tier is needed? What institutional and training requirements apply? What disclosure review or export rules govern outputs?</w:t>
            </w:r>
          </w:p>
        </w:tc>
      </w:tr>
    </w:tbl>
    <w:p>
      <w:pPr>
        <w:spacing w:before="0" w:after="40"/>
      </w:pPr>
    </w:p>
    <w:p>
      <w:r>
        <w:rPr>
          <w:rFonts w:ascii="Calibri" w:hAnsi="Calibri"/>
          <w:color w:val="222222"/>
        </w:rPr>
        <w:t>One resource may expose different datasets under different patterns. A public landing page does not prove that the desired data are public. Conversely, the existence of restricted data does not prove that all releases require registration.</w:t>
      </w:r>
    </w:p>
    <w:p>
      <w:pPr>
        <w:pStyle w:val="Heading3"/>
      </w:pPr>
      <w:r>
        <w:rPr>
          <w:rFonts w:ascii="Calibri" w:hAnsi="Calibri"/>
          <w:color w:val="222222"/>
        </w:rPr>
        <w:t>Accessible description of the access-pattern figure</w:t>
      </w:r>
    </w:p>
    <w:p>
      <w:r>
        <w:rPr>
          <w:rFonts w:ascii="Calibri" w:hAnsi="Calibri"/>
          <w:color w:val="222222"/>
        </w:rPr>
        <w:t>Picture three workspaces arranged from left to right. The first has an open door and a download arrow. The second has a sign-in badge and an agreement document. The third has data locked inside a cloud workspace, with only a reviewed summary moving outward. A study can move between workspaces as its release status changes, so a calendar and version label appear below all three.</w:t>
      </w:r>
    </w:p>
    <w:p>
      <w:pPr>
        <w:pStyle w:val="Heading2"/>
      </w:pPr>
      <w:r>
        <w:rPr>
          <w:rFonts w:ascii="Calibri" w:hAnsi="Calibri"/>
          <w:color w:val="222222"/>
        </w:rPr>
        <w:t>5. Worked example: a 90-second evidence triage</w:t>
      </w:r>
    </w:p>
    <w:p>
      <w:r>
        <w:rPr>
          <w:rFonts w:ascii="Calibri" w:hAnsi="Calibri"/>
          <w:color w:val="222222"/>
        </w:rPr>
        <w:t>This example demonstrates the reasoning process for the locked study pair while reserving detailed study claims for the dated records examined in Lesson 2.</w:t>
      </w:r>
    </w:p>
    <w:p>
      <w:r>
        <w:rPr>
          <w:rFonts w:ascii="Calibri" w:hAnsi="Calibri"/>
          <w:b/>
          <w:color w:val="222222"/>
        </w:rPr>
        <w:t>Claim to evaluate:</w:t>
      </w:r>
      <w:r>
        <w:rPr>
          <w:rFonts w:ascii="Calibri" w:hAnsi="Calibri"/>
          <w:color w:val="222222"/>
        </w:rPr>
        <w:t xml:space="preserve"> "The diet and exercise datasets are both on Metabolomics Workbench, so their metabolite values can be pooled."</w:t>
      </w:r>
    </w:p>
    <w:p>
      <w:pPr>
        <w:numPr>
          <w:ilvl w:val="0"/>
          <w:numId w:val="17"/>
        </w:numPr>
        <w:spacing w:after="80" w:line="300" w:lineRule="auto"/>
      </w:pPr>
      <w:r>
        <w:rPr>
          <w:rFonts w:ascii="Calibri" w:hAnsi="Calibri"/>
          <w:b/>
          <w:color w:val="222222"/>
        </w:rPr>
        <w:t>Repository check:</w:t>
      </w:r>
      <w:r>
        <w:rPr>
          <w:rFonts w:ascii="Calibri" w:hAnsi="Calibri"/>
          <w:color w:val="222222"/>
        </w:rPr>
        <w:t xml:space="preserve"> Both are intended to be public MW studies. This supports a common retrieval mechanism, not common measurement properties.</w:t>
      </w:r>
    </w:p>
    <w:p>
      <w:pPr>
        <w:numPr>
          <w:ilvl w:val="0"/>
          <w:numId w:val="17"/>
        </w:numPr>
        <w:spacing w:after="80" w:line="300" w:lineRule="auto"/>
      </w:pPr>
      <w:r>
        <w:rPr>
          <w:rFonts w:ascii="Calibri" w:hAnsi="Calibri"/>
          <w:b/>
          <w:color w:val="222222"/>
        </w:rPr>
        <w:t>Identifier check:</w:t>
      </w:r>
      <w:r>
        <w:rPr>
          <w:rFonts w:ascii="Calibri" w:hAnsi="Calibri"/>
          <w:color w:val="222222"/>
        </w:rPr>
        <w:t xml:space="preserve"> Submitted names may be mapped to RefMet. This supports a documented analyte-name bridge, subject to annotation resolution.</w:t>
      </w:r>
    </w:p>
    <w:p>
      <w:pPr>
        <w:numPr>
          <w:ilvl w:val="0"/>
          <w:numId w:val="17"/>
        </w:numPr>
        <w:spacing w:after="80" w:line="300" w:lineRule="auto"/>
      </w:pPr>
      <w:r>
        <w:rPr>
          <w:rFonts w:ascii="Calibri" w:hAnsi="Calibri"/>
          <w:b/>
          <w:color w:val="222222"/>
        </w:rPr>
        <w:t>Specimen check:</w:t>
      </w:r>
      <w:r>
        <w:rPr>
          <w:rFonts w:ascii="Calibri" w:hAnsi="Calibri"/>
          <w:color w:val="222222"/>
        </w:rPr>
        <w:t xml:space="preserve"> Compare the sample source and collection protocol. Plasma versus serum, or fasting versus fed, can alter interpretation.</w:t>
      </w:r>
    </w:p>
    <w:p>
      <w:pPr>
        <w:numPr>
          <w:ilvl w:val="0"/>
          <w:numId w:val="17"/>
        </w:numPr>
        <w:spacing w:after="80" w:line="300" w:lineRule="auto"/>
      </w:pPr>
      <w:r>
        <w:rPr>
          <w:rFonts w:ascii="Calibri" w:hAnsi="Calibri"/>
          <w:b/>
          <w:color w:val="222222"/>
        </w:rPr>
        <w:t>Timepoint check:</w:t>
      </w:r>
      <w:r>
        <w:rPr>
          <w:rFonts w:ascii="Calibri" w:hAnsi="Calibri"/>
          <w:color w:val="222222"/>
        </w:rPr>
        <w:t xml:space="preserve"> Define each timepoint physiologically. A shared word such as </w:t>
      </w:r>
      <w:r>
        <w:rPr>
          <w:rFonts w:ascii="Consolas" w:hAnsi="Consolas"/>
          <w:color w:val="1F4D78"/>
          <w:sz w:val="21"/>
          <w:shd w:fill="EEF1F4"/>
        </w:rPr>
        <w:t>baseline</w:t>
      </w:r>
      <w:r>
        <w:rPr>
          <w:rFonts w:ascii="Calibri" w:hAnsi="Calibri"/>
          <w:color w:val="222222"/>
        </w:rPr>
        <w:t xml:space="preserve"> is insufficient.</w:t>
      </w:r>
    </w:p>
    <w:p>
      <w:pPr>
        <w:numPr>
          <w:ilvl w:val="0"/>
          <w:numId w:val="17"/>
        </w:numPr>
        <w:spacing w:after="80" w:line="300" w:lineRule="auto"/>
      </w:pPr>
      <w:r>
        <w:rPr>
          <w:rFonts w:ascii="Calibri" w:hAnsi="Calibri"/>
          <w:b/>
          <w:color w:val="222222"/>
        </w:rPr>
        <w:t>Platform and scale check:</w:t>
      </w:r>
      <w:r>
        <w:rPr>
          <w:rFonts w:ascii="Calibri" w:hAnsi="Calibri"/>
          <w:color w:val="222222"/>
        </w:rPr>
        <w:t xml:space="preserve"> Determine targeted versus untargeted analysis, chromatography, ion mode, quantification type, units, normalization, and batch structure.</w:t>
      </w:r>
    </w:p>
    <w:p>
      <w:pPr>
        <w:numPr>
          <w:ilvl w:val="0"/>
          <w:numId w:val="17"/>
        </w:numPr>
        <w:spacing w:after="80" w:line="300" w:lineRule="auto"/>
      </w:pPr>
      <w:r>
        <w:rPr>
          <w:rFonts w:ascii="Calibri" w:hAnsi="Calibri"/>
          <w:b/>
          <w:color w:val="222222"/>
        </w:rPr>
        <w:t>Design check:</w:t>
      </w:r>
      <w:r>
        <w:rPr>
          <w:rFonts w:ascii="Calibri" w:hAnsi="Calibri"/>
          <w:color w:val="222222"/>
        </w:rPr>
        <w:t xml:space="preserve"> Ask whether study and phenotype are separable. With one diet study and one exercise study, study membership is confounded with phenotype anchor.</w:t>
      </w:r>
    </w:p>
    <w:p>
      <w:r>
        <w:rPr>
          <w:rFonts w:ascii="Calibri" w:hAnsi="Calibri"/>
          <w:b/>
          <w:color w:val="222222"/>
        </w:rPr>
        <w:t>Decision:</w:t>
      </w:r>
      <w:r>
        <w:rPr>
          <w:rFonts w:ascii="Calibri" w:hAnsi="Calibri"/>
          <w:color w:val="222222"/>
        </w:rPr>
        <w:t xml:space="preserve"> Reject automatic quantitative pooling. Proceed with metadata comparison, identifier crosswalking, overlap description, and within-study exploratory analysis. Consider cross-study quantitative modeling only if a later, explicit compatibility assessment and design justify it.</w:t>
      </w:r>
    </w:p>
    <w:p>
      <w:pPr>
        <w:pStyle w:val="Heading2"/>
      </w:pPr>
      <w:r>
        <w:rPr>
          <w:rFonts w:ascii="Calibri" w:hAnsi="Calibri"/>
          <w:color w:val="222222"/>
        </w:rPr>
        <w:t>6. Hands-on activity: open the evidence trail</w:t>
      </w:r>
    </w:p>
    <w:p>
      <w:r>
        <w:rPr>
          <w:rFonts w:ascii="Calibri" w:hAnsi="Calibri"/>
          <w:color w:val="222222"/>
        </w:rPr>
        <w:t>Open the learner cohort-comparison worksheet and complete the first four fields for both configured accessions.</w:t>
      </w:r>
    </w:p>
    <w:p>
      <w:pPr>
        <w:numPr>
          <w:ilvl w:val="0"/>
          <w:numId w:val="18"/>
        </w:numPr>
        <w:spacing w:after="80" w:line="300" w:lineRule="auto"/>
      </w:pPr>
      <w:r>
        <w:rPr>
          <w:rFonts w:ascii="Calibri" w:hAnsi="Calibri"/>
          <w:color w:val="222222"/>
        </w:rPr>
        <w:t xml:space="preserve">Record </w:t>
      </w:r>
      <w:r>
        <w:rPr>
          <w:rFonts w:ascii="Consolas" w:hAnsi="Consolas"/>
          <w:color w:val="1F4D78"/>
          <w:sz w:val="21"/>
          <w:shd w:fill="EEF1F4"/>
        </w:rPr>
        <w:t>DIET_ACCESSION = ST001521</w:t>
      </w:r>
      <w:r>
        <w:rPr>
          <w:rFonts w:ascii="Calibri" w:hAnsi="Calibri"/>
          <w:color w:val="222222"/>
        </w:rPr>
        <w:t xml:space="preserve"> and </w:t>
      </w:r>
      <w:r>
        <w:rPr>
          <w:rFonts w:ascii="Consolas" w:hAnsi="Consolas"/>
          <w:color w:val="1F4D78"/>
          <w:sz w:val="21"/>
          <w:shd w:fill="EEF1F4"/>
        </w:rPr>
        <w:t>EXERCISE_ACCESSION = ST003348</w:t>
      </w:r>
      <w:r>
        <w:rPr>
          <w:rFonts w:ascii="Calibri" w:hAnsi="Calibri"/>
          <w:color w:val="222222"/>
        </w:rPr>
        <w:t xml:space="preserve"> from the release manifest.</w:t>
      </w:r>
    </w:p>
    <w:p>
      <w:pPr>
        <w:numPr>
          <w:ilvl w:val="0"/>
          <w:numId w:val="18"/>
        </w:numPr>
        <w:spacing w:after="80" w:line="300" w:lineRule="auto"/>
      </w:pPr>
      <w:r>
        <w:rPr>
          <w:rFonts w:ascii="Calibri" w:hAnsi="Calibri"/>
          <w:color w:val="222222"/>
        </w:rPr>
        <w:t>For each accession, record the study landing-page URL and REST summary URL.</w:t>
      </w:r>
    </w:p>
    <w:p>
      <w:pPr>
        <w:numPr>
          <w:ilvl w:val="0"/>
          <w:numId w:val="18"/>
        </w:numPr>
        <w:spacing w:after="80" w:line="300" w:lineRule="auto"/>
      </w:pPr>
      <w:r>
        <w:rPr>
          <w:rFonts w:ascii="Calibri" w:hAnsi="Calibri"/>
          <w:color w:val="222222"/>
        </w:rPr>
        <w:t>Record the date and time you verified public availability.</w:t>
      </w:r>
    </w:p>
    <w:p>
      <w:pPr>
        <w:numPr>
          <w:ilvl w:val="0"/>
          <w:numId w:val="18"/>
        </w:numPr>
        <w:spacing w:after="80" w:line="300" w:lineRule="auto"/>
      </w:pPr>
      <w:r>
        <w:rPr>
          <w:rFonts w:ascii="Calibri" w:hAnsi="Calibri"/>
          <w:color w:val="222222"/>
        </w:rPr>
        <w:t xml:space="preserve">Label the access evidence as </w:t>
      </w:r>
      <w:r>
        <w:rPr>
          <w:rFonts w:ascii="Consolas" w:hAnsi="Consolas"/>
          <w:color w:val="1F4D78"/>
          <w:sz w:val="21"/>
          <w:shd w:fill="EEF1F4"/>
        </w:rPr>
        <w:t>verified</w:t>
      </w:r>
      <w:r>
        <w:rPr>
          <w:rFonts w:ascii="Calibri" w:hAnsi="Calibri"/>
          <w:color w:val="222222"/>
        </w:rPr>
        <w:t xml:space="preserve">, </w:t>
      </w:r>
      <w:r>
        <w:rPr>
          <w:rFonts w:ascii="Consolas" w:hAnsi="Consolas"/>
          <w:color w:val="1F4D78"/>
          <w:sz w:val="21"/>
          <w:shd w:fill="EEF1F4"/>
        </w:rPr>
        <w:t>not verified</w:t>
      </w:r>
      <w:r>
        <w:rPr>
          <w:rFonts w:ascii="Calibri" w:hAnsi="Calibri"/>
          <w:color w:val="222222"/>
        </w:rPr>
        <w:t xml:space="preserve">, or </w:t>
      </w:r>
      <w:r>
        <w:rPr>
          <w:rFonts w:ascii="Consolas" w:hAnsi="Consolas"/>
          <w:color w:val="1F4D78"/>
          <w:sz w:val="21"/>
          <w:shd w:fill="EEF1F4"/>
        </w:rPr>
        <w:t>conflicting</w:t>
      </w:r>
      <w:r>
        <w:rPr>
          <w:rFonts w:ascii="Calibri" w:hAnsi="Calibri"/>
          <w:color w:val="222222"/>
        </w:rPr>
        <w:t>.</w:t>
      </w:r>
    </w:p>
    <w:p>
      <w:pPr>
        <w:numPr>
          <w:ilvl w:val="0"/>
          <w:numId w:val="18"/>
        </w:numPr>
        <w:spacing w:after="80" w:line="300" w:lineRule="auto"/>
      </w:pPr>
      <w:r>
        <w:rPr>
          <w:rFonts w:ascii="Calibri" w:hAnsi="Calibri"/>
          <w:color w:val="222222"/>
        </w:rPr>
        <w:t>Write one sentence describing what public access does and does not imply about scientific comparability.</w:t>
      </w:r>
    </w:p>
    <w:p>
      <w:r>
        <w:rPr>
          <w:rFonts w:ascii="Calibri" w:hAnsi="Calibri"/>
          <w:b/>
          <w:color w:val="222222"/>
        </w:rPr>
        <w:t>Stop condition:</w:t>
      </w:r>
      <w:r>
        <w:rPr>
          <w:rFonts w:ascii="Calibri" w:hAnsi="Calibri"/>
          <w:color w:val="222222"/>
        </w:rPr>
        <w:t xml:space="preserve"> If either configured accession differs from the release manifest or its public release cannot be verified, do not substitute another study silently. Continue with the versioned cache if available, mark the source as cached, and report the discrepancy to the instructor.</w:t>
      </w:r>
    </w:p>
    <w:p>
      <w:pPr>
        <w:pStyle w:val="Heading2"/>
      </w:pPr>
      <w:r>
        <w:rPr>
          <w:rFonts w:ascii="Calibri" w:hAnsi="Calibri"/>
          <w:color w:val="222222"/>
        </w:rPr>
        <w:t>7. Interpretation guardrails</w:t>
      </w:r>
    </w:p>
    <w:p>
      <w:pPr>
        <w:numPr>
          <w:ilvl w:val="0"/>
          <w:numId w:val="19"/>
        </w:numPr>
        <w:spacing w:after="80" w:line="300" w:lineRule="auto"/>
      </w:pPr>
      <w:r>
        <w:rPr>
          <w:rFonts w:ascii="Calibri" w:hAnsi="Calibri"/>
          <w:color w:val="222222"/>
        </w:rPr>
        <w:t>Repository co-location supports common discovery and retrieval, not common measurement.</w:t>
      </w:r>
    </w:p>
    <w:p>
      <w:pPr>
        <w:numPr>
          <w:ilvl w:val="0"/>
          <w:numId w:val="19"/>
        </w:numPr>
        <w:spacing w:after="80" w:line="300" w:lineRule="auto"/>
      </w:pPr>
      <w:r>
        <w:rPr>
          <w:rFonts w:ascii="Calibri" w:hAnsi="Calibri"/>
          <w:color w:val="222222"/>
        </w:rPr>
        <w:t>A RefMet match supports a name-level bridge, not a common concentration or identification level.</w:t>
      </w:r>
    </w:p>
    <w:p>
      <w:pPr>
        <w:numPr>
          <w:ilvl w:val="0"/>
          <w:numId w:val="19"/>
        </w:numPr>
        <w:spacing w:after="80" w:line="300" w:lineRule="auto"/>
      </w:pPr>
      <w:r>
        <w:rPr>
          <w:rFonts w:ascii="Calibri" w:hAnsi="Calibri"/>
          <w:color w:val="222222"/>
        </w:rPr>
        <w:t>A broad specimen category must not erase plasma-versus-serum or other matrix differences.</w:t>
      </w:r>
    </w:p>
    <w:p>
      <w:pPr>
        <w:numPr>
          <w:ilvl w:val="0"/>
          <w:numId w:val="19"/>
        </w:numPr>
        <w:spacing w:after="80" w:line="300" w:lineRule="auto"/>
      </w:pPr>
      <w:r>
        <w:rPr>
          <w:rFonts w:ascii="Calibri" w:hAnsi="Calibri"/>
          <w:color w:val="222222"/>
        </w:rPr>
        <w:t xml:space="preserve">Physiological time must be defined before labels such as </w:t>
      </w:r>
      <w:r>
        <w:rPr>
          <w:rFonts w:ascii="Consolas" w:hAnsi="Consolas"/>
          <w:color w:val="1F4D78"/>
          <w:sz w:val="21"/>
          <w:shd w:fill="EEF1F4"/>
        </w:rPr>
        <w:t>baseline</w:t>
      </w:r>
      <w:r>
        <w:rPr>
          <w:rFonts w:ascii="Calibri" w:hAnsi="Calibri"/>
          <w:color w:val="222222"/>
        </w:rPr>
        <w:t xml:space="preserve"> or </w:t>
      </w:r>
      <w:r>
        <w:rPr>
          <w:rFonts w:ascii="Consolas" w:hAnsi="Consolas"/>
          <w:color w:val="1F4D78"/>
          <w:sz w:val="21"/>
          <w:shd w:fill="EEF1F4"/>
        </w:rPr>
        <w:t>post</w:t>
      </w:r>
      <w:r>
        <w:rPr>
          <w:rFonts w:ascii="Calibri" w:hAnsi="Calibri"/>
          <w:color w:val="222222"/>
        </w:rPr>
        <w:t xml:space="preserve"> are aligned.</w:t>
      </w:r>
    </w:p>
    <w:p>
      <w:pPr>
        <w:numPr>
          <w:ilvl w:val="0"/>
          <w:numId w:val="19"/>
        </w:numPr>
        <w:spacing w:after="80" w:line="300" w:lineRule="auto"/>
      </w:pPr>
      <w:r>
        <w:rPr>
          <w:rFonts w:ascii="Calibri" w:hAnsi="Calibri"/>
          <w:color w:val="222222"/>
        </w:rPr>
        <w:t>Public access does not establish scientific compatibility.</w:t>
      </w:r>
    </w:p>
    <w:p>
      <w:pPr>
        <w:numPr>
          <w:ilvl w:val="0"/>
          <w:numId w:val="19"/>
        </w:numPr>
        <w:spacing w:after="80" w:line="300" w:lineRule="auto"/>
      </w:pPr>
      <w:r>
        <w:rPr>
          <w:rFonts w:ascii="Calibri" w:hAnsi="Calibri"/>
          <w:color w:val="222222"/>
        </w:rPr>
        <w:t>Study-confounded separation must not be labeled a diet-versus-exercise effect.</w:t>
      </w:r>
    </w:p>
    <w:p>
      <w:pPr>
        <w:numPr>
          <w:ilvl w:val="0"/>
          <w:numId w:val="19"/>
        </w:numPr>
        <w:spacing w:after="80" w:line="300" w:lineRule="auto"/>
      </w:pPr>
      <w:r>
        <w:rPr>
          <w:rFonts w:ascii="Calibri" w:hAnsi="Calibri"/>
          <w:color w:val="222222"/>
        </w:rPr>
        <w:t>An unresolved or incompatible decision is a valid harmonization result.</w:t>
      </w:r>
    </w:p>
    <w:p>
      <w:pPr>
        <w:pStyle w:val="Heading2"/>
      </w:pPr>
      <w:r>
        <w:rPr>
          <w:rFonts w:ascii="Calibri" w:hAnsi="Calibri"/>
          <w:color w:val="222222"/>
        </w:rPr>
        <w:t>8. Knowledge check</w:t>
      </w:r>
    </w:p>
    <w:p>
      <w:r>
        <w:rPr>
          <w:rFonts w:ascii="Calibri" w:hAnsi="Calibri"/>
          <w:color w:val="222222"/>
        </w:rPr>
        <w:t xml:space="preserve">Answer before viewing the rationale in </w:t>
      </w:r>
      <w:r>
        <w:rPr>
          <w:rFonts w:ascii="Consolas" w:hAnsi="Consolas"/>
          <w:color w:val="1F4D78"/>
          <w:sz w:val="21"/>
          <w:shd w:fill="EEF1F4"/>
        </w:rPr>
        <w:t>module/assessments/knowledge_checks.json</w:t>
      </w:r>
      <w:r>
        <w:rPr>
          <w:rFonts w:ascii="Calibri" w:hAnsi="Calibri"/>
          <w:color w:val="222222"/>
        </w:rPr>
        <w:t>.</w:t>
      </w:r>
    </w:p>
    <w:p>
      <w:r>
        <w:rPr>
          <w:rFonts w:ascii="Calibri" w:hAnsi="Calibri"/>
          <w:b/>
          <w:color w:val="222222"/>
        </w:rPr>
        <w:t>KC1-01.</w:t>
      </w:r>
      <w:r>
        <w:rPr>
          <w:rFonts w:ascii="Calibri" w:hAnsi="Calibri"/>
          <w:color w:val="222222"/>
        </w:rPr>
        <w:t xml:space="preserve"> Two studies report a RefMet match for the same metabolite. Which conclusion is justified?</w:t>
      </w:r>
    </w:p>
    <w:p>
      <w:r>
        <w:rPr>
          <w:rFonts w:ascii="Calibri" w:hAnsi="Calibri"/>
          <w:color w:val="222222"/>
        </w:rPr>
        <w:t>A. Their quantitative values may be concatenated without further checks.</w:t>
      </w:r>
    </w:p>
    <w:p>
      <w:r>
        <w:rPr>
          <w:rFonts w:ascii="Calibri" w:hAnsi="Calibri"/>
          <w:color w:val="222222"/>
        </w:rPr>
        <w:t>B. Their submitted labels have a shared standardized-name candidate; analytical specificity and context still require review.</w:t>
      </w:r>
    </w:p>
    <w:p>
      <w:r>
        <w:rPr>
          <w:rFonts w:ascii="Calibri" w:hAnsi="Calibri"/>
          <w:color w:val="222222"/>
        </w:rPr>
        <w:t>C. The metabolite was confirmed by an authentic standard in both studies.</w:t>
      </w:r>
    </w:p>
    <w:p>
      <w:r>
        <w:rPr>
          <w:rFonts w:ascii="Calibri" w:hAnsi="Calibri"/>
          <w:color w:val="222222"/>
        </w:rPr>
        <w:t>D. Any between-study difference is biological.</w:t>
      </w:r>
    </w:p>
    <w:p>
      <w:r>
        <w:rPr>
          <w:rFonts w:ascii="Calibri" w:hAnsi="Calibri"/>
          <w:b/>
          <w:color w:val="222222"/>
        </w:rPr>
        <w:t>KC1-02.</w:t>
      </w:r>
      <w:r>
        <w:rPr>
          <w:rFonts w:ascii="Calibri" w:hAnsi="Calibri"/>
          <w:color w:val="222222"/>
        </w:rPr>
        <w:t xml:space="preserve"> Which evidence establishes the access pattern for a candidate dataset?</w:t>
      </w:r>
    </w:p>
    <w:p>
      <w:r>
        <w:rPr>
          <w:rFonts w:ascii="Calibri" w:hAnsi="Calibri"/>
          <w:color w:val="222222"/>
        </w:rPr>
        <w:t>A. The reputation of the research consortium.</w:t>
      </w:r>
    </w:p>
    <w:p>
      <w:r>
        <w:rPr>
          <w:rFonts w:ascii="Calibri" w:hAnsi="Calibri"/>
          <w:color w:val="222222"/>
        </w:rPr>
        <w:t>B. The access tier remembered from a prior release.</w:t>
      </w:r>
    </w:p>
    <w:p>
      <w:r>
        <w:rPr>
          <w:rFonts w:ascii="Calibri" w:hAnsi="Calibri"/>
          <w:color w:val="222222"/>
        </w:rPr>
        <w:t>C. Current first-party documentation and a dated check of the exact dataset and intended action.</w:t>
      </w:r>
    </w:p>
    <w:p>
      <w:r>
        <w:rPr>
          <w:rFonts w:ascii="Calibri" w:hAnsi="Calibri"/>
          <w:color w:val="222222"/>
        </w:rPr>
        <w:t>D. The fact that a publication cites the dataset.</w:t>
      </w:r>
    </w:p>
    <w:p>
      <w:r>
        <w:rPr>
          <w:rFonts w:ascii="Calibri" w:hAnsi="Calibri"/>
          <w:b/>
          <w:color w:val="222222"/>
        </w:rPr>
        <w:t>KC1-03.</w:t>
      </w:r>
      <w:r>
        <w:rPr>
          <w:rFonts w:ascii="Calibri" w:hAnsi="Calibri"/>
          <w:color w:val="222222"/>
        </w:rPr>
        <w:t xml:space="preserve"> When phenotype anchor and study are perfectly confounded, what is the safest interpretation of a PCA separation between studies?</w:t>
      </w:r>
    </w:p>
    <w:p>
      <w:r>
        <w:rPr>
          <w:rFonts w:ascii="Calibri" w:hAnsi="Calibri"/>
          <w:color w:val="222222"/>
        </w:rPr>
        <w:t>A. It proves diet and exercise have different metabolic effects.</w:t>
      </w:r>
    </w:p>
    <w:p>
      <w:r>
        <w:rPr>
          <w:rFonts w:ascii="Calibri" w:hAnsi="Calibri"/>
          <w:color w:val="222222"/>
        </w:rPr>
        <w:t>B. It proves the exercise cohort is more heterogeneous.</w:t>
      </w:r>
    </w:p>
    <w:p>
      <w:r>
        <w:rPr>
          <w:rFonts w:ascii="Calibri" w:hAnsi="Calibri"/>
          <w:color w:val="222222"/>
        </w:rPr>
        <w:t>C. It is exploratory separation that may reflect biological, technical, or design differences that cannot be uniquely attributed.</w:t>
      </w:r>
    </w:p>
    <w:p>
      <w:r>
        <w:rPr>
          <w:rFonts w:ascii="Calibri" w:hAnsi="Calibri"/>
          <w:color w:val="222222"/>
        </w:rPr>
        <w:t>D. It validates quantitative pooling.</w:t>
      </w:r>
    </w:p>
    <w:p>
      <w:pPr>
        <w:pStyle w:val="Heading2"/>
      </w:pPr>
      <w:r>
        <w:rPr>
          <w:rFonts w:ascii="Calibri" w:hAnsi="Calibri"/>
          <w:color w:val="222222"/>
        </w:rPr>
        <w:t>9. Reflection</w:t>
      </w:r>
    </w:p>
    <w:p>
      <w:r>
        <w:rPr>
          <w:rFonts w:ascii="Calibri" w:hAnsi="Calibri"/>
          <w:color w:val="222222"/>
        </w:rPr>
        <w:t>Complete this sentence in one or two lines:</w:t>
      </w:r>
    </w:p>
    <w:p>
      <w:pPr>
        <w:spacing w:before="100" w:after="120"/>
        <w:ind w:left="259" w:right="115"/>
        <w:shd w:fill="F4F6F9"/>
        <w:pBdr>
          <w:left w:val="single" w:sz="16" w:space="8" w:color="2E74B5"/>
        </w:pBdr>
      </w:pPr>
      <w:r>
        <w:rPr>
          <w:rFonts w:ascii="Calibri" w:hAnsi="Calibri"/>
          <w:color w:val="1F4D78"/>
        </w:rPr>
        <w:t>A cross-study comparison would be useful for my work if it helped me ________, but it would become misleading if I ________.</w:t>
      </w:r>
    </w:p>
    <w:p>
      <w:r>
        <w:rPr>
          <w:rFonts w:ascii="Calibri" w:hAnsi="Calibri"/>
          <w:color w:val="222222"/>
        </w:rPr>
        <w:t>Keep the response. You will revisit it after the analysis lesson.</w:t>
      </w:r>
    </w:p>
    <w:p>
      <w:pPr>
        <w:pStyle w:val="Heading2"/>
      </w:pPr>
      <w:r>
        <w:rPr>
          <w:rFonts w:ascii="Calibri" w:hAnsi="Calibri"/>
          <w:color w:val="222222"/>
        </w:rPr>
        <w:t>Take-home message</w:t>
      </w:r>
    </w:p>
    <w:p>
      <w:r>
        <w:rPr>
          <w:rFonts w:ascii="Calibri" w:hAnsi="Calibri"/>
          <w:color w:val="222222"/>
        </w:rPr>
        <w:t>Harmonization is disciplined preservation of meaning across representations. It helps you discover what is comparable, what is only partially comparable, and what should remain separate. The rest of this module turns that principle into an auditable workflow.</w:t>
      </w:r>
    </w:p>
    <w:p>
      <w:pPr>
        <w:pStyle w:val="Heading2"/>
      </w:pPr>
      <w:r>
        <w:rPr>
          <w:rFonts w:ascii="Calibri" w:hAnsi="Calibri"/>
          <w:color w:val="222222"/>
        </w:rPr>
        <w:t>Primary sources and first-party documentation</w:t>
      </w:r>
    </w:p>
    <w:p>
      <w:pPr>
        <w:numPr>
          <w:ilvl w:val="0"/>
          <w:numId w:val="20"/>
        </w:numPr>
        <w:spacing w:after="80" w:line="300" w:lineRule="auto"/>
      </w:pPr>
      <w:r>
        <w:rPr>
          <w:rFonts w:ascii="Calibri" w:hAnsi="Calibri"/>
          <w:color w:val="222222"/>
        </w:rPr>
        <w:t xml:space="preserve">Metabolomics Workbench. </w:t>
      </w:r>
      <w:hyperlink r:id="rId11">
        <w:r>
          <w:rPr>
            <w:rFonts w:ascii="Calibri" w:hAnsi="Calibri"/>
            <w:color w:val="2E74B5"/>
            <w:u w:val="single"/>
            <w:sz w:val="22"/>
          </w:rPr>
          <w:t>REST Service, version 1.2</w:t>
        </w:r>
      </w:hyperlink>
      <w:r>
        <w:rPr>
          <w:rFonts w:ascii="Calibri" w:hAnsi="Calibri"/>
          <w:color w:val="222222"/>
        </w:rPr>
        <w:t>. Updated July 22, 2025; accessed August 10, 2026.</w:t>
      </w:r>
    </w:p>
    <w:p>
      <w:pPr>
        <w:numPr>
          <w:ilvl w:val="0"/>
          <w:numId w:val="20"/>
        </w:numPr>
        <w:spacing w:after="80" w:line="300" w:lineRule="auto"/>
      </w:pPr>
      <w:r>
        <w:rPr>
          <w:rFonts w:ascii="Calibri" w:hAnsi="Calibri"/>
          <w:color w:val="222222"/>
        </w:rPr>
        <w:t xml:space="preserve">Metabolomics Workbench. </w:t>
      </w:r>
      <w:hyperlink r:id="rId12">
        <w:r>
          <w:rPr>
            <w:rFonts w:ascii="Calibri" w:hAnsi="Calibri"/>
            <w:color w:val="2E74B5"/>
            <w:u w:val="single"/>
            <w:sz w:val="22"/>
          </w:rPr>
          <w:t>mwTab file specification and repository tutorials</w:t>
        </w:r>
      </w:hyperlink>
      <w:r>
        <w:rPr>
          <w:rFonts w:ascii="Calibri" w:hAnsi="Calibri"/>
          <w:color w:val="222222"/>
        </w:rPr>
        <w:t>. Accessed August 10, 2026.</w:t>
      </w:r>
    </w:p>
    <w:p>
      <w:pPr>
        <w:numPr>
          <w:ilvl w:val="0"/>
          <w:numId w:val="20"/>
        </w:numPr>
        <w:spacing w:after="80" w:line="300" w:lineRule="auto"/>
      </w:pPr>
      <w:r>
        <w:rPr>
          <w:rFonts w:ascii="Calibri" w:hAnsi="Calibri"/>
          <w:color w:val="222222"/>
        </w:rPr>
        <w:t xml:space="preserve">Sud M, Fahy E, Cotter D, et al. </w:t>
      </w:r>
      <w:hyperlink r:id="rId13">
        <w:r>
          <w:rPr>
            <w:rFonts w:ascii="Calibri" w:hAnsi="Calibri"/>
            <w:color w:val="2E74B5"/>
            <w:u w:val="single"/>
            <w:sz w:val="22"/>
          </w:rPr>
          <w:t>Metabolomics Workbench: an international repository for metabolomics data and metadata, metabolite standards, protocols, tutorials and training, and analysis tools</w:t>
        </w:r>
      </w:hyperlink>
      <w:r>
        <w:rPr>
          <w:rFonts w:ascii="Calibri" w:hAnsi="Calibri"/>
          <w:color w:val="222222"/>
        </w:rPr>
        <w:t xml:space="preserve">. </w:t>
      </w:r>
      <w:r>
        <w:rPr>
          <w:rFonts w:ascii="Calibri" w:hAnsi="Calibri"/>
          <w:i/>
          <w:color w:val="222222"/>
        </w:rPr>
        <w:t>Nucleic Acids Research</w:t>
      </w:r>
      <w:r>
        <w:rPr>
          <w:rFonts w:ascii="Calibri" w:hAnsi="Calibri"/>
          <w:color w:val="222222"/>
        </w:rPr>
        <w:t>. 2016;44(D1):D463-D470.</w:t>
      </w:r>
    </w:p>
    <w:p>
      <w:pPr>
        <w:numPr>
          <w:ilvl w:val="0"/>
          <w:numId w:val="20"/>
        </w:numPr>
        <w:spacing w:after="80" w:line="300" w:lineRule="auto"/>
      </w:pPr>
      <w:r>
        <w:rPr>
          <w:rFonts w:ascii="Calibri" w:hAnsi="Calibri"/>
          <w:color w:val="222222"/>
        </w:rPr>
        <w:t xml:space="preserve">Fahy E, Subramaniam S. </w:t>
      </w:r>
      <w:hyperlink r:id="rId14">
        <w:r>
          <w:rPr>
            <w:rFonts w:ascii="Calibri" w:hAnsi="Calibri"/>
            <w:color w:val="2E74B5"/>
            <w:u w:val="single"/>
            <w:sz w:val="22"/>
          </w:rPr>
          <w:t>RefMet: a reference nomenclature for metabolomics</w:t>
        </w:r>
      </w:hyperlink>
      <w:r>
        <w:rPr>
          <w:rFonts w:ascii="Calibri" w:hAnsi="Calibri"/>
          <w:color w:val="222222"/>
        </w:rPr>
        <w:t xml:space="preserve">. </w:t>
      </w:r>
      <w:r>
        <w:rPr>
          <w:rFonts w:ascii="Calibri" w:hAnsi="Calibri"/>
          <w:i/>
          <w:color w:val="222222"/>
        </w:rPr>
        <w:t>Nature Methods</w:t>
      </w:r>
      <w:r>
        <w:rPr>
          <w:rFonts w:ascii="Calibri" w:hAnsi="Calibri"/>
          <w:color w:val="222222"/>
        </w:rPr>
        <w:t>. 2020;17:1173-1174.</w:t>
      </w:r>
    </w:p>
    <w:p>
      <w:pPr>
        <w:numPr>
          <w:ilvl w:val="0"/>
          <w:numId w:val="20"/>
        </w:numPr>
        <w:spacing w:after="80" w:line="300" w:lineRule="auto"/>
      </w:pPr>
      <w:r>
        <w:rPr>
          <w:rFonts w:ascii="Calibri" w:hAnsi="Calibri"/>
          <w:color w:val="222222"/>
        </w:rPr>
        <w:t xml:space="preserve">MoTrPAC. </w:t>
      </w:r>
      <w:hyperlink r:id="rId15">
        <w:r>
          <w:rPr>
            <w:rFonts w:ascii="Calibri" w:hAnsi="Calibri"/>
            <w:color w:val="2E74B5"/>
            <w:u w:val="single"/>
            <w:sz w:val="22"/>
          </w:rPr>
          <w:t>Data access FAQ</w:t>
        </w:r>
      </w:hyperlink>
      <w:r>
        <w:rPr>
          <w:rFonts w:ascii="Calibri" w:hAnsi="Calibri"/>
          <w:color w:val="222222"/>
        </w:rPr>
        <w:t xml:space="preserve"> and </w:t>
      </w:r>
      <w:hyperlink r:id="rId16">
        <w:r>
          <w:rPr>
            <w:rFonts w:ascii="Calibri" w:hAnsi="Calibri"/>
            <w:color w:val="2E74B5"/>
            <w:u w:val="single"/>
            <w:sz w:val="22"/>
          </w:rPr>
          <w:t>Data Hub documentation</w:t>
        </w:r>
      </w:hyperlink>
      <w:r>
        <w:rPr>
          <w:rFonts w:ascii="Calibri" w:hAnsi="Calibri"/>
          <w:color w:val="222222"/>
        </w:rPr>
        <w:t>. Accessed August 10, 2026.</w:t>
      </w:r>
    </w:p>
    <w:p>
      <w:pPr>
        <w:numPr>
          <w:ilvl w:val="0"/>
          <w:numId w:val="20"/>
        </w:numPr>
        <w:spacing w:after="80" w:line="300" w:lineRule="auto"/>
      </w:pPr>
      <w:r>
        <w:rPr>
          <w:rFonts w:ascii="Calibri" w:hAnsi="Calibri"/>
          <w:color w:val="222222"/>
        </w:rPr>
        <w:t xml:space="preserve">NIH Common Fund. </w:t>
      </w:r>
      <w:hyperlink r:id="rId17">
        <w:r>
          <w:rPr>
            <w:rFonts w:ascii="Calibri" w:hAnsi="Calibri"/>
            <w:color w:val="2E74B5"/>
            <w:u w:val="single"/>
            <w:sz w:val="22"/>
          </w:rPr>
          <w:t>Nutrition for Precision Health frequently asked questions</w:t>
        </w:r>
      </w:hyperlink>
      <w:r>
        <w:rPr>
          <w:rFonts w:ascii="Calibri" w:hAnsi="Calibri"/>
          <w:color w:val="222222"/>
        </w:rPr>
        <w:t>. Accessed August 10, 2026.</w:t>
      </w:r>
    </w:p>
    <w:p>
      <w:pPr>
        <w:numPr>
          <w:ilvl w:val="0"/>
          <w:numId w:val="20"/>
        </w:numPr>
        <w:spacing w:after="80" w:line="300" w:lineRule="auto"/>
      </w:pPr>
      <w:r>
        <w:rPr>
          <w:rFonts w:ascii="Calibri" w:hAnsi="Calibri"/>
          <w:color w:val="222222"/>
        </w:rPr>
        <w:t xml:space="preserve">Wilkinson MD, Dumontier M, Aalbersberg IJ, et al. </w:t>
      </w:r>
      <w:hyperlink r:id="rId18">
        <w:r>
          <w:rPr>
            <w:rFonts w:ascii="Calibri" w:hAnsi="Calibri"/>
            <w:color w:val="2E74B5"/>
            <w:u w:val="single"/>
            <w:sz w:val="22"/>
          </w:rPr>
          <w:t>The FAIR Guiding Principles for scientific data management and stewardship</w:t>
        </w:r>
      </w:hyperlink>
      <w:r>
        <w:rPr>
          <w:rFonts w:ascii="Calibri" w:hAnsi="Calibri"/>
          <w:color w:val="222222"/>
        </w:rPr>
        <w:t xml:space="preserve">. </w:t>
      </w:r>
      <w:r>
        <w:rPr>
          <w:rFonts w:ascii="Calibri" w:hAnsi="Calibri"/>
          <w:i/>
          <w:color w:val="222222"/>
        </w:rPr>
        <w:t>Scientific Data</w:t>
      </w:r>
      <w:r>
        <w:rPr>
          <w:rFonts w:ascii="Calibri" w:hAnsi="Calibri"/>
          <w:color w:val="222222"/>
        </w:rPr>
        <w:t>. 2016;3:160018.</w:t>
      </w:r>
    </w:p>
    <w:p>
      <w:r>
        <w:br w:type="page"/>
      </w:r>
    </w:p>
    <w:p>
      <w:pPr>
        <w:pStyle w:val="Heading1"/>
      </w:pPr>
      <w:r>
        <w:rPr>
          <w:rFonts w:ascii="Calibri" w:hAnsi="Calibri"/>
          <w:color w:val="222222"/>
        </w:rPr>
        <w:t>Lesson 2 - Comparing study design and phenotype capture</w:t>
      </w:r>
    </w:p>
    <w:p>
      <w:r>
        <w:rPr>
          <w:rFonts w:ascii="Calibri" w:hAnsi="Calibri"/>
          <w:b/>
          <w:color w:val="222222"/>
        </w:rPr>
        <w:t>Estimated time:</w:t>
      </w:r>
      <w:r>
        <w:rPr>
          <w:rFonts w:ascii="Calibri" w:hAnsi="Calibri"/>
          <w:color w:val="222222"/>
        </w:rPr>
        <w:t xml:space="preserve"> 30 minutes</w:t>
      </w:r>
    </w:p>
    <w:p>
      <w:r>
        <w:rPr>
          <w:rFonts w:ascii="Calibri" w:hAnsi="Calibri"/>
          <w:b/>
          <w:color w:val="222222"/>
        </w:rPr>
        <w:t>Bloom levels:</w:t>
      </w:r>
      <w:r>
        <w:rPr>
          <w:rFonts w:ascii="Calibri" w:hAnsi="Calibri"/>
          <w:color w:val="222222"/>
        </w:rPr>
        <w:t xml:space="preserve"> Understand, analyze</w:t>
      </w:r>
    </w:p>
    <w:p>
      <w:r>
        <w:rPr>
          <w:rFonts w:ascii="Calibri" w:hAnsi="Calibri"/>
          <w:b/>
          <w:color w:val="222222"/>
        </w:rPr>
        <w:t>Module objectives addressed:</w:t>
      </w:r>
      <w:r>
        <w:rPr>
          <w:rFonts w:ascii="Calibri" w:hAnsi="Calibri"/>
          <w:color w:val="222222"/>
        </w:rPr>
        <w:t xml:space="preserve"> LO1, LO2</w:t>
      </w:r>
    </w:p>
    <w:p>
      <w:pPr>
        <w:pStyle w:val="Heading2"/>
      </w:pPr>
      <w:r>
        <w:rPr>
          <w:rFonts w:ascii="Calibri" w:hAnsi="Calibri"/>
          <w:color w:val="222222"/>
        </w:rPr>
        <w:t>Learning objectives</w:t>
      </w:r>
    </w:p>
    <w:p>
      <w:r>
        <w:rPr>
          <w:rFonts w:ascii="Calibri" w:hAnsi="Calibri"/>
          <w:color w:val="222222"/>
        </w:rPr>
        <w:t>By the end of this lesson, you will be able to:</w:t>
      </w:r>
    </w:p>
    <w:p>
      <w:pPr>
        <w:numPr>
          <w:ilvl w:val="0"/>
          <w:numId w:val="21"/>
        </w:numPr>
        <w:spacing w:after="80" w:line="300" w:lineRule="auto"/>
      </w:pPr>
      <w:r>
        <w:rPr>
          <w:rFonts w:ascii="Calibri" w:hAnsi="Calibri"/>
          <w:color w:val="222222"/>
        </w:rPr>
        <w:t>Extract design, specimen, timepoint, phenotype, and provenance evidence from two Metabolomics Workbench records.</w:t>
      </w:r>
    </w:p>
    <w:p>
      <w:pPr>
        <w:numPr>
          <w:ilvl w:val="0"/>
          <w:numId w:val="21"/>
        </w:numPr>
        <w:spacing w:after="80" w:line="300" w:lineRule="auto"/>
      </w:pPr>
      <w:r>
        <w:rPr>
          <w:rFonts w:ascii="Calibri" w:hAnsi="Calibri"/>
          <w:color w:val="222222"/>
        </w:rPr>
        <w:t>Classify fields as directly comparable, partially comparable, or not comparable for a stated purpose.</w:t>
      </w:r>
    </w:p>
    <w:p>
      <w:pPr>
        <w:numPr>
          <w:ilvl w:val="0"/>
          <w:numId w:val="21"/>
        </w:numPr>
        <w:spacing w:after="80" w:line="300" w:lineRule="auto"/>
      </w:pPr>
      <w:r>
        <w:rPr>
          <w:rFonts w:ascii="Calibri" w:hAnsi="Calibri"/>
          <w:color w:val="222222"/>
        </w:rPr>
        <w:t>Explain how diet and exercise phenotypes acquire meaning from protocol details.</w:t>
      </w:r>
    </w:p>
    <w:p>
      <w:pPr>
        <w:numPr>
          <w:ilvl w:val="0"/>
          <w:numId w:val="21"/>
        </w:numPr>
        <w:spacing w:after="80" w:line="300" w:lineRule="auto"/>
      </w:pPr>
      <w:r>
        <w:rPr>
          <w:rFonts w:ascii="Calibri" w:hAnsi="Calibri"/>
          <w:color w:val="222222"/>
        </w:rPr>
        <w:t>Use MoTrPAC and NPH as design references without treating their data as module dependencies.</w:t>
      </w:r>
    </w:p>
    <w:p>
      <w:pPr>
        <w:pStyle w:val="Heading2"/>
      </w:pPr>
      <w:r>
        <w:rPr>
          <w:rFonts w:ascii="Calibri" w:hAnsi="Calibri"/>
          <w:color w:val="222222"/>
        </w:rPr>
        <w:t>Lesson map</w:t>
      </w:r>
    </w:p>
    <w:tbl>
      <w:tblPr>
        <w:tblStyle w:val="TableGrid"/>
        <w:tblW w:type="dxa" w:w="9360"/>
        <w:jc w:val="left"/>
        <w:tblLayout w:type="fixed"/>
        <w:tblLook w:firstColumn="1" w:firstRow="1" w:lastColumn="0" w:lastRow="0" w:noHBand="0" w:noVBand="1" w:val="04A0"/>
        <w:tblInd w:w="120" w:type="dxa"/>
      </w:tblPr>
      <w:tblGrid>
        <w:gridCol w:w="6408"/>
        <w:gridCol w:w="2952"/>
      </w:tblGrid>
      <w:tr>
        <w:trPr>
          <w:cantSplit w:val="true"/>
          <w:tblHeader w:val="true"/>
        </w:trPr>
        <w:tc>
          <w:tcPr>
            <w:tcW w:type="dxa" w:w="640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Activity</w:t>
            </w:r>
          </w:p>
        </w:tc>
        <w:tc>
          <w:tcPr>
            <w:tcW w:type="dxa" w:w="2952"/>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Minutes</w:t>
            </w:r>
          </w:p>
        </w:tc>
      </w:tr>
      <w:tr>
        <w:trPr>
          <w:cantSplit w:val="true"/>
        </w:trPr>
        <w:tc>
          <w:tcPr>
            <w:tcW w:type="dxa" w:w="640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From labels to estimands</w:t>
            </w:r>
          </w:p>
        </w:tc>
        <w:tc>
          <w:tcPr>
            <w:tcW w:type="dxa" w:w="2952"/>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6</w:t>
            </w:r>
          </w:p>
        </w:tc>
      </w:tr>
      <w:tr>
        <w:trPr>
          <w:cantSplit w:val="true"/>
        </w:trPr>
        <w:tc>
          <w:tcPr>
            <w:tcW w:type="dxa" w:w="640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Five-layer study comparison</w:t>
            </w:r>
          </w:p>
        </w:tc>
        <w:tc>
          <w:tcPr>
            <w:tcW w:type="dxa" w:w="2952"/>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8</w:t>
            </w:r>
          </w:p>
        </w:tc>
      </w:tr>
      <w:tr>
        <w:trPr>
          <w:cantSplit w:val="true"/>
        </w:trPr>
        <w:tc>
          <w:tcPr>
            <w:tcW w:type="dxa" w:w="640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Consortium design references</w:t>
            </w:r>
          </w:p>
        </w:tc>
        <w:tc>
          <w:tcPr>
            <w:tcW w:type="dxa" w:w="2952"/>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640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Cohort-comparison worksheet</w:t>
            </w:r>
          </w:p>
        </w:tc>
        <w:tc>
          <w:tcPr>
            <w:tcW w:type="dxa" w:w="2952"/>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9</w:t>
            </w:r>
          </w:p>
        </w:tc>
      </w:tr>
      <w:tr>
        <w:trPr>
          <w:cantSplit w:val="true"/>
        </w:trPr>
        <w:tc>
          <w:tcPr>
            <w:tcW w:type="dxa" w:w="640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Knowledge check</w:t>
            </w:r>
          </w:p>
        </w:tc>
        <w:tc>
          <w:tcPr>
            <w:tcW w:type="dxa" w:w="2952"/>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bl>
    <w:p>
      <w:pPr>
        <w:spacing w:before="0" w:after="40"/>
      </w:pPr>
    </w:p>
    <w:p>
      <w:pPr>
        <w:spacing w:before="100" w:after="120"/>
        <w:ind w:left="259" w:right="115"/>
        <w:shd w:fill="F4F6F9"/>
        <w:pBdr>
          <w:left w:val="single" w:sz="16" w:space="8" w:color="2E74B5"/>
        </w:pBdr>
      </w:pPr>
      <w:r>
        <w:rPr>
          <w:rFonts w:ascii="Calibri" w:hAnsi="Calibri"/>
          <w:b/>
          <w:color w:val="1F4D78"/>
        </w:rPr>
        <w:t>Notebook connection - `NB-L2`.</w:t>
      </w:r>
      <w:r>
        <w:rPr>
          <w:rFonts w:ascii="Calibri" w:hAnsi="Calibri"/>
          <w:color w:val="1F4D78"/>
        </w:rPr>
        <w:t xml:space="preserve"> After reading the comparison framework, open </w:t>
      </w:r>
      <w:r>
        <w:rPr>
          <w:rFonts w:ascii="Calibri" w:hAnsi="Calibri"/>
          <w:b/>
          <w:color w:val="1F4D78"/>
        </w:rPr>
        <w:t>Lesson 2 - Comparing study design and phenotype capture (`NB-L2`)</w:t>
      </w:r>
      <w:r>
        <w:rPr>
          <w:rFonts w:ascii="Calibri" w:hAnsi="Calibri"/>
          <w:color w:val="1F4D78"/>
        </w:rPr>
        <w:t xml:space="preserve"> in </w:t>
      </w:r>
      <w:r>
        <w:rPr>
          <w:rFonts w:ascii="Consolas" w:hAnsi="Consolas"/>
          <w:color w:val="1F4D78"/>
          <w:sz w:val="21"/>
          <w:shd w:fill="EEF1F4"/>
        </w:rPr>
        <w:t>module/notebooks/metabo_diet_harmonization.ipynb</w:t>
      </w:r>
      <w:r>
        <w:rPr>
          <w:rFonts w:ascii="Calibri" w:hAnsi="Calibri"/>
          <w:color w:val="1F4D78"/>
        </w:rPr>
        <w:t xml:space="preserve">. Run the ten-endpoint source audit, endpoint-size table, biological-sample table, and timepoint checks in order. Use the learner-edit cell to inspect each study separately, then transfer the evidence to the cohort-comparison worksheet before continuing to </w:t>
      </w:r>
      <w:r>
        <w:rPr>
          <w:rFonts w:ascii="Consolas" w:hAnsi="Consolas"/>
          <w:color w:val="1F4D78"/>
          <w:sz w:val="21"/>
          <w:shd w:fill="EEF1F4"/>
        </w:rPr>
        <w:t>NB-L3</w:t>
      </w:r>
      <w:r>
        <w:rPr>
          <w:rFonts w:ascii="Calibri" w:hAnsi="Calibri"/>
          <w:color w:val="1F4D78"/>
        </w:rPr>
        <w:t>.</w:t>
      </w:r>
    </w:p>
    <w:p>
      <w:pPr>
        <w:pStyle w:val="Heading2"/>
      </w:pPr>
      <w:r>
        <w:rPr>
          <w:rFonts w:ascii="Calibri" w:hAnsi="Calibri"/>
          <w:color w:val="222222"/>
        </w:rPr>
        <w:t>1. Begin with the question, not the column name</w:t>
      </w:r>
    </w:p>
    <w:p>
      <w:r>
        <w:rPr>
          <w:rFonts w:ascii="Calibri" w:hAnsi="Calibri"/>
          <w:color w:val="222222"/>
        </w:rPr>
        <w:t xml:space="preserve">A variable is comparable only relative to a purpose. Age in years may be sufficiently comparable for a descriptive cohort table but insufficient if one study reports exact age and another reports broad, top-coded categories. A </w:t>
      </w:r>
      <w:r>
        <w:rPr>
          <w:rFonts w:ascii="Consolas" w:hAnsi="Consolas"/>
          <w:color w:val="1F4D78"/>
          <w:sz w:val="21"/>
          <w:shd w:fill="EEF1F4"/>
        </w:rPr>
        <w:t>post</w:t>
      </w:r>
      <w:r>
        <w:rPr>
          <w:rFonts w:ascii="Calibri" w:hAnsi="Calibri"/>
          <w:color w:val="222222"/>
        </w:rPr>
        <w:t xml:space="preserve"> sample may be suitable for identifying that both studies collected after an intervention but unsuitable for modeling a common acute-response time.</w:t>
      </w:r>
    </w:p>
    <w:p>
      <w:r>
        <w:rPr>
          <w:rFonts w:ascii="Calibri" w:hAnsi="Calibri"/>
          <w:color w:val="222222"/>
        </w:rPr>
        <w:t xml:space="preserve">Before aligning columns, write the target question as an </w:t>
      </w:r>
      <w:r>
        <w:rPr>
          <w:rFonts w:ascii="Calibri" w:hAnsi="Calibri"/>
          <w:b/>
          <w:color w:val="222222"/>
        </w:rPr>
        <w:t>estimand sketch</w:t>
      </w:r>
      <w:r>
        <w:rPr>
          <w:rFonts w:ascii="Calibri" w:hAnsi="Calibri"/>
          <w:color w:val="222222"/>
        </w:rPr>
        <w:t>:</w:t>
      </w:r>
    </w:p>
    <w:p>
      <w:pPr>
        <w:numPr>
          <w:ilvl w:val="0"/>
          <w:numId w:val="22"/>
        </w:numPr>
        <w:spacing w:after="80" w:line="300" w:lineRule="auto"/>
      </w:pPr>
      <w:r>
        <w:rPr>
          <w:rFonts w:ascii="Calibri" w:hAnsi="Calibri"/>
          <w:b/>
          <w:color w:val="222222"/>
        </w:rPr>
        <w:t>Population:</w:t>
      </w:r>
      <w:r>
        <w:rPr>
          <w:rFonts w:ascii="Calibri" w:hAnsi="Calibri"/>
          <w:color w:val="222222"/>
        </w:rPr>
        <w:t xml:space="preserve"> Who is represented?</w:t>
      </w:r>
    </w:p>
    <w:p>
      <w:pPr>
        <w:numPr>
          <w:ilvl w:val="0"/>
          <w:numId w:val="22"/>
        </w:numPr>
        <w:spacing w:after="80" w:line="300" w:lineRule="auto"/>
      </w:pPr>
      <w:r>
        <w:rPr>
          <w:rFonts w:ascii="Calibri" w:hAnsi="Calibri"/>
          <w:b/>
          <w:color w:val="222222"/>
        </w:rPr>
        <w:t>Exposure or intervention:</w:t>
      </w:r>
      <w:r>
        <w:rPr>
          <w:rFonts w:ascii="Calibri" w:hAnsi="Calibri"/>
          <w:color w:val="222222"/>
        </w:rPr>
        <w:t xml:space="preserve"> What contrast is of interest?</w:t>
      </w:r>
    </w:p>
    <w:p>
      <w:pPr>
        <w:numPr>
          <w:ilvl w:val="0"/>
          <w:numId w:val="22"/>
        </w:numPr>
        <w:spacing w:after="80" w:line="300" w:lineRule="auto"/>
      </w:pPr>
      <w:r>
        <w:rPr>
          <w:rFonts w:ascii="Calibri" w:hAnsi="Calibri"/>
          <w:b/>
          <w:color w:val="222222"/>
        </w:rPr>
        <w:t>Outcome:</w:t>
      </w:r>
      <w:r>
        <w:rPr>
          <w:rFonts w:ascii="Calibri" w:hAnsi="Calibri"/>
          <w:color w:val="222222"/>
        </w:rPr>
        <w:t xml:space="preserve"> Which metabolite measure or derived quantity is being interpreted?</w:t>
      </w:r>
    </w:p>
    <w:p>
      <w:pPr>
        <w:numPr>
          <w:ilvl w:val="0"/>
          <w:numId w:val="22"/>
        </w:numPr>
        <w:spacing w:after="80" w:line="300" w:lineRule="auto"/>
      </w:pPr>
      <w:r>
        <w:rPr>
          <w:rFonts w:ascii="Calibri" w:hAnsi="Calibri"/>
          <w:b/>
          <w:color w:val="222222"/>
        </w:rPr>
        <w:t>Time:</w:t>
      </w:r>
      <w:r>
        <w:rPr>
          <w:rFonts w:ascii="Calibri" w:hAnsi="Calibri"/>
          <w:color w:val="222222"/>
        </w:rPr>
        <w:t xml:space="preserve"> At what biological interval is the outcome defined?</w:t>
      </w:r>
    </w:p>
    <w:p>
      <w:pPr>
        <w:numPr>
          <w:ilvl w:val="0"/>
          <w:numId w:val="22"/>
        </w:numPr>
        <w:spacing w:after="80" w:line="300" w:lineRule="auto"/>
      </w:pPr>
      <w:r>
        <w:rPr>
          <w:rFonts w:ascii="Calibri" w:hAnsi="Calibri"/>
          <w:b/>
          <w:color w:val="222222"/>
        </w:rPr>
        <w:t>Summary:</w:t>
      </w:r>
      <w:r>
        <w:rPr>
          <w:rFonts w:ascii="Calibri" w:hAnsi="Calibri"/>
          <w:color w:val="222222"/>
        </w:rPr>
        <w:t xml:space="preserve"> Is the target a within-person change, a group mean, a rank, an overlap count, or something else?</w:t>
      </w:r>
    </w:p>
    <w:p>
      <w:r>
        <w:rPr>
          <w:rFonts w:ascii="Calibri" w:hAnsi="Calibri"/>
          <w:color w:val="222222"/>
        </w:rPr>
        <w:t>For this module, the safe default target is descriptive:</w:t>
      </w:r>
    </w:p>
    <w:p>
      <w:pPr>
        <w:spacing w:before="100" w:after="120"/>
        <w:ind w:left="259" w:right="115"/>
        <w:shd w:fill="F4F6F9"/>
        <w:pBdr>
          <w:left w:val="single" w:sz="16" w:space="8" w:color="2E74B5"/>
        </w:pBdr>
      </w:pPr>
      <w:r>
        <w:rPr>
          <w:rFonts w:ascii="Calibri" w:hAnsi="Calibri"/>
          <w:color w:val="1F4D78"/>
        </w:rPr>
        <w:t>Describe which metabolite identities and broad chemical classes are represented in both studies, while preserving differences in population, specimen, timepoint, platform, and measurement scale.</w:t>
      </w:r>
    </w:p>
    <w:p>
      <w:r>
        <w:rPr>
          <w:rFonts w:ascii="Calibri" w:hAnsi="Calibri"/>
          <w:color w:val="222222"/>
        </w:rPr>
        <w:t>That target supports crosswalking and overlap summaries. It does not require the two cohorts to estimate the same intervention effect.</w:t>
      </w:r>
    </w:p>
    <w:p>
      <w:pPr>
        <w:pStyle w:val="Heading2"/>
      </w:pPr>
      <w:r>
        <w:rPr>
          <w:rFonts w:ascii="Calibri" w:hAnsi="Calibri"/>
          <w:color w:val="222222"/>
        </w:rPr>
        <w:t>2. The five-layer comparison</w:t>
      </w:r>
    </w:p>
    <w:p>
      <w:r>
        <w:rPr>
          <w:rFonts w:ascii="Calibri" w:hAnsi="Calibri"/>
          <w:color w:val="222222"/>
        </w:rPr>
        <w:t>Use the cohort-comparison worksheet to collect evidence at five layers. For every entry, capture the source location and avoid filling a blank by inference.</w:t>
      </w:r>
    </w:p>
    <w:p>
      <w:pPr>
        <w:pStyle w:val="Heading3"/>
      </w:pPr>
      <w:r>
        <w:rPr>
          <w:rFonts w:ascii="Calibri" w:hAnsi="Calibri"/>
          <w:color w:val="222222"/>
        </w:rPr>
        <w:t>Layer A - Study design and population</w:t>
      </w:r>
    </w:p>
    <w:p>
      <w:r>
        <w:rPr>
          <w:rFonts w:ascii="Calibri" w:hAnsi="Calibri"/>
          <w:color w:val="222222"/>
        </w:rPr>
        <w:t>Record:</w:t>
      </w:r>
    </w:p>
    <w:p>
      <w:pPr>
        <w:numPr>
          <w:ilvl w:val="0"/>
          <w:numId w:val="23"/>
        </w:numPr>
        <w:spacing w:after="80" w:line="300" w:lineRule="auto"/>
      </w:pPr>
      <w:r>
        <w:rPr>
          <w:rFonts w:ascii="Calibri" w:hAnsi="Calibri"/>
          <w:color w:val="222222"/>
        </w:rPr>
        <w:t>Observational versus interventional design.</w:t>
      </w:r>
    </w:p>
    <w:p>
      <w:pPr>
        <w:numPr>
          <w:ilvl w:val="0"/>
          <w:numId w:val="23"/>
        </w:numPr>
        <w:spacing w:after="80" w:line="300" w:lineRule="auto"/>
      </w:pPr>
      <w:r>
        <w:rPr>
          <w:rFonts w:ascii="Calibri" w:hAnsi="Calibri"/>
          <w:color w:val="222222"/>
        </w:rPr>
        <w:t>Parallel, crossover, repeated-measures, or other structure.</w:t>
      </w:r>
    </w:p>
    <w:p>
      <w:pPr>
        <w:numPr>
          <w:ilvl w:val="0"/>
          <w:numId w:val="23"/>
        </w:numPr>
        <w:spacing w:after="80" w:line="300" w:lineRule="auto"/>
      </w:pPr>
      <w:r>
        <w:rPr>
          <w:rFonts w:ascii="Calibri" w:hAnsi="Calibri"/>
          <w:color w:val="222222"/>
        </w:rPr>
        <w:t>Recruitment setting and inclusion or exclusion criteria.</w:t>
      </w:r>
    </w:p>
    <w:p>
      <w:pPr>
        <w:numPr>
          <w:ilvl w:val="0"/>
          <w:numId w:val="23"/>
        </w:numPr>
        <w:spacing w:after="80" w:line="300" w:lineRule="auto"/>
      </w:pPr>
      <w:r>
        <w:rPr>
          <w:rFonts w:ascii="Calibri" w:hAnsi="Calibri"/>
          <w:color w:val="222222"/>
        </w:rPr>
        <w:t>Unit of assignment and unit of analysis.</w:t>
      </w:r>
    </w:p>
    <w:p>
      <w:pPr>
        <w:numPr>
          <w:ilvl w:val="0"/>
          <w:numId w:val="23"/>
        </w:numPr>
        <w:spacing w:after="80" w:line="300" w:lineRule="auto"/>
      </w:pPr>
      <w:r>
        <w:rPr>
          <w:rFonts w:ascii="Calibri" w:hAnsi="Calibri"/>
          <w:color w:val="222222"/>
        </w:rPr>
        <w:t>Number of participants and samples, keeping those counts distinct.</w:t>
      </w:r>
    </w:p>
    <w:p>
      <w:pPr>
        <w:numPr>
          <w:ilvl w:val="0"/>
          <w:numId w:val="23"/>
        </w:numPr>
        <w:spacing w:after="80" w:line="300" w:lineRule="auto"/>
      </w:pPr>
      <w:r>
        <w:rPr>
          <w:rFonts w:ascii="Calibri" w:hAnsi="Calibri"/>
          <w:color w:val="222222"/>
        </w:rPr>
        <w:t>Randomization, masking, washout, run-in, or familiarization when applicable.</w:t>
      </w:r>
    </w:p>
    <w:p>
      <w:pPr>
        <w:numPr>
          <w:ilvl w:val="0"/>
          <w:numId w:val="23"/>
        </w:numPr>
        <w:spacing w:after="80" w:line="300" w:lineRule="auto"/>
      </w:pPr>
      <w:r>
        <w:rPr>
          <w:rFonts w:ascii="Calibri" w:hAnsi="Calibri"/>
          <w:color w:val="222222"/>
        </w:rPr>
        <w:t>Attrition and missing visits if reported.</w:t>
      </w:r>
    </w:p>
    <w:p>
      <w:r>
        <w:rPr>
          <w:rFonts w:ascii="Calibri" w:hAnsi="Calibri"/>
          <w:color w:val="222222"/>
        </w:rPr>
        <w:t>The number of samples is not the number of independent participants. Repeated samples from one participant are correlated. If participant identifiers are absent or cannot be linked reliably, within-person analyses may be impossible even when multiple timepoints exist.</w:t>
      </w:r>
    </w:p>
    <w:p>
      <w:pPr>
        <w:pStyle w:val="Heading3"/>
      </w:pPr>
      <w:r>
        <w:rPr>
          <w:rFonts w:ascii="Calibri" w:hAnsi="Calibri"/>
          <w:color w:val="222222"/>
        </w:rPr>
        <w:t>Layer B - Phenotype anchor</w:t>
      </w:r>
    </w:p>
    <w:p>
      <w:r>
        <w:rPr>
          <w:rFonts w:ascii="Calibri" w:hAnsi="Calibri"/>
          <w:color w:val="222222"/>
        </w:rPr>
        <w:t>For a diet-anchored study, inspect:</w:t>
      </w:r>
    </w:p>
    <w:p>
      <w:pPr>
        <w:numPr>
          <w:ilvl w:val="0"/>
          <w:numId w:val="24"/>
        </w:numPr>
        <w:spacing w:after="80" w:line="300" w:lineRule="auto"/>
      </w:pPr>
      <w:r>
        <w:rPr>
          <w:rFonts w:ascii="Calibri" w:hAnsi="Calibri"/>
          <w:color w:val="222222"/>
        </w:rPr>
        <w:t>Food or dietary pattern definition.</w:t>
      </w:r>
    </w:p>
    <w:p>
      <w:pPr>
        <w:numPr>
          <w:ilvl w:val="0"/>
          <w:numId w:val="24"/>
        </w:numPr>
        <w:spacing w:after="80" w:line="300" w:lineRule="auto"/>
      </w:pPr>
      <w:r>
        <w:rPr>
          <w:rFonts w:ascii="Calibri" w:hAnsi="Calibri"/>
          <w:color w:val="222222"/>
        </w:rPr>
        <w:t>Controlled feeding versus advice or free-living exposure.</w:t>
      </w:r>
    </w:p>
    <w:p>
      <w:pPr>
        <w:numPr>
          <w:ilvl w:val="0"/>
          <w:numId w:val="24"/>
        </w:numPr>
        <w:spacing w:after="80" w:line="300" w:lineRule="auto"/>
      </w:pPr>
      <w:r>
        <w:rPr>
          <w:rFonts w:ascii="Calibri" w:hAnsi="Calibri"/>
          <w:color w:val="222222"/>
        </w:rPr>
        <w:t>Energy balance, meal timing, compliance measures, and washout.</w:t>
      </w:r>
    </w:p>
    <w:p>
      <w:pPr>
        <w:numPr>
          <w:ilvl w:val="0"/>
          <w:numId w:val="24"/>
        </w:numPr>
        <w:spacing w:after="80" w:line="300" w:lineRule="auto"/>
      </w:pPr>
      <w:r>
        <w:rPr>
          <w:rFonts w:ascii="Calibri" w:hAnsi="Calibri"/>
          <w:color w:val="222222"/>
        </w:rPr>
        <w:t>Fasting state and any test-meal challenge.</w:t>
      </w:r>
    </w:p>
    <w:p>
      <w:pPr>
        <w:numPr>
          <w:ilvl w:val="0"/>
          <w:numId w:val="24"/>
        </w:numPr>
        <w:spacing w:after="80" w:line="300" w:lineRule="auto"/>
      </w:pPr>
      <w:r>
        <w:rPr>
          <w:rFonts w:ascii="Calibri" w:hAnsi="Calibri"/>
          <w:color w:val="222222"/>
        </w:rPr>
        <w:t>Dietary assessment method and its reference period.</w:t>
      </w:r>
    </w:p>
    <w:p>
      <w:r>
        <w:rPr>
          <w:rFonts w:ascii="Calibri" w:hAnsi="Calibri"/>
          <w:color w:val="222222"/>
        </w:rPr>
        <w:t>For an exercise-anchored study, inspect:</w:t>
      </w:r>
    </w:p>
    <w:p>
      <w:pPr>
        <w:numPr>
          <w:ilvl w:val="0"/>
          <w:numId w:val="25"/>
        </w:numPr>
        <w:spacing w:after="80" w:line="300" w:lineRule="auto"/>
      </w:pPr>
      <w:r>
        <w:rPr>
          <w:rFonts w:ascii="Calibri" w:hAnsi="Calibri"/>
          <w:color w:val="222222"/>
        </w:rPr>
        <w:t>Modality, intensity, duration, dose, and supervision.</w:t>
      </w:r>
    </w:p>
    <w:p>
      <w:pPr>
        <w:numPr>
          <w:ilvl w:val="0"/>
          <w:numId w:val="25"/>
        </w:numPr>
        <w:spacing w:after="80" w:line="300" w:lineRule="auto"/>
      </w:pPr>
      <w:r>
        <w:rPr>
          <w:rFonts w:ascii="Calibri" w:hAnsi="Calibri"/>
          <w:color w:val="222222"/>
        </w:rPr>
        <w:t>Acute bout versus chronic training.</w:t>
      </w:r>
    </w:p>
    <w:p>
      <w:pPr>
        <w:numPr>
          <w:ilvl w:val="0"/>
          <w:numId w:val="25"/>
        </w:numPr>
        <w:spacing w:after="80" w:line="300" w:lineRule="auto"/>
      </w:pPr>
      <w:r>
        <w:rPr>
          <w:rFonts w:ascii="Calibri" w:hAnsi="Calibri"/>
          <w:color w:val="222222"/>
        </w:rPr>
        <w:t>Fitness or performance measures.</w:t>
      </w:r>
    </w:p>
    <w:p>
      <w:pPr>
        <w:numPr>
          <w:ilvl w:val="0"/>
          <w:numId w:val="25"/>
        </w:numPr>
        <w:spacing w:after="80" w:line="300" w:lineRule="auto"/>
      </w:pPr>
      <w:r>
        <w:rPr>
          <w:rFonts w:ascii="Calibri" w:hAnsi="Calibri"/>
          <w:color w:val="222222"/>
        </w:rPr>
        <w:t>Pre-exercise standardization, recent activity restrictions, and feeding state.</w:t>
      </w:r>
    </w:p>
    <w:p>
      <w:pPr>
        <w:numPr>
          <w:ilvl w:val="0"/>
          <w:numId w:val="25"/>
        </w:numPr>
        <w:spacing w:after="80" w:line="300" w:lineRule="auto"/>
      </w:pPr>
      <w:r>
        <w:rPr>
          <w:rFonts w:ascii="Calibri" w:hAnsi="Calibri"/>
          <w:color w:val="222222"/>
        </w:rPr>
        <w:t>Recovery intervals and workload scaling.</w:t>
      </w:r>
    </w:p>
    <w:p>
      <w:r>
        <w:rPr>
          <w:rFonts w:ascii="Calibri" w:hAnsi="Calibri"/>
          <w:color w:val="222222"/>
        </w:rPr>
        <w:t xml:space="preserve">The words </w:t>
      </w:r>
      <w:r>
        <w:rPr>
          <w:rFonts w:ascii="Consolas" w:hAnsi="Consolas"/>
          <w:color w:val="1F4D78"/>
          <w:sz w:val="21"/>
          <w:shd w:fill="EEF1F4"/>
        </w:rPr>
        <w:t>diet</w:t>
      </w:r>
      <w:r>
        <w:rPr>
          <w:rFonts w:ascii="Calibri" w:hAnsi="Calibri"/>
          <w:color w:val="222222"/>
        </w:rPr>
        <w:t xml:space="preserve"> and </w:t>
      </w:r>
      <w:r>
        <w:rPr>
          <w:rFonts w:ascii="Consolas" w:hAnsi="Consolas"/>
          <w:color w:val="1F4D78"/>
          <w:sz w:val="21"/>
          <w:shd w:fill="EEF1F4"/>
        </w:rPr>
        <w:t>exercise</w:t>
      </w:r>
      <w:r>
        <w:rPr>
          <w:rFonts w:ascii="Calibri" w:hAnsi="Calibri"/>
          <w:color w:val="222222"/>
        </w:rPr>
        <w:t xml:space="preserve"> are topic labels, not exposure definitions. The worksheet should contain protocol-level details sufficient for another analyst to understand the contrast.</w:t>
      </w:r>
    </w:p>
    <w:p>
      <w:pPr>
        <w:pStyle w:val="Heading3"/>
      </w:pPr>
      <w:r>
        <w:rPr>
          <w:rFonts w:ascii="Calibri" w:hAnsi="Calibri"/>
          <w:color w:val="222222"/>
        </w:rPr>
        <w:t>Layer C - Specimen and pre-analytical context</w:t>
      </w:r>
    </w:p>
    <w:p>
      <w:r>
        <w:rPr>
          <w:rFonts w:ascii="Calibri" w:hAnsi="Calibri"/>
          <w:color w:val="222222"/>
        </w:rPr>
        <w:t>Record:</w:t>
      </w:r>
    </w:p>
    <w:p>
      <w:pPr>
        <w:numPr>
          <w:ilvl w:val="0"/>
          <w:numId w:val="26"/>
        </w:numPr>
        <w:spacing w:after="80" w:line="300" w:lineRule="auto"/>
      </w:pPr>
      <w:r>
        <w:rPr>
          <w:rFonts w:ascii="Calibri" w:hAnsi="Calibri"/>
          <w:color w:val="222222"/>
        </w:rPr>
        <w:t>Biospecimen, matrix, and anatomical source.</w:t>
      </w:r>
    </w:p>
    <w:p>
      <w:pPr>
        <w:numPr>
          <w:ilvl w:val="0"/>
          <w:numId w:val="26"/>
        </w:numPr>
        <w:spacing w:after="80" w:line="300" w:lineRule="auto"/>
      </w:pPr>
      <w:r>
        <w:rPr>
          <w:rFonts w:ascii="Calibri" w:hAnsi="Calibri"/>
          <w:color w:val="222222"/>
        </w:rPr>
        <w:t>Collection tube or anticoagulant when relevant.</w:t>
      </w:r>
    </w:p>
    <w:p>
      <w:pPr>
        <w:numPr>
          <w:ilvl w:val="0"/>
          <w:numId w:val="26"/>
        </w:numPr>
        <w:spacing w:after="80" w:line="300" w:lineRule="auto"/>
      </w:pPr>
      <w:r>
        <w:rPr>
          <w:rFonts w:ascii="Calibri" w:hAnsi="Calibri"/>
          <w:color w:val="222222"/>
        </w:rPr>
        <w:t>Fasting or fed status.</w:t>
      </w:r>
    </w:p>
    <w:p>
      <w:pPr>
        <w:numPr>
          <w:ilvl w:val="0"/>
          <w:numId w:val="26"/>
        </w:numPr>
        <w:spacing w:after="80" w:line="300" w:lineRule="auto"/>
      </w:pPr>
      <w:r>
        <w:rPr>
          <w:rFonts w:ascii="Calibri" w:hAnsi="Calibri"/>
          <w:color w:val="222222"/>
        </w:rPr>
        <w:t>Collection clock time if available.</w:t>
      </w:r>
    </w:p>
    <w:p>
      <w:pPr>
        <w:numPr>
          <w:ilvl w:val="0"/>
          <w:numId w:val="26"/>
        </w:numPr>
        <w:spacing w:after="80" w:line="300" w:lineRule="auto"/>
      </w:pPr>
      <w:r>
        <w:rPr>
          <w:rFonts w:ascii="Calibri" w:hAnsi="Calibri"/>
          <w:color w:val="222222"/>
        </w:rPr>
        <w:t>Processing delay, centrifugation, aliquoting, and storage temperature.</w:t>
      </w:r>
    </w:p>
    <w:p>
      <w:pPr>
        <w:numPr>
          <w:ilvl w:val="0"/>
          <w:numId w:val="26"/>
        </w:numPr>
        <w:spacing w:after="80" w:line="300" w:lineRule="auto"/>
      </w:pPr>
      <w:r>
        <w:rPr>
          <w:rFonts w:ascii="Calibri" w:hAnsi="Calibri"/>
          <w:color w:val="222222"/>
        </w:rPr>
        <w:t>Freeze-thaw information if available.</w:t>
      </w:r>
    </w:p>
    <w:p>
      <w:r>
        <w:rPr>
          <w:rFonts w:ascii="Calibri" w:hAnsi="Calibri"/>
          <w:color w:val="222222"/>
        </w:rPr>
        <w:t xml:space="preserve">Plasma and serum are both blood-derived, but they are not identical matrices. Treat them as partially comparable at most, and only for a purpose that tolerates the distinction. A field left unreported is </w:t>
      </w:r>
      <w:r>
        <w:rPr>
          <w:rFonts w:ascii="Consolas" w:hAnsi="Consolas"/>
          <w:color w:val="1F4D78"/>
          <w:sz w:val="21"/>
          <w:shd w:fill="EEF1F4"/>
        </w:rPr>
        <w:t>not reported</w:t>
      </w:r>
      <w:r>
        <w:rPr>
          <w:rFonts w:ascii="Calibri" w:hAnsi="Calibri"/>
          <w:color w:val="222222"/>
        </w:rPr>
        <w:t xml:space="preserve">, not </w:t>
      </w:r>
      <w:r>
        <w:rPr>
          <w:rFonts w:ascii="Consolas" w:hAnsi="Consolas"/>
          <w:color w:val="1F4D78"/>
          <w:sz w:val="21"/>
          <w:shd w:fill="EEF1F4"/>
        </w:rPr>
        <w:t>same</w:t>
      </w:r>
      <w:r>
        <w:rPr>
          <w:rFonts w:ascii="Calibri" w:hAnsi="Calibri"/>
          <w:color w:val="222222"/>
        </w:rPr>
        <w:t>.</w:t>
      </w:r>
    </w:p>
    <w:p>
      <w:pPr>
        <w:pStyle w:val="Heading3"/>
      </w:pPr>
      <w:r>
        <w:rPr>
          <w:rFonts w:ascii="Calibri" w:hAnsi="Calibri"/>
          <w:color w:val="222222"/>
        </w:rPr>
        <w:t>Layer D - Time semantics</w:t>
      </w:r>
    </w:p>
    <w:p>
      <w:r>
        <w:rPr>
          <w:rFonts w:ascii="Calibri" w:hAnsi="Calibri"/>
          <w:color w:val="222222"/>
        </w:rPr>
        <w:t>Translate each deposited time label into a physiological definition. Use a canonical structure such as:</w:t>
      </w:r>
    </w:p>
    <w:p>
      <w:r>
        <w:rPr>
          <w:rFonts w:ascii="Consolas" w:hAnsi="Consolas"/>
          <w:color w:val="1F4D78"/>
          <w:sz w:val="21"/>
          <w:shd w:fill="EEF1F4"/>
        </w:rPr>
        <w:t>anchor | offset | duration/unit | state | visit/order</w:t>
      </w:r>
    </w:p>
    <w:p>
      <w:r>
        <w:rPr>
          <w:rFonts w:ascii="Calibri" w:hAnsi="Calibri"/>
          <w:color w:val="222222"/>
        </w:rPr>
        <w:t>Examples:</w:t>
      </w:r>
    </w:p>
    <w:p>
      <w:pPr>
        <w:numPr>
          <w:ilvl w:val="0"/>
          <w:numId w:val="27"/>
        </w:numPr>
        <w:spacing w:after="80" w:line="300" w:lineRule="auto"/>
      </w:pPr>
      <w:r>
        <w:rPr>
          <w:rFonts w:ascii="Consolas" w:hAnsi="Consolas"/>
          <w:color w:val="1F4D78"/>
          <w:sz w:val="21"/>
          <w:shd w:fill="EEF1F4"/>
        </w:rPr>
        <w:t>exercise_bout_end | +0 | min | acute_response | visit_2</w:t>
      </w:r>
    </w:p>
    <w:p>
      <w:pPr>
        <w:numPr>
          <w:ilvl w:val="0"/>
          <w:numId w:val="27"/>
        </w:numPr>
        <w:spacing w:after="80" w:line="300" w:lineRule="auto"/>
      </w:pPr>
      <w:r>
        <w:rPr>
          <w:rFonts w:ascii="Consolas" w:hAnsi="Consolas"/>
          <w:color w:val="1F4D78"/>
          <w:sz w:val="21"/>
          <w:shd w:fill="EEF1F4"/>
        </w:rPr>
        <w:t>exercise_bout_end | +180 | min | recovery | visit_2</w:t>
      </w:r>
    </w:p>
    <w:p>
      <w:pPr>
        <w:numPr>
          <w:ilvl w:val="0"/>
          <w:numId w:val="27"/>
        </w:numPr>
        <w:spacing w:after="80" w:line="300" w:lineRule="auto"/>
      </w:pPr>
      <w:r>
        <w:rPr>
          <w:rFonts w:ascii="Consolas" w:hAnsi="Consolas"/>
          <w:color w:val="1F4D78"/>
          <w:sz w:val="21"/>
          <w:shd w:fill="EEF1F4"/>
        </w:rPr>
        <w:t>diet_period_start | +14 | day | end_of_feeding_period | period_1</w:t>
      </w:r>
    </w:p>
    <w:p>
      <w:pPr>
        <w:numPr>
          <w:ilvl w:val="0"/>
          <w:numId w:val="27"/>
        </w:numPr>
        <w:spacing w:after="80" w:line="300" w:lineRule="auto"/>
      </w:pPr>
      <w:r>
        <w:rPr>
          <w:rFonts w:ascii="Consolas" w:hAnsi="Consolas"/>
          <w:color w:val="1F4D78"/>
          <w:sz w:val="21"/>
          <w:shd w:fill="EEF1F4"/>
        </w:rPr>
        <w:t>test_meal_start | -10 | min | fasting_baseline | visit_1</w:t>
      </w:r>
    </w:p>
    <w:p>
      <w:r>
        <w:rPr>
          <w:rFonts w:ascii="Calibri" w:hAnsi="Calibri"/>
          <w:color w:val="222222"/>
        </w:rPr>
        <w:t xml:space="preserve">Do not translate </w:t>
      </w:r>
      <w:r>
        <w:rPr>
          <w:rFonts w:ascii="Consolas" w:hAnsi="Consolas"/>
          <w:color w:val="1F4D78"/>
          <w:sz w:val="21"/>
          <w:shd w:fill="EEF1F4"/>
        </w:rPr>
        <w:t>post</w:t>
      </w:r>
      <w:r>
        <w:rPr>
          <w:rFonts w:ascii="Calibri" w:hAnsi="Calibri"/>
          <w:color w:val="222222"/>
        </w:rPr>
        <w:t xml:space="preserve"> without evidence. When the necessary reference point or offset is absent, flag the timepoint as unresolved.</w:t>
      </w:r>
    </w:p>
    <w:p>
      <w:pPr>
        <w:pStyle w:val="Heading3"/>
      </w:pPr>
      <w:r>
        <w:rPr>
          <w:rFonts w:ascii="Calibri" w:hAnsi="Calibri"/>
          <w:color w:val="222222"/>
        </w:rPr>
        <w:t>Layer E - Assay and metadata provenance</w:t>
      </w:r>
    </w:p>
    <w:p>
      <w:r>
        <w:rPr>
          <w:rFonts w:ascii="Calibri" w:hAnsi="Calibri"/>
          <w:color w:val="222222"/>
        </w:rPr>
        <w:t>Record:</w:t>
      </w:r>
    </w:p>
    <w:p>
      <w:pPr>
        <w:numPr>
          <w:ilvl w:val="0"/>
          <w:numId w:val="28"/>
        </w:numPr>
        <w:spacing w:after="80" w:line="300" w:lineRule="auto"/>
      </w:pPr>
      <w:r>
        <w:rPr>
          <w:rFonts w:ascii="Calibri" w:hAnsi="Calibri"/>
          <w:color w:val="222222"/>
        </w:rPr>
        <w:t>Analysis type, platform, chromatography, ion mode, and targeted or untargeted status.</w:t>
      </w:r>
    </w:p>
    <w:p>
      <w:pPr>
        <w:numPr>
          <w:ilvl w:val="0"/>
          <w:numId w:val="28"/>
        </w:numPr>
        <w:spacing w:after="80" w:line="300" w:lineRule="auto"/>
      </w:pPr>
      <w:r>
        <w:rPr>
          <w:rFonts w:ascii="Calibri" w:hAnsi="Calibri"/>
          <w:color w:val="222222"/>
        </w:rPr>
        <w:t>Quantification or abundance scale and units.</w:t>
      </w:r>
    </w:p>
    <w:p>
      <w:pPr>
        <w:numPr>
          <w:ilvl w:val="0"/>
          <w:numId w:val="28"/>
        </w:numPr>
        <w:spacing w:after="80" w:line="300" w:lineRule="auto"/>
      </w:pPr>
      <w:r>
        <w:rPr>
          <w:rFonts w:ascii="Calibri" w:hAnsi="Calibri"/>
          <w:color w:val="222222"/>
        </w:rPr>
        <w:t>Normalization, transformation, blank correction, batch correction, and missing-value handling when documented.</w:t>
      </w:r>
    </w:p>
    <w:p>
      <w:pPr>
        <w:numPr>
          <w:ilvl w:val="0"/>
          <w:numId w:val="28"/>
        </w:numPr>
        <w:spacing w:after="80" w:line="300" w:lineRule="auto"/>
      </w:pPr>
      <w:r>
        <w:rPr>
          <w:rFonts w:ascii="Calibri" w:hAnsi="Calibri"/>
          <w:color w:val="222222"/>
        </w:rPr>
        <w:t>Analysis identifier as well as study accession.</w:t>
      </w:r>
    </w:p>
    <w:p>
      <w:pPr>
        <w:numPr>
          <w:ilvl w:val="0"/>
          <w:numId w:val="28"/>
        </w:numPr>
        <w:spacing w:after="80" w:line="300" w:lineRule="auto"/>
      </w:pPr>
      <w:r>
        <w:rPr>
          <w:rFonts w:ascii="Calibri" w:hAnsi="Calibri"/>
          <w:color w:val="222222"/>
        </w:rPr>
        <w:t>mwTab block or REST response that supports each field.</w:t>
      </w:r>
    </w:p>
    <w:p>
      <w:pPr>
        <w:numPr>
          <w:ilvl w:val="0"/>
          <w:numId w:val="28"/>
        </w:numPr>
        <w:spacing w:after="80" w:line="300" w:lineRule="auto"/>
      </w:pPr>
      <w:r>
        <w:rPr>
          <w:rFonts w:ascii="Calibri" w:hAnsi="Calibri"/>
          <w:color w:val="222222"/>
        </w:rPr>
        <w:t>Retrieval date, endpoint, and record version or checksum when available.</w:t>
      </w:r>
    </w:p>
    <w:p>
      <w:r>
        <w:rPr>
          <w:rFonts w:ascii="Calibri" w:hAnsi="Calibri"/>
          <w:color w:val="222222"/>
        </w:rPr>
        <w:t>A study may contain multiple analyses. Never assume a study-level description applies identically to every analysis table.</w:t>
      </w:r>
    </w:p>
    <w:p>
      <w:pPr>
        <w:pStyle w:val="Heading2"/>
      </w:pPr>
      <w:r>
        <w:rPr>
          <w:rFonts w:ascii="Calibri" w:hAnsi="Calibri"/>
          <w:color w:val="222222"/>
        </w:rPr>
        <w:t>3. Comparability is a reasoned decision</w:t>
      </w:r>
    </w:p>
    <w:p>
      <w:r>
        <w:rPr>
          <w:rFonts w:ascii="Calibri" w:hAnsi="Calibri"/>
          <w:color w:val="222222"/>
        </w:rPr>
        <w:t>Use these operational categories:</w:t>
      </w:r>
    </w:p>
    <w:p>
      <w:pPr>
        <w:pStyle w:val="Heading3"/>
      </w:pPr>
      <w:r>
        <w:rPr>
          <w:rFonts w:ascii="Calibri" w:hAnsi="Calibri"/>
          <w:color w:val="222222"/>
        </w:rPr>
        <w:t>Directly comparable</w:t>
      </w:r>
    </w:p>
    <w:p>
      <w:r>
        <w:rPr>
          <w:rFonts w:ascii="Calibri" w:hAnsi="Calibri"/>
          <w:color w:val="222222"/>
        </w:rPr>
        <w:t>The two fields represent the same construct at sufficient granularity for the stated use, with compatible coding or a transparent lossless conversion.</w:t>
      </w:r>
    </w:p>
    <w:p>
      <w:r>
        <w:rPr>
          <w:rFonts w:ascii="Calibri" w:hAnsi="Calibri"/>
          <w:color w:val="222222"/>
        </w:rPr>
        <w:t>Example: Both studies report participant age in years at enrollment, and the target is a descriptive median and range. Verify population definitions and disclosure rules before reporting.</w:t>
      </w:r>
    </w:p>
    <w:p>
      <w:pPr>
        <w:pStyle w:val="Heading3"/>
      </w:pPr>
      <w:r>
        <w:rPr>
          <w:rFonts w:ascii="Calibri" w:hAnsi="Calibri"/>
          <w:color w:val="222222"/>
        </w:rPr>
        <w:t>Partially comparable</w:t>
      </w:r>
    </w:p>
    <w:p>
      <w:r>
        <w:rPr>
          <w:rFonts w:ascii="Calibri" w:hAnsi="Calibri"/>
          <w:color w:val="222222"/>
        </w:rPr>
        <w:t>The fields share a broader construct but differ in granularity, timing, protocol, matrix, or measurement. They may support stratified description or a coarser derived category, but the difference must remain visible.</w:t>
      </w:r>
    </w:p>
    <w:p>
      <w:r>
        <w:rPr>
          <w:rFonts w:ascii="Calibri" w:hAnsi="Calibri"/>
          <w:color w:val="222222"/>
        </w:rPr>
        <w:t xml:space="preserve">Example: One study records exact fasting duration; another records only </w:t>
      </w:r>
      <w:r>
        <w:rPr>
          <w:rFonts w:ascii="Consolas" w:hAnsi="Consolas"/>
          <w:color w:val="1F4D78"/>
          <w:sz w:val="21"/>
          <w:shd w:fill="EEF1F4"/>
        </w:rPr>
        <w:t>fasted</w:t>
      </w:r>
      <w:r>
        <w:rPr>
          <w:rFonts w:ascii="Calibri" w:hAnsi="Calibri"/>
          <w:color w:val="222222"/>
        </w:rPr>
        <w:t>. Both can support a high-level fasting-state flag, but not a dose-response model by fasting hours.</w:t>
      </w:r>
    </w:p>
    <w:p>
      <w:pPr>
        <w:pStyle w:val="Heading3"/>
      </w:pPr>
      <w:r>
        <w:rPr>
          <w:rFonts w:ascii="Calibri" w:hAnsi="Calibri"/>
          <w:color w:val="222222"/>
        </w:rPr>
        <w:t>Not comparable</w:t>
      </w:r>
    </w:p>
    <w:p>
      <w:r>
        <w:rPr>
          <w:rFonts w:ascii="Calibri" w:hAnsi="Calibri"/>
          <w:color w:val="222222"/>
        </w:rPr>
        <w:t>The fields represent different constructs, lack essential provenance, or would require an unsupported assumption.</w:t>
      </w:r>
    </w:p>
    <w:p>
      <w:r>
        <w:rPr>
          <w:rFonts w:ascii="Calibri" w:hAnsi="Calibri"/>
          <w:color w:val="222222"/>
        </w:rPr>
        <w:t xml:space="preserve">Example: </w:t>
      </w:r>
      <w:r>
        <w:rPr>
          <w:rFonts w:ascii="Consolas" w:hAnsi="Consolas"/>
          <w:color w:val="1F4D78"/>
          <w:sz w:val="21"/>
          <w:shd w:fill="EEF1F4"/>
        </w:rPr>
        <w:t>post_diet</w:t>
      </w:r>
      <w:r>
        <w:rPr>
          <w:rFonts w:ascii="Calibri" w:hAnsi="Calibri"/>
          <w:color w:val="222222"/>
        </w:rPr>
        <w:t xml:space="preserve"> after a 14-day feeding period and </w:t>
      </w:r>
      <w:r>
        <w:rPr>
          <w:rFonts w:ascii="Consolas" w:hAnsi="Consolas"/>
          <w:color w:val="1F4D78"/>
          <w:sz w:val="21"/>
          <w:shd w:fill="EEF1F4"/>
        </w:rPr>
        <w:t>post_exercise</w:t>
      </w:r>
      <w:r>
        <w:rPr>
          <w:rFonts w:ascii="Calibri" w:hAnsi="Calibri"/>
          <w:color w:val="222222"/>
        </w:rPr>
        <w:t xml:space="preserve"> immediately after an acute bout cannot be treated as one common post-intervention timepoint.</w:t>
      </w:r>
    </w:p>
    <w:p>
      <w:pPr>
        <w:pStyle w:val="Heading3"/>
      </w:pPr>
      <w:r>
        <w:rPr>
          <w:rFonts w:ascii="Calibri" w:hAnsi="Calibri"/>
          <w:color w:val="222222"/>
        </w:rPr>
        <w:t>Not yet assessable</w:t>
      </w:r>
    </w:p>
    <w:p>
      <w:r>
        <w:rPr>
          <w:rFonts w:ascii="Calibri" w:hAnsi="Calibri"/>
          <w:color w:val="222222"/>
        </w:rPr>
        <w:t>Use this fourth workflow status when evidence is missing or the accession is unresolved. It prevents uncertainty from being silently converted into incompatibility or compatibility. Before analysis, resolve it or explicitly exclude it.</w:t>
      </w:r>
    </w:p>
    <w:p>
      <w:pPr>
        <w:pStyle w:val="Heading2"/>
      </w:pPr>
      <w:r>
        <w:rPr>
          <w:rFonts w:ascii="Calibri" w:hAnsi="Calibri"/>
          <w:color w:val="222222"/>
        </w:rPr>
        <w:t>4. Worked example with the locked configuration</w:t>
      </w:r>
    </w:p>
    <w:p>
      <w:r>
        <w:rPr>
          <w:rFonts w:ascii="Calibri" w:hAnsi="Calibri"/>
          <w:color w:val="222222"/>
        </w:rPr>
        <w:t>The following decisions are grounded in the locked Metabolomics Workbench records and remain subject to the dated verification recorded in your worksheet.</w:t>
      </w:r>
    </w:p>
    <w:tbl>
      <w:tblPr>
        <w:tblStyle w:val="TableGrid"/>
        <w:tblW w:type="dxa" w:w="9360"/>
        <w:jc w:val="left"/>
        <w:tblLayout w:type="fixed"/>
        <w:tblLook w:firstColumn="1" w:firstRow="1" w:lastColumn="0" w:lastRow="0" w:noHBand="0" w:noVBand="1" w:val="04A0"/>
        <w:tblInd w:w="120" w:type="dxa"/>
      </w:tblPr>
      <w:tblGrid>
        <w:gridCol w:w="1628"/>
        <w:gridCol w:w="2584"/>
        <w:gridCol w:w="2584"/>
        <w:gridCol w:w="2564"/>
      </w:tblGrid>
      <w:tr>
        <w:trPr>
          <w:cantSplit w:val="true"/>
          <w:tblHeader w:val="true"/>
        </w:trPr>
        <w:tc>
          <w:tcPr>
            <w:tcW w:type="dxa" w:w="162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Domain</w:t>
            </w:r>
          </w:p>
        </w:tc>
        <w:tc>
          <w:tcPr>
            <w:tcW w:type="dxa" w:w="2584"/>
            <w:tcMar>
              <w:top w:w="80" w:type="dxa"/>
              <w:bottom w:w="80" w:type="dxa"/>
              <w:start w:w="120" w:type="dxa"/>
              <w:end w:w="120" w:type="dxa"/>
            </w:tcMar>
            <w:vAlign w:val="center"/>
            <w:shd w:fill="E8EEF5"/>
          </w:tcPr>
          <w:p>
            <w:pPr>
              <w:spacing w:before="0" w:after="0" w:line="269" w:lineRule="auto"/>
              <w:jc w:val="left"/>
            </w:pPr>
            <w:r>
              <w:rPr>
                <w:b/>
                <w:color w:val="203748"/>
              </w:rPr>
            </w:r>
            <w:r>
              <w:rPr>
                <w:rFonts w:ascii="Consolas" w:hAnsi="Consolas"/>
                <w:b/>
                <w:color w:val="203748"/>
                <w:sz w:val="15"/>
                <w:shd w:fill="EEF1F4"/>
              </w:rPr>
              <w:t>DIET_ACCESSION = ST001521</w:t>
            </w:r>
          </w:p>
        </w:tc>
        <w:tc>
          <w:tcPr>
            <w:tcW w:type="dxa" w:w="2584"/>
            <w:tcMar>
              <w:top w:w="80" w:type="dxa"/>
              <w:bottom w:w="80" w:type="dxa"/>
              <w:start w:w="120" w:type="dxa"/>
              <w:end w:w="120" w:type="dxa"/>
            </w:tcMar>
            <w:vAlign w:val="center"/>
            <w:shd w:fill="E8EEF5"/>
          </w:tcPr>
          <w:p>
            <w:pPr>
              <w:spacing w:before="0" w:after="0" w:line="269" w:lineRule="auto"/>
              <w:jc w:val="left"/>
            </w:pPr>
            <w:r>
              <w:rPr>
                <w:b/>
                <w:color w:val="203748"/>
              </w:rPr>
            </w:r>
            <w:r>
              <w:rPr>
                <w:rFonts w:ascii="Consolas" w:hAnsi="Consolas"/>
                <w:b/>
                <w:color w:val="203748"/>
                <w:sz w:val="15"/>
                <w:shd w:fill="EEF1F4"/>
              </w:rPr>
              <w:t>EXERCISE_ACCESSION = ST003348</w:t>
            </w:r>
          </w:p>
        </w:tc>
        <w:tc>
          <w:tcPr>
            <w:tcW w:type="dxa" w:w="256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Decision for this module</w:t>
            </w:r>
          </w:p>
        </w:tc>
      </w:tr>
      <w:tr>
        <w:trPr>
          <w:cantSplit w:val="true"/>
        </w:trPr>
        <w:tc>
          <w:tcPr>
            <w:tcW w:type="dxa" w:w="16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Species</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Human in summary and subject metadata</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Human in summary and subject metadata</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Direct at a broad species level</w:t>
            </w:r>
          </w:p>
        </w:tc>
      </w:tr>
      <w:tr>
        <w:trPr>
          <w:cantSplit w:val="true"/>
        </w:trPr>
        <w:tc>
          <w:tcPr>
            <w:tcW w:type="dxa" w:w="16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Matrix</w:t>
            </w:r>
          </w:p>
        </w:tc>
        <w:tc>
          <w:tcPr>
            <w:tcW w:type="dxa" w:w="258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Blood plasma</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Collection metadata specifies blood serum, although factors say </w:t>
            </w:r>
            <w:r>
              <w:rPr>
                <w:rFonts w:ascii="Consolas" w:hAnsi="Consolas"/>
                <w:color w:val="1F4D78"/>
                <w:sz w:val="15"/>
                <w:shd w:fill="EEF1F4"/>
              </w:rPr>
              <w:t>blood</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Partial for discovery; keep plasma and serum distinct</w:t>
            </w:r>
          </w:p>
        </w:tc>
      </w:tr>
      <w:tr>
        <w:trPr>
          <w:cantSplit w:val="true"/>
        </w:trPr>
        <w:tc>
          <w:tcPr>
            <w:tcW w:type="dxa" w:w="16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Time</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Baseline and Days 5, 9, 12, and 15 across feeding plus antibiotic/PEG procedures</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REST, immediate post-exercise, 3-hour recovery, and 22-hour recovery</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Not a shared time axis</w:t>
            </w:r>
          </w:p>
        </w:tc>
      </w:tr>
      <w:tr>
        <w:trPr>
          <w:cantSplit w:val="true"/>
        </w:trPr>
        <w:tc>
          <w:tcPr>
            <w:tcW w:type="dxa" w:w="16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Phenotype</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Three diet groups in a longitudinal FARMM protocol</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Acute endurance race-walking and recovery</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Not one common intervention variable</w:t>
            </w:r>
          </w:p>
        </w:tc>
      </w:tr>
      <w:tr>
        <w:trPr>
          <w:cantSplit w:val="true"/>
        </w:trPr>
        <w:tc>
          <w:tcPr>
            <w:tcW w:type="dxa" w:w="16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Metabolite name</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Submitted name and RefMet output</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Submitted name and RefMet output</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Exact-name comparison possible after Lesson 3 review</w:t>
            </w:r>
          </w:p>
        </w:tc>
      </w:tr>
      <w:tr>
        <w:trPr>
          <w:cantSplit w:val="true"/>
        </w:trPr>
        <w:tc>
          <w:tcPr>
            <w:tcW w:type="dxa" w:w="16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Intensity</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Four LC-MS analyses, unitless peak areas</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Two LC-MS analyses, peak area</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 cross-study quantitative pooling</w:t>
            </w:r>
          </w:p>
        </w:tc>
      </w:tr>
    </w:tbl>
    <w:p>
      <w:pPr>
        <w:spacing w:before="0" w:after="40"/>
      </w:pPr>
    </w:p>
    <w:p>
      <w:r>
        <w:rPr>
          <w:rFonts w:ascii="Calibri" w:hAnsi="Calibri"/>
          <w:color w:val="222222"/>
        </w:rPr>
        <w:t xml:space="preserve">Notice that a useful table can contain </w:t>
      </w:r>
      <w:r>
        <w:rPr>
          <w:rFonts w:ascii="Consolas" w:hAnsi="Consolas"/>
          <w:color w:val="1F4D78"/>
          <w:sz w:val="21"/>
          <w:shd w:fill="EEF1F4"/>
        </w:rPr>
        <w:t>not yet assessable</w:t>
      </w:r>
      <w:r>
        <w:rPr>
          <w:rFonts w:ascii="Calibri" w:hAnsi="Calibri"/>
          <w:color w:val="222222"/>
        </w:rPr>
        <w:t>. The worksheet is an evidence ledger, not a form that must be completely filled.</w:t>
      </w:r>
    </w:p>
    <w:p>
      <w:pPr>
        <w:pStyle w:val="Heading2"/>
      </w:pPr>
      <w:r>
        <w:rPr>
          <w:rFonts w:ascii="Calibri" w:hAnsi="Calibri"/>
          <w:color w:val="222222"/>
        </w:rPr>
        <w:t>5. Consortium-scale design references</w:t>
      </w:r>
    </w:p>
    <w:p>
      <w:pPr>
        <w:pStyle w:val="Heading3"/>
      </w:pPr>
      <w:r>
        <w:rPr>
          <w:rFonts w:ascii="Calibri" w:hAnsi="Calibri"/>
          <w:color w:val="222222"/>
        </w:rPr>
        <w:t>MoTrPAC</w:t>
      </w:r>
    </w:p>
    <w:p>
      <w:r>
        <w:rPr>
          <w:rFonts w:ascii="Calibri" w:hAnsi="Calibri"/>
          <w:color w:val="222222"/>
        </w:rPr>
        <w:t xml:space="preserve">MoTrPAC's published human protocol describes a multicenter effort designed to characterize molecular responses to acute exercise and exercise training. It includes structured exercise phenotyping and collection of blood, skeletal muscle, and adipose tissue in defined protocol contexts. Use the protocol as an example of how modality, dose, tissue, and time are specified. Do not copy its timepoint labels onto </w:t>
      </w:r>
      <w:r>
        <w:rPr>
          <w:rFonts w:ascii="Consolas" w:hAnsi="Consolas"/>
          <w:color w:val="1F4D78"/>
          <w:sz w:val="21"/>
          <w:shd w:fill="EEF1F4"/>
        </w:rPr>
        <w:t>EXERCISE_ACCESSION</w:t>
      </w:r>
      <w:r>
        <w:rPr>
          <w:rFonts w:ascii="Calibri" w:hAnsi="Calibri"/>
          <w:color w:val="222222"/>
        </w:rPr>
        <w:t>; retrieve the actual MW study protocol and factors.</w:t>
      </w:r>
    </w:p>
    <w:p>
      <w:pPr>
        <w:pStyle w:val="Heading3"/>
      </w:pPr>
      <w:r>
        <w:rPr>
          <w:rFonts w:ascii="Calibri" w:hAnsi="Calibri"/>
          <w:color w:val="222222"/>
        </w:rPr>
        <w:t>Nutrition for Precision Health</w:t>
      </w:r>
    </w:p>
    <w:p>
      <w:r>
        <w:rPr>
          <w:rFonts w:ascii="Calibri" w:hAnsi="Calibri"/>
          <w:color w:val="222222"/>
        </w:rPr>
        <w:t xml:space="preserve">NIH describes NPH as a modular study nested in All of Us. Public program documentation distinguishes a larger baseline/test-meal module from free-living and domiciled controlled-feeding modules. Use it as an example of how dietary exposure, test meals, and multimodal measures can be organized. Do not infer that </w:t>
      </w:r>
      <w:r>
        <w:rPr>
          <w:rFonts w:ascii="Consolas" w:hAnsi="Consolas"/>
          <w:color w:val="1F4D78"/>
          <w:sz w:val="21"/>
          <w:shd w:fill="EEF1F4"/>
        </w:rPr>
        <w:t>DIET_ACCESSION</w:t>
      </w:r>
      <w:r>
        <w:rPr>
          <w:rFonts w:ascii="Calibri" w:hAnsi="Calibri"/>
          <w:color w:val="222222"/>
        </w:rPr>
        <w:t xml:space="preserve"> follows the NPH design.</w:t>
      </w:r>
    </w:p>
    <w:p>
      <w:r>
        <w:rPr>
          <w:rFonts w:ascii="Calibri" w:hAnsi="Calibri"/>
          <w:color w:val="222222"/>
        </w:rPr>
        <w:t xml:space="preserve">These examples teach </w:t>
      </w:r>
      <w:r>
        <w:rPr>
          <w:rFonts w:ascii="Calibri" w:hAnsi="Calibri"/>
          <w:b/>
          <w:color w:val="222222"/>
        </w:rPr>
        <w:t>design transfer</w:t>
      </w:r>
      <w:r>
        <w:rPr>
          <w:rFonts w:ascii="Calibri" w:hAnsi="Calibri"/>
          <w:color w:val="222222"/>
        </w:rPr>
        <w:t>: recognize a structure, then verify whether it exists in the target data. They do not supply missing metadata for the MW case studies.</w:t>
      </w:r>
    </w:p>
    <w:p>
      <w:pPr>
        <w:pStyle w:val="Heading3"/>
      </w:pPr>
      <w:r>
        <w:rPr>
          <w:rFonts w:ascii="Calibri" w:hAnsi="Calibri"/>
          <w:color w:val="222222"/>
        </w:rPr>
        <w:t>Accessible description of the comparison diagram</w:t>
      </w:r>
    </w:p>
    <w:p>
      <w:r>
        <w:rPr>
          <w:rFonts w:ascii="Calibri" w:hAnsi="Calibri"/>
          <w:color w:val="222222"/>
        </w:rPr>
        <w:t xml:space="preserve">The diagram has two vertical lanes. The diet lane moves from diet assignment to adherence and feeding state, then to specimen collection. The exercise lane moves from exercise modality and dose to exertion and recovery, then to specimen collection. Both lanes feed into a shared assay box, but each arrow carries its own time, specimen, and protocol tags. A dashed line between the lanes is labeled </w:t>
      </w:r>
      <w:r>
        <w:rPr>
          <w:rFonts w:ascii="Consolas" w:hAnsi="Consolas"/>
          <w:color w:val="1F4D78"/>
          <w:sz w:val="21"/>
          <w:shd w:fill="EEF1F4"/>
        </w:rPr>
        <w:t>compare metadata</w:t>
      </w:r>
      <w:r>
        <w:rPr>
          <w:rFonts w:ascii="Calibri" w:hAnsi="Calibri"/>
          <w:color w:val="222222"/>
        </w:rPr>
        <w:t xml:space="preserve">; there is no arrow labeled </w:t>
      </w:r>
      <w:r>
        <w:rPr>
          <w:rFonts w:ascii="Consolas" w:hAnsi="Consolas"/>
          <w:color w:val="1F4D78"/>
          <w:sz w:val="21"/>
          <w:shd w:fill="EEF1F4"/>
        </w:rPr>
        <w:t>pool values</w:t>
      </w:r>
      <w:r>
        <w:rPr>
          <w:rFonts w:ascii="Calibri" w:hAnsi="Calibri"/>
          <w:color w:val="222222"/>
        </w:rPr>
        <w:t>.</w:t>
      </w:r>
    </w:p>
    <w:p>
      <w:pPr>
        <w:pStyle w:val="Heading2"/>
      </w:pPr>
      <w:r>
        <w:rPr>
          <w:rFonts w:ascii="Calibri" w:hAnsi="Calibri"/>
          <w:color w:val="222222"/>
        </w:rPr>
        <w:t>6. Hands-on activity: complete the cohort-comparison worksheet</w:t>
      </w:r>
    </w:p>
    <w:p>
      <w:r>
        <w:rPr>
          <w:rFonts w:ascii="Calibri" w:hAnsi="Calibri"/>
          <w:color w:val="222222"/>
        </w:rPr>
        <w:t xml:space="preserve">Use </w:t>
      </w:r>
      <w:r>
        <w:rPr>
          <w:rFonts w:ascii="Consolas" w:hAnsi="Consolas"/>
          <w:color w:val="1F4D78"/>
          <w:sz w:val="21"/>
          <w:shd w:fill="EEF1F4"/>
        </w:rPr>
        <w:t>module/templates/cohort_comparison_worksheet_learner.md</w:t>
      </w:r>
      <w:r>
        <w:rPr>
          <w:rFonts w:ascii="Calibri" w:hAnsi="Calibri"/>
          <w:color w:val="222222"/>
        </w:rPr>
        <w:t>.</w:t>
      </w:r>
    </w:p>
    <w:p>
      <w:pPr>
        <w:pStyle w:val="Heading3"/>
      </w:pPr>
      <w:r>
        <w:rPr>
          <w:rFonts w:ascii="Calibri" w:hAnsi="Calibri"/>
          <w:color w:val="222222"/>
        </w:rPr>
        <w:t>Step 1 - Resolve and document</w:t>
      </w:r>
    </w:p>
    <w:p>
      <w:r>
        <w:rPr>
          <w:rFonts w:ascii="Calibri" w:hAnsi="Calibri"/>
          <w:color w:val="222222"/>
        </w:rPr>
        <w:t xml:space="preserve">For </w:t>
      </w:r>
      <w:r>
        <w:rPr>
          <w:rFonts w:ascii="Consolas" w:hAnsi="Consolas"/>
          <w:color w:val="1F4D78"/>
          <w:sz w:val="21"/>
          <w:shd w:fill="EEF1F4"/>
        </w:rPr>
        <w:t>DIET_ACCESSION = ST001521</w:t>
      </w:r>
      <w:r>
        <w:rPr>
          <w:rFonts w:ascii="Calibri" w:hAnsi="Calibri"/>
          <w:color w:val="222222"/>
        </w:rPr>
        <w:t xml:space="preserve"> and </w:t>
      </w:r>
      <w:r>
        <w:rPr>
          <w:rFonts w:ascii="Consolas" w:hAnsi="Consolas"/>
          <w:color w:val="1F4D78"/>
          <w:sz w:val="21"/>
          <w:shd w:fill="EEF1F4"/>
        </w:rPr>
        <w:t>EXERCISE_ACCESSION = ST003348</w:t>
      </w:r>
      <w:r>
        <w:rPr>
          <w:rFonts w:ascii="Calibri" w:hAnsi="Calibri"/>
          <w:color w:val="222222"/>
        </w:rPr>
        <w:t>, record:</w:t>
      </w:r>
    </w:p>
    <w:p>
      <w:pPr>
        <w:numPr>
          <w:ilvl w:val="0"/>
          <w:numId w:val="29"/>
        </w:numPr>
        <w:spacing w:after="80" w:line="300" w:lineRule="auto"/>
      </w:pPr>
      <w:r>
        <w:rPr>
          <w:rFonts w:ascii="Calibri" w:hAnsi="Calibri"/>
          <w:color w:val="222222"/>
        </w:rPr>
        <w:t>Resolved study accession and all analysis identifiers used.</w:t>
      </w:r>
    </w:p>
    <w:p>
      <w:pPr>
        <w:numPr>
          <w:ilvl w:val="0"/>
          <w:numId w:val="29"/>
        </w:numPr>
        <w:spacing w:after="80" w:line="300" w:lineRule="auto"/>
      </w:pPr>
      <w:r>
        <w:rPr>
          <w:rFonts w:ascii="Calibri" w:hAnsi="Calibri"/>
          <w:color w:val="222222"/>
        </w:rPr>
        <w:t>Landing page, REST endpoints, retrieval timestamp, and public-release evidence.</w:t>
      </w:r>
    </w:p>
    <w:p>
      <w:pPr>
        <w:numPr>
          <w:ilvl w:val="0"/>
          <w:numId w:val="29"/>
        </w:numPr>
        <w:spacing w:after="80" w:line="300" w:lineRule="auto"/>
      </w:pPr>
      <w:r>
        <w:rPr>
          <w:rFonts w:ascii="Calibri" w:hAnsi="Calibri"/>
          <w:color w:val="222222"/>
        </w:rPr>
        <w:t>Publication or protocol link if the record provides one.</w:t>
      </w:r>
    </w:p>
    <w:p>
      <w:r>
        <w:rPr>
          <w:rFonts w:ascii="Calibri" w:hAnsi="Calibri"/>
          <w:color w:val="222222"/>
        </w:rPr>
        <w:t>If live retrieval fails, use only the versioned cached record supplied with the module, retain the configuration key in every source field, and mark the retrieval source as cached.</w:t>
      </w:r>
    </w:p>
    <w:p>
      <w:pPr>
        <w:pStyle w:val="Heading3"/>
      </w:pPr>
      <w:r>
        <w:rPr>
          <w:rFonts w:ascii="Calibri" w:hAnsi="Calibri"/>
          <w:color w:val="222222"/>
        </w:rPr>
        <w:t>Step 2 - Extract independently</w:t>
      </w:r>
    </w:p>
    <w:p>
      <w:r>
        <w:rPr>
          <w:rFonts w:ascii="Calibri" w:hAnsi="Calibri"/>
          <w:color w:val="222222"/>
        </w:rPr>
        <w:t>Complete each study column without looking at the other study. This reduces the temptation to translate a field into whatever appears in the comparison study.</w:t>
      </w:r>
    </w:p>
    <w:p>
      <w:r>
        <w:rPr>
          <w:rFonts w:ascii="Calibri" w:hAnsi="Calibri"/>
          <w:color w:val="222222"/>
        </w:rPr>
        <w:t>For every cell, use one of:</w:t>
      </w:r>
    </w:p>
    <w:p>
      <w:pPr>
        <w:numPr>
          <w:ilvl w:val="0"/>
          <w:numId w:val="30"/>
        </w:numPr>
        <w:spacing w:after="80" w:line="300" w:lineRule="auto"/>
      </w:pPr>
      <w:r>
        <w:rPr>
          <w:rFonts w:ascii="Calibri" w:hAnsi="Calibri"/>
          <w:color w:val="222222"/>
        </w:rPr>
        <w:t>A value plus source location.</w:t>
      </w:r>
    </w:p>
    <w:p>
      <w:pPr>
        <w:numPr>
          <w:ilvl w:val="0"/>
          <w:numId w:val="30"/>
        </w:numPr>
        <w:spacing w:after="80" w:line="300" w:lineRule="auto"/>
      </w:pPr>
      <w:r>
        <w:rPr>
          <w:rFonts w:ascii="Consolas" w:hAnsi="Consolas"/>
          <w:color w:val="1F4D78"/>
          <w:sz w:val="21"/>
          <w:shd w:fill="EEF1F4"/>
        </w:rPr>
        <w:t>NR</w:t>
      </w:r>
      <w:r>
        <w:rPr>
          <w:rFonts w:ascii="Calibri" w:hAnsi="Calibri"/>
          <w:color w:val="222222"/>
        </w:rPr>
        <w:t xml:space="preserve"> for not reported after a documented search.</w:t>
      </w:r>
    </w:p>
    <w:p>
      <w:pPr>
        <w:numPr>
          <w:ilvl w:val="0"/>
          <w:numId w:val="30"/>
        </w:numPr>
        <w:spacing w:after="80" w:line="300" w:lineRule="auto"/>
      </w:pPr>
      <w:r>
        <w:rPr>
          <w:rFonts w:ascii="Consolas" w:hAnsi="Consolas"/>
          <w:color w:val="1F4D78"/>
          <w:sz w:val="21"/>
          <w:shd w:fill="EEF1F4"/>
        </w:rPr>
        <w:t>NA</w:t>
      </w:r>
      <w:r>
        <w:rPr>
          <w:rFonts w:ascii="Calibri" w:hAnsi="Calibri"/>
          <w:color w:val="222222"/>
        </w:rPr>
        <w:t xml:space="preserve"> for not applicable.</w:t>
      </w:r>
    </w:p>
    <w:p>
      <w:pPr>
        <w:numPr>
          <w:ilvl w:val="0"/>
          <w:numId w:val="30"/>
        </w:numPr>
        <w:spacing w:after="80" w:line="300" w:lineRule="auto"/>
      </w:pPr>
      <w:r>
        <w:rPr>
          <w:rFonts w:ascii="Consolas" w:hAnsi="Consolas"/>
          <w:color w:val="1F4D78"/>
          <w:sz w:val="21"/>
          <w:shd w:fill="EEF1F4"/>
        </w:rPr>
        <w:t>UNRESOLVED</w:t>
      </w:r>
      <w:r>
        <w:rPr>
          <w:rFonts w:ascii="Calibri" w:hAnsi="Calibri"/>
          <w:color w:val="222222"/>
        </w:rPr>
        <w:t xml:space="preserve"> when the accession, analysis selection, or meaning is pending.</w:t>
      </w:r>
    </w:p>
    <w:p>
      <w:pPr>
        <w:pStyle w:val="Heading3"/>
      </w:pPr>
      <w:r>
        <w:rPr>
          <w:rFonts w:ascii="Calibri" w:hAnsi="Calibri"/>
          <w:color w:val="222222"/>
        </w:rPr>
        <w:t>Step 3 - State the purpose</w:t>
      </w:r>
    </w:p>
    <w:p>
      <w:r>
        <w:rPr>
          <w:rFonts w:ascii="Calibri" w:hAnsi="Calibri"/>
          <w:color w:val="222222"/>
        </w:rPr>
        <w:t>Choose one comparison purpose:</w:t>
      </w:r>
    </w:p>
    <w:p>
      <w:pPr>
        <w:numPr>
          <w:ilvl w:val="0"/>
          <w:numId w:val="31"/>
        </w:numPr>
        <w:spacing w:after="80" w:line="300" w:lineRule="auto"/>
      </w:pPr>
      <w:r>
        <w:rPr>
          <w:rFonts w:ascii="Calibri" w:hAnsi="Calibri"/>
          <w:color w:val="222222"/>
        </w:rPr>
        <w:t>Metadata inventory.</w:t>
      </w:r>
    </w:p>
    <w:p>
      <w:pPr>
        <w:numPr>
          <w:ilvl w:val="0"/>
          <w:numId w:val="31"/>
        </w:numPr>
        <w:spacing w:after="80" w:line="300" w:lineRule="auto"/>
      </w:pPr>
      <w:r>
        <w:rPr>
          <w:rFonts w:ascii="Calibri" w:hAnsi="Calibri"/>
          <w:color w:val="222222"/>
        </w:rPr>
        <w:t>Metabolite-name overlap.</w:t>
      </w:r>
    </w:p>
    <w:p>
      <w:pPr>
        <w:numPr>
          <w:ilvl w:val="0"/>
          <w:numId w:val="31"/>
        </w:numPr>
        <w:spacing w:after="80" w:line="300" w:lineRule="auto"/>
      </w:pPr>
      <w:r>
        <w:rPr>
          <w:rFonts w:ascii="Calibri" w:hAnsi="Calibri"/>
          <w:color w:val="222222"/>
        </w:rPr>
        <w:t>Class-level presence or coverage.</w:t>
      </w:r>
    </w:p>
    <w:p>
      <w:pPr>
        <w:numPr>
          <w:ilvl w:val="0"/>
          <w:numId w:val="31"/>
        </w:numPr>
        <w:spacing w:after="80" w:line="300" w:lineRule="auto"/>
      </w:pPr>
      <w:r>
        <w:rPr>
          <w:rFonts w:ascii="Calibri" w:hAnsi="Calibri"/>
          <w:color w:val="222222"/>
        </w:rPr>
        <w:t>Within-study change followed by qualitative pattern comparison.</w:t>
      </w:r>
    </w:p>
    <w:p>
      <w:r>
        <w:rPr>
          <w:rFonts w:ascii="Calibri" w:hAnsi="Calibri"/>
          <w:color w:val="222222"/>
        </w:rPr>
        <w:t>Do not select pooled quantitative inference for this exercise.</w:t>
      </w:r>
    </w:p>
    <w:p>
      <w:pPr>
        <w:pStyle w:val="Heading3"/>
      </w:pPr>
      <w:r>
        <w:rPr>
          <w:rFonts w:ascii="Calibri" w:hAnsi="Calibri"/>
          <w:color w:val="222222"/>
        </w:rPr>
        <w:t>Step 4 - Classify and justify</w:t>
      </w:r>
    </w:p>
    <w:p>
      <w:r>
        <w:rPr>
          <w:rFonts w:ascii="Calibri" w:hAnsi="Calibri"/>
          <w:color w:val="222222"/>
        </w:rPr>
        <w:t>For at least eight rows, mark directly comparable, partially comparable, not comparable, or not yet assessable. Write a one-sentence evidence-based justification. A justification should name the relevant similarity or difference rather than merely repeat the category.</w:t>
      </w:r>
    </w:p>
    <w:p>
      <w:pPr>
        <w:pStyle w:val="Heading3"/>
      </w:pPr>
      <w:r>
        <w:rPr>
          <w:rFonts w:ascii="Calibri" w:hAnsi="Calibri"/>
          <w:color w:val="222222"/>
        </w:rPr>
        <w:t>Step 5 - Write an exclusion statement</w:t>
      </w:r>
    </w:p>
    <w:p>
      <w:r>
        <w:rPr>
          <w:rFonts w:ascii="Calibri" w:hAnsi="Calibri"/>
          <w:color w:val="222222"/>
        </w:rPr>
        <w:t>Complete:</w:t>
      </w:r>
    </w:p>
    <w:p>
      <w:pPr>
        <w:spacing w:before="100" w:after="120"/>
        <w:ind w:left="259" w:right="115"/>
        <w:shd w:fill="F4F6F9"/>
        <w:pBdr>
          <w:left w:val="single" w:sz="16" w:space="8" w:color="2E74B5"/>
        </w:pBdr>
      </w:pPr>
      <w:r>
        <w:rPr>
          <w:rFonts w:ascii="Calibri" w:hAnsi="Calibri"/>
          <w:color w:val="1F4D78"/>
        </w:rPr>
        <w:t>We will not combine ________ across the two studies because ________. We can still compare ________ by ________.</w:t>
      </w:r>
    </w:p>
    <w:p>
      <w:pPr>
        <w:pStyle w:val="Heading3"/>
      </w:pPr>
      <w:r>
        <w:rPr>
          <w:rFonts w:ascii="Calibri" w:hAnsi="Calibri"/>
          <w:color w:val="222222"/>
        </w:rPr>
        <w:t>Completion criteria</w:t>
      </w:r>
    </w:p>
    <w:p>
      <w:r>
        <w:rPr>
          <w:rFonts w:ascii="Calibri" w:hAnsi="Calibri"/>
          <w:color w:val="222222"/>
        </w:rPr>
        <w:t>Your worksheet is complete when:</w:t>
      </w:r>
    </w:p>
    <w:p>
      <w:pPr>
        <w:numPr>
          <w:ilvl w:val="0"/>
          <w:numId w:val="32"/>
        </w:numPr>
        <w:spacing w:after="80" w:line="300" w:lineRule="auto"/>
      </w:pPr>
      <w:r>
        <w:rPr>
          <w:rFonts w:ascii="Calibri" w:hAnsi="Calibri"/>
          <w:color w:val="222222"/>
        </w:rPr>
        <w:t>Every substantive entry has a source or an explicit missingness code.</w:t>
      </w:r>
    </w:p>
    <w:p>
      <w:pPr>
        <w:numPr>
          <w:ilvl w:val="0"/>
          <w:numId w:val="32"/>
        </w:numPr>
        <w:spacing w:after="80" w:line="300" w:lineRule="auto"/>
      </w:pPr>
      <w:r>
        <w:rPr>
          <w:rFonts w:ascii="Calibri" w:hAnsi="Calibri"/>
          <w:color w:val="222222"/>
        </w:rPr>
        <w:t>Participant and sample counts are not conflated.</w:t>
      </w:r>
    </w:p>
    <w:p>
      <w:pPr>
        <w:numPr>
          <w:ilvl w:val="0"/>
          <w:numId w:val="32"/>
        </w:numPr>
        <w:spacing w:after="80" w:line="300" w:lineRule="auto"/>
      </w:pPr>
      <w:r>
        <w:rPr>
          <w:rFonts w:ascii="Calibri" w:hAnsi="Calibri"/>
          <w:color w:val="222222"/>
        </w:rPr>
        <w:t>Timepoints have physiological anchors or are flagged.</w:t>
      </w:r>
    </w:p>
    <w:p>
      <w:pPr>
        <w:numPr>
          <w:ilvl w:val="0"/>
          <w:numId w:val="32"/>
        </w:numPr>
        <w:spacing w:after="80" w:line="300" w:lineRule="auto"/>
      </w:pPr>
      <w:r>
        <w:rPr>
          <w:rFonts w:ascii="Calibri" w:hAnsi="Calibri"/>
          <w:color w:val="222222"/>
        </w:rPr>
        <w:t>Assay identifiers and units are recorded.</w:t>
      </w:r>
    </w:p>
    <w:p>
      <w:pPr>
        <w:numPr>
          <w:ilvl w:val="0"/>
          <w:numId w:val="32"/>
        </w:numPr>
        <w:spacing w:after="80" w:line="300" w:lineRule="auto"/>
      </w:pPr>
      <w:r>
        <w:rPr>
          <w:rFonts w:ascii="Calibri" w:hAnsi="Calibri"/>
          <w:color w:val="222222"/>
        </w:rPr>
        <w:t>At least one field is intentionally not harmonized.</w:t>
      </w:r>
    </w:p>
    <w:p>
      <w:pPr>
        <w:pStyle w:val="Heading2"/>
      </w:pPr>
      <w:r>
        <w:rPr>
          <w:rFonts w:ascii="Calibri" w:hAnsi="Calibri"/>
          <w:color w:val="222222"/>
        </w:rPr>
        <w:t>7. Interpretation guardrails</w:t>
      </w:r>
    </w:p>
    <w:p>
      <w:pPr>
        <w:numPr>
          <w:ilvl w:val="0"/>
          <w:numId w:val="33"/>
        </w:numPr>
        <w:spacing w:after="80" w:line="300" w:lineRule="auto"/>
      </w:pPr>
      <w:r>
        <w:rPr>
          <w:rFonts w:ascii="Calibri" w:hAnsi="Calibri"/>
          <w:color w:val="222222"/>
        </w:rPr>
        <w:t>A shared label is a hypothesis of equivalence, not proof.</w:t>
      </w:r>
    </w:p>
    <w:p>
      <w:pPr>
        <w:numPr>
          <w:ilvl w:val="0"/>
          <w:numId w:val="33"/>
        </w:numPr>
        <w:spacing w:after="80" w:line="300" w:lineRule="auto"/>
      </w:pPr>
      <w:r>
        <w:rPr>
          <w:rFonts w:ascii="Calibri" w:hAnsi="Calibri"/>
          <w:color w:val="222222"/>
        </w:rPr>
        <w:t>Missing metadata does not mean the protocols were identical.</w:t>
      </w:r>
    </w:p>
    <w:p>
      <w:pPr>
        <w:numPr>
          <w:ilvl w:val="0"/>
          <w:numId w:val="33"/>
        </w:numPr>
        <w:spacing w:after="80" w:line="300" w:lineRule="auto"/>
      </w:pPr>
      <w:r>
        <w:rPr>
          <w:rFonts w:ascii="Calibri" w:hAnsi="Calibri"/>
          <w:color w:val="222222"/>
        </w:rPr>
        <w:t>Recoding to a broader category trades detail for compatibility; document the loss.</w:t>
      </w:r>
    </w:p>
    <w:p>
      <w:pPr>
        <w:numPr>
          <w:ilvl w:val="0"/>
          <w:numId w:val="33"/>
        </w:numPr>
        <w:spacing w:after="80" w:line="300" w:lineRule="auto"/>
      </w:pPr>
      <w:r>
        <w:rPr>
          <w:rFonts w:ascii="Calibri" w:hAnsi="Calibri"/>
          <w:color w:val="222222"/>
        </w:rPr>
        <w:t>A crossover period, repeated sample, or technical replicate is not an independent participant.</w:t>
      </w:r>
    </w:p>
    <w:p>
      <w:pPr>
        <w:numPr>
          <w:ilvl w:val="0"/>
          <w:numId w:val="33"/>
        </w:numPr>
        <w:spacing w:after="80" w:line="300" w:lineRule="auto"/>
      </w:pPr>
      <w:r>
        <w:rPr>
          <w:rFonts w:ascii="Calibri" w:hAnsi="Calibri"/>
          <w:color w:val="222222"/>
        </w:rPr>
        <w:t>Do not use consortium documentation to fill gaps in a different MW study.</w:t>
      </w:r>
    </w:p>
    <w:p>
      <w:pPr>
        <w:numPr>
          <w:ilvl w:val="0"/>
          <w:numId w:val="33"/>
        </w:numPr>
        <w:spacing w:after="80" w:line="300" w:lineRule="auto"/>
      </w:pPr>
      <w:r>
        <w:rPr>
          <w:rFonts w:ascii="Calibri" w:hAnsi="Calibri"/>
          <w:color w:val="222222"/>
        </w:rPr>
        <w:t>Do not select only the metadata that support a desired integration.</w:t>
      </w:r>
    </w:p>
    <w:p>
      <w:pPr>
        <w:numPr>
          <w:ilvl w:val="0"/>
          <w:numId w:val="33"/>
        </w:numPr>
        <w:spacing w:after="80" w:line="300" w:lineRule="auto"/>
      </w:pPr>
      <w:r>
        <w:rPr>
          <w:rFonts w:ascii="Calibri" w:hAnsi="Calibri"/>
          <w:color w:val="222222"/>
        </w:rPr>
        <w:t>Record the analysis identifier because one accession may contain multiple assays.</w:t>
      </w:r>
    </w:p>
    <w:p>
      <w:pPr>
        <w:pStyle w:val="Heading2"/>
      </w:pPr>
      <w:r>
        <w:rPr>
          <w:rFonts w:ascii="Calibri" w:hAnsi="Calibri"/>
          <w:color w:val="222222"/>
        </w:rPr>
        <w:t>8. Knowledge check</w:t>
      </w:r>
    </w:p>
    <w:p>
      <w:r>
        <w:rPr>
          <w:rFonts w:ascii="Calibri" w:hAnsi="Calibri"/>
          <w:b/>
          <w:color w:val="222222"/>
        </w:rPr>
        <w:t>KC2-01.</w:t>
      </w:r>
      <w:r>
        <w:rPr>
          <w:rFonts w:ascii="Calibri" w:hAnsi="Calibri"/>
          <w:color w:val="222222"/>
        </w:rPr>
        <w:t xml:space="preserve"> One study records fasting duration in hours and another records only yes/no fasting status. For a binary fasted-versus-not-fasted description, how should the fields be classified?</w:t>
      </w:r>
    </w:p>
    <w:p>
      <w:r>
        <w:rPr>
          <w:rFonts w:ascii="Calibri" w:hAnsi="Calibri"/>
          <w:color w:val="222222"/>
        </w:rPr>
        <w:t>A. Directly comparable with no documentation.</w:t>
      </w:r>
    </w:p>
    <w:p>
      <w:r>
        <w:rPr>
          <w:rFonts w:ascii="Calibri" w:hAnsi="Calibri"/>
          <w:color w:val="222222"/>
        </w:rPr>
        <w:t>B. Partially comparable after a documented derivation and loss of detail.</w:t>
      </w:r>
    </w:p>
    <w:p>
      <w:r>
        <w:rPr>
          <w:rFonts w:ascii="Calibri" w:hAnsi="Calibri"/>
          <w:color w:val="222222"/>
        </w:rPr>
        <w:t>C. Not comparable for any purpose.</w:t>
      </w:r>
    </w:p>
    <w:p>
      <w:r>
        <w:rPr>
          <w:rFonts w:ascii="Calibri" w:hAnsi="Calibri"/>
          <w:color w:val="222222"/>
        </w:rPr>
        <w:t>D. Directly comparable for modeling fasting duration.</w:t>
      </w:r>
    </w:p>
    <w:p>
      <w:r>
        <w:rPr>
          <w:rFonts w:ascii="Calibri" w:hAnsi="Calibri"/>
          <w:b/>
          <w:color w:val="222222"/>
        </w:rPr>
        <w:t>KC2-02.</w:t>
      </w:r>
      <w:r>
        <w:rPr>
          <w:rFonts w:ascii="Calibri" w:hAnsi="Calibri"/>
          <w:color w:val="222222"/>
        </w:rPr>
        <w:t xml:space="preserve"> What is the best evidence that two rows at three timepoints come from the same participant?</w:t>
      </w:r>
    </w:p>
    <w:p>
      <w:r>
        <w:rPr>
          <w:rFonts w:ascii="Calibri" w:hAnsi="Calibri"/>
          <w:color w:val="222222"/>
        </w:rPr>
        <w:t>A. Similar metabolite profiles.</w:t>
      </w:r>
    </w:p>
    <w:p>
      <w:r>
        <w:rPr>
          <w:rFonts w:ascii="Calibri" w:hAnsi="Calibri"/>
          <w:color w:val="222222"/>
        </w:rPr>
        <w:t>B. Adjacent sample identifiers.</w:t>
      </w:r>
    </w:p>
    <w:p>
      <w:r>
        <w:rPr>
          <w:rFonts w:ascii="Calibri" w:hAnsi="Calibri"/>
          <w:color w:val="222222"/>
        </w:rPr>
        <w:t>C. A documented subject-sample relationship in the deposited metadata.</w:t>
      </w:r>
    </w:p>
    <w:p>
      <w:r>
        <w:rPr>
          <w:rFonts w:ascii="Calibri" w:hAnsi="Calibri"/>
          <w:color w:val="222222"/>
        </w:rPr>
        <w:t xml:space="preserve">D. The word </w:t>
      </w:r>
      <w:r>
        <w:rPr>
          <w:rFonts w:ascii="Consolas" w:hAnsi="Consolas"/>
          <w:color w:val="1F4D78"/>
          <w:sz w:val="21"/>
          <w:shd w:fill="EEF1F4"/>
        </w:rPr>
        <w:t>longitudinal</w:t>
      </w:r>
      <w:r>
        <w:rPr>
          <w:rFonts w:ascii="Calibri" w:hAnsi="Calibri"/>
          <w:color w:val="222222"/>
        </w:rPr>
        <w:t xml:space="preserve"> in the publication title.</w:t>
      </w:r>
    </w:p>
    <w:p>
      <w:r>
        <w:rPr>
          <w:rFonts w:ascii="Calibri" w:hAnsi="Calibri"/>
          <w:b/>
          <w:color w:val="222222"/>
        </w:rPr>
        <w:t>KC2-03.</w:t>
      </w:r>
      <w:r>
        <w:rPr>
          <w:rFonts w:ascii="Calibri" w:hAnsi="Calibri"/>
          <w:color w:val="222222"/>
        </w:rPr>
        <w:t xml:space="preserve"> Why is </w:t>
      </w:r>
      <w:r>
        <w:rPr>
          <w:rFonts w:ascii="Consolas" w:hAnsi="Consolas"/>
          <w:color w:val="1F4D78"/>
          <w:sz w:val="21"/>
          <w:shd w:fill="EEF1F4"/>
        </w:rPr>
        <w:t>post</w:t>
      </w:r>
      <w:r>
        <w:rPr>
          <w:rFonts w:ascii="Calibri" w:hAnsi="Calibri"/>
          <w:color w:val="222222"/>
        </w:rPr>
        <w:t xml:space="preserve"> insufficient as a harmonized timepoint?</w:t>
      </w:r>
    </w:p>
    <w:p>
      <w:r>
        <w:rPr>
          <w:rFonts w:ascii="Calibri" w:hAnsi="Calibri"/>
          <w:color w:val="222222"/>
        </w:rPr>
        <w:t>A. Post-intervention samples are never useful.</w:t>
      </w:r>
    </w:p>
    <w:p>
      <w:r>
        <w:rPr>
          <w:rFonts w:ascii="Calibri" w:hAnsi="Calibri"/>
          <w:color w:val="222222"/>
        </w:rPr>
        <w:t>B. It lacks an intervention anchor, offset, and physiological state.</w:t>
      </w:r>
    </w:p>
    <w:p>
      <w:r>
        <w:rPr>
          <w:rFonts w:ascii="Calibri" w:hAnsi="Calibri"/>
          <w:color w:val="222222"/>
        </w:rPr>
        <w:t>C. It cannot appear in mwTab.</w:t>
      </w:r>
    </w:p>
    <w:p>
      <w:r>
        <w:rPr>
          <w:rFonts w:ascii="Calibri" w:hAnsi="Calibri"/>
          <w:color w:val="222222"/>
        </w:rPr>
        <w:t>D. It always means immediate recovery.</w:t>
      </w:r>
    </w:p>
    <w:p>
      <w:pPr>
        <w:pStyle w:val="Heading2"/>
      </w:pPr>
      <w:r>
        <w:rPr>
          <w:rFonts w:ascii="Calibri" w:hAnsi="Calibri"/>
          <w:color w:val="222222"/>
        </w:rPr>
        <w:t>Take-home message</w:t>
      </w:r>
    </w:p>
    <w:p>
      <w:r>
        <w:rPr>
          <w:rFonts w:ascii="Calibri" w:hAnsi="Calibri"/>
          <w:color w:val="222222"/>
        </w:rPr>
        <w:t>Study comparison is a purpose-specific evidence exercise. Define the intended comparison, extract each record on its own terms, preserve protocol meaning, and classify compatibility with reasons. Only then should analyte-level harmonization begin.</w:t>
      </w:r>
    </w:p>
    <w:p>
      <w:pPr>
        <w:pStyle w:val="Heading2"/>
      </w:pPr>
      <w:r>
        <w:rPr>
          <w:rFonts w:ascii="Calibri" w:hAnsi="Calibri"/>
          <w:color w:val="222222"/>
        </w:rPr>
        <w:t>Primary sources and first-party documentation</w:t>
      </w:r>
    </w:p>
    <w:p>
      <w:pPr>
        <w:numPr>
          <w:ilvl w:val="0"/>
          <w:numId w:val="34"/>
        </w:numPr>
        <w:spacing w:after="80" w:line="300" w:lineRule="auto"/>
      </w:pPr>
      <w:r>
        <w:rPr>
          <w:rFonts w:ascii="Calibri" w:hAnsi="Calibri"/>
          <w:color w:val="222222"/>
        </w:rPr>
        <w:t xml:space="preserve">Metabolomics Workbench. </w:t>
      </w:r>
      <w:hyperlink r:id="rId12">
        <w:r>
          <w:rPr>
            <w:rFonts w:ascii="Calibri" w:hAnsi="Calibri"/>
            <w:color w:val="2E74B5"/>
            <w:u w:val="single"/>
            <w:sz w:val="22"/>
          </w:rPr>
          <w:t>mwTab file specification, version 1.7, and tutorials</w:t>
        </w:r>
      </w:hyperlink>
      <w:r>
        <w:rPr>
          <w:rFonts w:ascii="Calibri" w:hAnsi="Calibri"/>
          <w:color w:val="222222"/>
        </w:rPr>
        <w:t>. Accessed August 10, 2026.</w:t>
      </w:r>
    </w:p>
    <w:p>
      <w:pPr>
        <w:numPr>
          <w:ilvl w:val="0"/>
          <w:numId w:val="34"/>
        </w:numPr>
        <w:spacing w:after="80" w:line="300" w:lineRule="auto"/>
      </w:pPr>
      <w:r>
        <w:rPr>
          <w:rFonts w:ascii="Calibri" w:hAnsi="Calibri"/>
          <w:color w:val="222222"/>
        </w:rPr>
        <w:t xml:space="preserve">Metabolomics Workbench. </w:t>
      </w:r>
      <w:hyperlink r:id="rId11">
        <w:r>
          <w:rPr>
            <w:rFonts w:ascii="Calibri" w:hAnsi="Calibri"/>
            <w:color w:val="2E74B5"/>
            <w:u w:val="single"/>
            <w:sz w:val="22"/>
          </w:rPr>
          <w:t>REST study-context endpoints</w:t>
        </w:r>
      </w:hyperlink>
      <w:r>
        <w:rPr>
          <w:rFonts w:ascii="Calibri" w:hAnsi="Calibri"/>
          <w:color w:val="222222"/>
        </w:rPr>
        <w:t>. Accessed August 10, 2026.</w:t>
      </w:r>
    </w:p>
    <w:p>
      <w:pPr>
        <w:numPr>
          <w:ilvl w:val="0"/>
          <w:numId w:val="34"/>
        </w:numPr>
        <w:spacing w:after="80" w:line="300" w:lineRule="auto"/>
      </w:pPr>
      <w:r>
        <w:rPr>
          <w:rFonts w:ascii="Calibri" w:hAnsi="Calibri"/>
          <w:color w:val="222222"/>
        </w:rPr>
        <w:t xml:space="preserve">MoTrPAC Study Group, Jakicic JM, Kohrt WM, et al. </w:t>
      </w:r>
      <w:hyperlink r:id="rId19">
        <w:r>
          <w:rPr>
            <w:rFonts w:ascii="Calibri" w:hAnsi="Calibri"/>
            <w:color w:val="2E74B5"/>
            <w:u w:val="single"/>
            <w:sz w:val="22"/>
          </w:rPr>
          <w:t>Molecular Transducers of Physical Activity Consortium (MoTrPAC): human studies design and protocol</w:t>
        </w:r>
      </w:hyperlink>
      <w:r>
        <w:rPr>
          <w:rFonts w:ascii="Calibri" w:hAnsi="Calibri"/>
          <w:color w:val="222222"/>
        </w:rPr>
        <w:t xml:space="preserve">. </w:t>
      </w:r>
      <w:r>
        <w:rPr>
          <w:rFonts w:ascii="Calibri" w:hAnsi="Calibri"/>
          <w:i/>
          <w:color w:val="222222"/>
        </w:rPr>
        <w:t>Journal of Applied Physiology</w:t>
      </w:r>
      <w:r>
        <w:rPr>
          <w:rFonts w:ascii="Calibri" w:hAnsi="Calibri"/>
          <w:color w:val="222222"/>
        </w:rPr>
        <w:t>. 2024;137(3):473-493.</w:t>
      </w:r>
    </w:p>
    <w:p>
      <w:pPr>
        <w:numPr>
          <w:ilvl w:val="0"/>
          <w:numId w:val="34"/>
        </w:numPr>
        <w:spacing w:after="80" w:line="300" w:lineRule="auto"/>
      </w:pPr>
      <w:r>
        <w:rPr>
          <w:rFonts w:ascii="Calibri" w:hAnsi="Calibri"/>
          <w:color w:val="222222"/>
        </w:rPr>
        <w:t xml:space="preserve">MoTrPAC. </w:t>
      </w:r>
      <w:hyperlink r:id="rId20">
        <w:r>
          <w:rPr>
            <w:rFonts w:ascii="Calibri" w:hAnsi="Calibri"/>
            <w:color w:val="2E74B5"/>
            <w:u w:val="single"/>
            <w:sz w:val="22"/>
          </w:rPr>
          <w:t>Adult Study Protocol, version 3.0</w:t>
        </w:r>
      </w:hyperlink>
      <w:r>
        <w:rPr>
          <w:rFonts w:ascii="Calibri" w:hAnsi="Calibri"/>
          <w:color w:val="222222"/>
        </w:rPr>
        <w:t>. August 22, 2023.</w:t>
      </w:r>
    </w:p>
    <w:p>
      <w:pPr>
        <w:numPr>
          <w:ilvl w:val="0"/>
          <w:numId w:val="34"/>
        </w:numPr>
        <w:spacing w:after="80" w:line="300" w:lineRule="auto"/>
      </w:pPr>
      <w:r>
        <w:rPr>
          <w:rFonts w:ascii="Calibri" w:hAnsi="Calibri"/>
          <w:color w:val="222222"/>
        </w:rPr>
        <w:t xml:space="preserve">NIH Common Fund. </w:t>
      </w:r>
      <w:hyperlink r:id="rId21">
        <w:r>
          <w:rPr>
            <w:rFonts w:ascii="Calibri" w:hAnsi="Calibri"/>
            <w:color w:val="2E74B5"/>
            <w:u w:val="single"/>
            <w:sz w:val="22"/>
          </w:rPr>
          <w:t>Nutrition for Precision Health</w:t>
        </w:r>
      </w:hyperlink>
      <w:r>
        <w:rPr>
          <w:rFonts w:ascii="Calibri" w:hAnsi="Calibri"/>
          <w:color w:val="222222"/>
        </w:rPr>
        <w:t xml:space="preserve"> and </w:t>
      </w:r>
      <w:hyperlink r:id="rId17">
        <w:r>
          <w:rPr>
            <w:rFonts w:ascii="Calibri" w:hAnsi="Calibri"/>
            <w:color w:val="2E74B5"/>
            <w:u w:val="single"/>
            <w:sz w:val="22"/>
          </w:rPr>
          <w:t>program FAQ</w:t>
        </w:r>
      </w:hyperlink>
      <w:r>
        <w:rPr>
          <w:rFonts w:ascii="Calibri" w:hAnsi="Calibri"/>
          <w:color w:val="222222"/>
        </w:rPr>
        <w:t>. Accessed August 10, 2026.</w:t>
      </w:r>
    </w:p>
    <w:p>
      <w:pPr>
        <w:numPr>
          <w:ilvl w:val="0"/>
          <w:numId w:val="34"/>
        </w:numPr>
        <w:spacing w:after="80" w:line="300" w:lineRule="auto"/>
      </w:pPr>
      <w:r>
        <w:rPr>
          <w:rFonts w:ascii="Calibri" w:hAnsi="Calibri"/>
          <w:color w:val="222222"/>
        </w:rPr>
        <w:t xml:space="preserve">All of Us Research Program. </w:t>
      </w:r>
      <w:hyperlink r:id="rId22">
        <w:r>
          <w:rPr>
            <w:rFonts w:ascii="Calibri" w:hAnsi="Calibri"/>
            <w:color w:val="2E74B5"/>
            <w:u w:val="single"/>
            <w:sz w:val="22"/>
          </w:rPr>
          <w:t>Researcher Workbench</w:t>
        </w:r>
      </w:hyperlink>
      <w:r>
        <w:rPr>
          <w:rFonts w:ascii="Calibri" w:hAnsi="Calibri"/>
          <w:color w:val="222222"/>
        </w:rPr>
        <w:t>. Accessed August 10, 2026.</w:t>
      </w:r>
    </w:p>
    <w:p>
      <w:r>
        <w:br w:type="page"/>
      </w:r>
    </w:p>
    <w:p>
      <w:pPr>
        <w:pStyle w:val="Heading1"/>
      </w:pPr>
      <w:r>
        <w:rPr>
          <w:rFonts w:ascii="Calibri" w:hAnsi="Calibri"/>
          <w:color w:val="222222"/>
        </w:rPr>
        <w:t>Lesson 3 - Harmonizing metabolomics and metadata</w:t>
      </w:r>
    </w:p>
    <w:p>
      <w:r>
        <w:rPr>
          <w:rFonts w:ascii="Calibri" w:hAnsi="Calibri"/>
          <w:b/>
          <w:color w:val="222222"/>
        </w:rPr>
        <w:t>Estimated time:</w:t>
      </w:r>
      <w:r>
        <w:rPr>
          <w:rFonts w:ascii="Calibri" w:hAnsi="Calibri"/>
          <w:color w:val="222222"/>
        </w:rPr>
        <w:t xml:space="preserve"> 35 minutes</w:t>
      </w:r>
    </w:p>
    <w:p>
      <w:r>
        <w:rPr>
          <w:rFonts w:ascii="Calibri" w:hAnsi="Calibri"/>
          <w:b/>
          <w:color w:val="222222"/>
        </w:rPr>
        <w:t>Bloom level:</w:t>
      </w:r>
      <w:r>
        <w:rPr>
          <w:rFonts w:ascii="Calibri" w:hAnsi="Calibri"/>
          <w:color w:val="222222"/>
        </w:rPr>
        <w:t xml:space="preserve"> Apply</w:t>
      </w:r>
    </w:p>
    <w:p>
      <w:r>
        <w:rPr>
          <w:rFonts w:ascii="Calibri" w:hAnsi="Calibri"/>
          <w:b/>
          <w:color w:val="222222"/>
        </w:rPr>
        <w:t>Module objectives addressed:</w:t>
      </w:r>
      <w:r>
        <w:rPr>
          <w:rFonts w:ascii="Calibri" w:hAnsi="Calibri"/>
          <w:color w:val="222222"/>
        </w:rPr>
        <w:t xml:space="preserve"> LO2, LO3</w:t>
      </w:r>
    </w:p>
    <w:p>
      <w:pPr>
        <w:pStyle w:val="Heading2"/>
      </w:pPr>
      <w:r>
        <w:rPr>
          <w:rFonts w:ascii="Calibri" w:hAnsi="Calibri"/>
          <w:color w:val="222222"/>
        </w:rPr>
        <w:t>Learning objectives</w:t>
      </w:r>
    </w:p>
    <w:p>
      <w:r>
        <w:rPr>
          <w:rFonts w:ascii="Calibri" w:hAnsi="Calibri"/>
          <w:color w:val="222222"/>
        </w:rPr>
        <w:t>By the end of this lesson, you will be able to:</w:t>
      </w:r>
    </w:p>
    <w:p>
      <w:pPr>
        <w:numPr>
          <w:ilvl w:val="0"/>
          <w:numId w:val="35"/>
        </w:numPr>
        <w:spacing w:after="80" w:line="300" w:lineRule="auto"/>
      </w:pPr>
      <w:r>
        <w:rPr>
          <w:rFonts w:ascii="Calibri" w:hAnsi="Calibri"/>
          <w:color w:val="222222"/>
        </w:rPr>
        <w:t>Build a provenance-preserving crosswalk from submitted metabolite labels to RefMet candidates.</w:t>
      </w:r>
    </w:p>
    <w:p>
      <w:pPr>
        <w:numPr>
          <w:ilvl w:val="0"/>
          <w:numId w:val="35"/>
        </w:numPr>
        <w:spacing w:after="80" w:line="300" w:lineRule="auto"/>
      </w:pPr>
      <w:r>
        <w:rPr>
          <w:rFonts w:ascii="Calibri" w:hAnsi="Calibri"/>
          <w:color w:val="222222"/>
        </w:rPr>
        <w:t>Distinguish a naming match from evidence of chemical identification and analytical equivalence.</w:t>
      </w:r>
    </w:p>
    <w:p>
      <w:pPr>
        <w:numPr>
          <w:ilvl w:val="0"/>
          <w:numId w:val="35"/>
        </w:numPr>
        <w:spacing w:after="80" w:line="300" w:lineRule="auto"/>
      </w:pPr>
      <w:r>
        <w:rPr>
          <w:rFonts w:ascii="Calibri" w:hAnsi="Calibri"/>
          <w:color w:val="222222"/>
        </w:rPr>
        <w:t>Align specimen, timepoint, variable, and unit metadata without concealing information loss.</w:t>
      </w:r>
    </w:p>
    <w:p>
      <w:pPr>
        <w:numPr>
          <w:ilvl w:val="0"/>
          <w:numId w:val="35"/>
        </w:numPr>
        <w:spacing w:after="80" w:line="300" w:lineRule="auto"/>
      </w:pPr>
      <w:r>
        <w:rPr>
          <w:rFonts w:ascii="Calibri" w:hAnsi="Calibri"/>
          <w:color w:val="222222"/>
        </w:rPr>
        <w:t>Flag ambiguous or unresolved mappings instead of forcing a one-to-one result.</w:t>
      </w:r>
    </w:p>
    <w:p>
      <w:pPr>
        <w:numPr>
          <w:ilvl w:val="0"/>
          <w:numId w:val="35"/>
        </w:numPr>
        <w:spacing w:after="80" w:line="300" w:lineRule="auto"/>
      </w:pPr>
      <w:r>
        <w:rPr>
          <w:rFonts w:ascii="Calibri" w:hAnsi="Calibri"/>
          <w:color w:val="222222"/>
        </w:rPr>
        <w:t>Evaluate whether a crosswalk is reproducible enough for downstream use.</w:t>
      </w:r>
    </w:p>
    <w:p>
      <w:r>
        <w:rPr>
          <w:rFonts w:ascii="Calibri" w:hAnsi="Calibri"/>
          <w:color w:val="222222"/>
        </w:rPr>
        <w:t xml:space="preserve">The locked configuration is </w:t>
      </w:r>
      <w:r>
        <w:rPr>
          <w:rFonts w:ascii="Consolas" w:hAnsi="Consolas"/>
          <w:color w:val="1F4D78"/>
          <w:sz w:val="21"/>
          <w:shd w:fill="EEF1F4"/>
        </w:rPr>
        <w:t>DIET_ACCESSION = ST001521</w:t>
      </w:r>
      <w:r>
        <w:rPr>
          <w:rFonts w:ascii="Calibri" w:hAnsi="Calibri"/>
          <w:color w:val="222222"/>
        </w:rPr>
        <w:t xml:space="preserve"> and </w:t>
      </w:r>
      <w:r>
        <w:rPr>
          <w:rFonts w:ascii="Consolas" w:hAnsi="Consolas"/>
          <w:color w:val="1F4D78"/>
          <w:sz w:val="21"/>
          <w:shd w:fill="EEF1F4"/>
        </w:rPr>
        <w:t>EXERCISE_ACCESSION = ST003348</w:t>
      </w:r>
      <w:r>
        <w:rPr>
          <w:rFonts w:ascii="Calibri" w:hAnsi="Calibri"/>
          <w:color w:val="222222"/>
        </w:rPr>
        <w:t>. Continue using the variable names in the crosswalk so the source accession remains explicit and a fallback pair can be substituted transparently.</w:t>
      </w:r>
    </w:p>
    <w:p>
      <w:pPr>
        <w:pStyle w:val="Heading2"/>
      </w:pPr>
      <w:r>
        <w:rPr>
          <w:rFonts w:ascii="Calibri" w:hAnsi="Calibri"/>
          <w:color w:val="222222"/>
        </w:rPr>
        <w:t>Lesson map</w:t>
      </w:r>
    </w:p>
    <w:tbl>
      <w:tblPr>
        <w:tblStyle w:val="TableGrid"/>
        <w:tblW w:type="dxa" w:w="9360"/>
        <w:jc w:val="left"/>
        <w:tblLayout w:type="fixed"/>
        <w:tblLook w:firstColumn="1" w:firstRow="1" w:lastColumn="0" w:lastRow="0" w:noHBand="0" w:noVBand="1" w:val="04A0"/>
        <w:tblInd w:w="120" w:type="dxa"/>
      </w:tblPr>
      <w:tblGrid>
        <w:gridCol w:w="6622"/>
        <w:gridCol w:w="2738"/>
      </w:tblGrid>
      <w:tr>
        <w:trPr>
          <w:cantSplit w:val="true"/>
          <w:tblHeader w:val="true"/>
        </w:trPr>
        <w:tc>
          <w:tcPr>
            <w:tcW w:type="dxa" w:w="662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Activity</w:t>
            </w:r>
          </w:p>
        </w:tc>
        <w:tc>
          <w:tcPr>
            <w:tcW w:type="dxa" w:w="273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Minutes</w:t>
            </w:r>
          </w:p>
        </w:tc>
      </w:tr>
      <w:tr>
        <w:trPr>
          <w:cantSplit w:val="true"/>
        </w:trPr>
        <w:tc>
          <w:tcPr>
            <w:tcW w:type="dxa" w:w="662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Identifier problem and RefMet</w:t>
            </w:r>
          </w:p>
        </w:tc>
        <w:tc>
          <w:tcPr>
            <w:tcW w:type="dxa" w:w="273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8</w:t>
            </w:r>
          </w:p>
        </w:tc>
      </w:tr>
      <w:tr>
        <w:trPr>
          <w:cantSplit w:val="true"/>
        </w:trPr>
        <w:tc>
          <w:tcPr>
            <w:tcW w:type="dxa" w:w="662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mwTab and provenance</w:t>
            </w:r>
          </w:p>
        </w:tc>
        <w:tc>
          <w:tcPr>
            <w:tcW w:type="dxa" w:w="273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w:t>
            </w:r>
          </w:p>
        </w:tc>
      </w:tr>
      <w:tr>
        <w:trPr>
          <w:cantSplit w:val="true"/>
        </w:trPr>
        <w:tc>
          <w:tcPr>
            <w:tcW w:type="dxa" w:w="662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Specimen, time, variables, and units</w:t>
            </w:r>
          </w:p>
        </w:tc>
        <w:tc>
          <w:tcPr>
            <w:tcW w:type="dxa" w:w="273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7</w:t>
            </w:r>
          </w:p>
        </w:tc>
      </w:tr>
      <w:tr>
        <w:trPr>
          <w:cantSplit w:val="true"/>
        </w:trPr>
        <w:tc>
          <w:tcPr>
            <w:tcW w:type="dxa" w:w="662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Crosswalk activity</w:t>
            </w:r>
          </w:p>
        </w:tc>
        <w:tc>
          <w:tcPr>
            <w:tcW w:type="dxa" w:w="273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12</w:t>
            </w:r>
          </w:p>
        </w:tc>
      </w:tr>
      <w:tr>
        <w:trPr>
          <w:cantSplit w:val="true"/>
        </w:trPr>
        <w:tc>
          <w:tcPr>
            <w:tcW w:type="dxa" w:w="662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Knowledge check</w:t>
            </w:r>
          </w:p>
        </w:tc>
        <w:tc>
          <w:tcPr>
            <w:tcW w:type="dxa" w:w="273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bl>
    <w:p>
      <w:pPr>
        <w:spacing w:before="0" w:after="40"/>
      </w:pPr>
    </w:p>
    <w:p>
      <w:pPr>
        <w:spacing w:before="100" w:after="120"/>
        <w:ind w:left="259" w:right="115"/>
        <w:shd w:fill="F4F6F9"/>
        <w:pBdr>
          <w:left w:val="single" w:sz="16" w:space="8" w:color="2E74B5"/>
        </w:pBdr>
      </w:pPr>
      <w:r>
        <w:rPr>
          <w:rFonts w:ascii="Calibri" w:hAnsi="Calibri"/>
          <w:b/>
          <w:color w:val="1F4D78"/>
        </w:rPr>
        <w:t>Notebook connection - `NB-L3`.</w:t>
      </w:r>
      <w:r>
        <w:rPr>
          <w:rFonts w:ascii="Calibri" w:hAnsi="Calibri"/>
          <w:color w:val="1F4D78"/>
        </w:rPr>
        <w:t xml:space="preserve"> Open </w:t>
      </w:r>
      <w:r>
        <w:rPr>
          <w:rFonts w:ascii="Calibri" w:hAnsi="Calibri"/>
          <w:b/>
          <w:color w:val="1F4D78"/>
        </w:rPr>
        <w:t>Lesson 3 - Harmonizing metabolomics and metadata (`NB-L3`)</w:t>
      </w:r>
      <w:r>
        <w:rPr>
          <w:rFonts w:ascii="Calibri" w:hAnsi="Calibri"/>
          <w:color w:val="1F4D78"/>
        </w:rPr>
        <w:t xml:space="preserve"> in </w:t>
      </w:r>
      <w:r>
        <w:rPr>
          <w:rFonts w:ascii="Consolas" w:hAnsi="Consolas"/>
          <w:color w:val="1F4D78"/>
          <w:sz w:val="21"/>
          <w:shd w:fill="EEF1F4"/>
        </w:rPr>
        <w:t>module/notebooks/metabo_diet_harmonization.ipynb</w:t>
      </w:r>
      <w:r>
        <w:rPr>
          <w:rFonts w:ascii="Calibri" w:hAnsi="Calibri"/>
          <w:color w:val="1F4D78"/>
        </w:rPr>
        <w:t xml:space="preserve">. Run </w:t>
      </w:r>
      <w:r>
        <w:rPr>
          <w:rFonts w:ascii="Consolas" w:hAnsi="Consolas"/>
          <w:color w:val="1F4D78"/>
          <w:sz w:val="21"/>
          <w:shd w:fill="EEF1F4"/>
        </w:rPr>
        <w:t>NB-L3-CROSSWALK</w:t>
      </w:r>
      <w:r>
        <w:rPr>
          <w:rFonts w:ascii="Calibri" w:hAnsi="Calibri"/>
          <w:color w:val="1F4D78"/>
        </w:rPr>
        <w:t xml:space="preserve">, inspect the labeled-standard audit, and confirm the 153 raw and 145 conservative counts. In the learner-edit cell, trace one retained RefMet name to both studies and record the mapping evidence and limitation in the crosswalk worksheet before continuing to </w:t>
      </w:r>
      <w:r>
        <w:rPr>
          <w:rFonts w:ascii="Consolas" w:hAnsi="Consolas"/>
          <w:color w:val="1F4D78"/>
          <w:sz w:val="21"/>
          <w:shd w:fill="EEF1F4"/>
        </w:rPr>
        <w:t>NB-L4</w:t>
      </w:r>
      <w:r>
        <w:rPr>
          <w:rFonts w:ascii="Calibri" w:hAnsi="Calibri"/>
          <w:color w:val="1F4D78"/>
        </w:rPr>
        <w:t>.</w:t>
      </w:r>
    </w:p>
    <w:p>
      <w:pPr>
        <w:pStyle w:val="Heading2"/>
      </w:pPr>
      <w:r>
        <w:rPr>
          <w:rFonts w:ascii="Calibri" w:hAnsi="Calibri"/>
          <w:color w:val="222222"/>
        </w:rPr>
        <w:t>1. Identifier systems answer different questions</w:t>
      </w:r>
    </w:p>
    <w:p>
      <w:r>
        <w:rPr>
          <w:rFonts w:ascii="Calibri" w:hAnsi="Calibri"/>
          <w:color w:val="222222"/>
        </w:rPr>
        <w:t>Metabolomics records can contain common names, vendor labels, abbreviations, database identifiers, formulas, masses, or structural keys. These are not interchangeable fields.</w:t>
      </w:r>
    </w:p>
    <w:tbl>
      <w:tblPr>
        <w:tblStyle w:val="TableGrid"/>
        <w:tblW w:type="dxa" w:w="9360"/>
        <w:jc w:val="left"/>
        <w:tblLayout w:type="fixed"/>
        <w:tblLook w:firstColumn="1" w:firstRow="1" w:lastColumn="0" w:lastRow="0" w:noHBand="0" w:noVBand="1" w:val="04A0"/>
        <w:tblInd w:w="120" w:type="dxa"/>
      </w:tblPr>
      <w:tblGrid>
        <w:gridCol w:w="2291"/>
        <w:gridCol w:w="3534"/>
        <w:gridCol w:w="3535"/>
      </w:tblGrid>
      <w:tr>
        <w:trPr>
          <w:cantSplit w:val="true"/>
          <w:tblHeader w:val="true"/>
        </w:trPr>
        <w:tc>
          <w:tcPr>
            <w:tcW w:type="dxa" w:w="229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Field</w:t>
            </w:r>
          </w:p>
        </w:tc>
        <w:tc>
          <w:tcPr>
            <w:tcW w:type="dxa" w:w="353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What it can help represent</w:t>
            </w:r>
          </w:p>
        </w:tc>
        <w:tc>
          <w:tcPr>
            <w:tcW w:type="dxa" w:w="353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Important limitation</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Submitted name</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What the depositor reported</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Synonyms, punctuation, adducts, and uncertain annotation can vary</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RefMet name</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Standardized analytical-chemistry nomenclature for a structure or metabolite species</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 name match does not prove the underlying feature identification or equal structural resolution</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InChIKey</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Hash derived from a chemical structure representation</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Layers encode different degrees of specificity; salts, protonation, tautomer, and stereochemical representation can differ</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PubChem CID</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Record identifier in PubChem</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Different records may reflect different forms or levels of structural detail</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HMDB ID</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Record identifier in the Human Metabolome Database</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Coverage and record relationships differ from other resources</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KEGG compound ID</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Identifier in KEGG's compound representation</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Useful for pathway linking but not a universal metabolite identity key</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Formula or exact mass</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Composition or mass evidence</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Isomers can share formula or mass; mass alone is not an identification</w:t>
            </w:r>
          </w:p>
        </w:tc>
      </w:tr>
    </w:tbl>
    <w:p>
      <w:pPr>
        <w:spacing w:before="0" w:after="40"/>
      </w:pPr>
    </w:p>
    <w:p>
      <w:r>
        <w:rPr>
          <w:rFonts w:ascii="Calibri" w:hAnsi="Calibri"/>
          <w:color w:val="222222"/>
        </w:rPr>
        <w:t xml:space="preserve">RefMet is the module's </w:t>
      </w:r>
      <w:r>
        <w:rPr>
          <w:rFonts w:ascii="Calibri" w:hAnsi="Calibri"/>
          <w:b/>
          <w:color w:val="222222"/>
        </w:rPr>
        <w:t>nomenclature spine</w:t>
      </w:r>
      <w:r>
        <w:rPr>
          <w:rFonts w:ascii="Calibri" w:hAnsi="Calibri"/>
          <w:color w:val="222222"/>
        </w:rPr>
        <w:t xml:space="preserve"> because it is designed for metabolomics naming and includes both discrete structures and analytically reported species, including lipid sum compositions. The spine metaphor matters: it organizes the crosswalk while the original labels and other identifiers remain attached. It should not replace all evidence with a single clean-looking name.</w:t>
      </w:r>
    </w:p>
    <w:p>
      <w:pPr>
        <w:pStyle w:val="Heading2"/>
      </w:pPr>
      <w:r>
        <w:rPr>
          <w:rFonts w:ascii="Calibri" w:hAnsi="Calibri"/>
          <w:color w:val="222222"/>
        </w:rPr>
        <w:t>2. Annotation resolution must be preserved</w:t>
      </w:r>
    </w:p>
    <w:p>
      <w:r>
        <w:rPr>
          <w:rFonts w:ascii="Calibri" w:hAnsi="Calibri"/>
          <w:color w:val="222222"/>
        </w:rPr>
        <w:t xml:space="preserve">Suppose one study reports </w:t>
      </w:r>
      <w:r>
        <w:rPr>
          <w:rFonts w:ascii="Consolas" w:hAnsi="Consolas"/>
          <w:color w:val="1F4D78"/>
          <w:sz w:val="21"/>
          <w:shd w:fill="EEF1F4"/>
        </w:rPr>
        <w:t>PC 34:1</w:t>
      </w:r>
      <w:r>
        <w:rPr>
          <w:rFonts w:ascii="Calibri" w:hAnsi="Calibri"/>
          <w:color w:val="222222"/>
        </w:rPr>
        <w:t xml:space="preserve"> and another reports a phosphatidylcholine with two specified acyl chains. Even if a database relationship connects them, the annotations have different structural resolution. Collapsing both to the more specific structure would manufacture information. Collapsing to a broader class may be defensible for a class-level presence summary, but that is a derived analysis decision that must be recorded.</w:t>
      </w:r>
    </w:p>
    <w:p>
      <w:r>
        <w:rPr>
          <w:rFonts w:ascii="Calibri" w:hAnsi="Calibri"/>
          <w:color w:val="222222"/>
        </w:rPr>
        <w:t xml:space="preserve">For each candidate match, record an </w:t>
      </w:r>
      <w:r>
        <w:rPr>
          <w:rFonts w:ascii="Calibri" w:hAnsi="Calibri"/>
          <w:b/>
          <w:color w:val="222222"/>
        </w:rPr>
        <w:t>annotation-resolution status</w:t>
      </w:r>
      <w:r>
        <w:rPr>
          <w:rFonts w:ascii="Calibri" w:hAnsi="Calibri"/>
          <w:color w:val="222222"/>
        </w:rPr>
        <w:t xml:space="preserve"> such as:</w:t>
      </w:r>
    </w:p>
    <w:p>
      <w:pPr>
        <w:numPr>
          <w:ilvl w:val="0"/>
          <w:numId w:val="36"/>
        </w:numPr>
        <w:spacing w:after="80" w:line="300" w:lineRule="auto"/>
      </w:pPr>
      <w:r>
        <w:rPr>
          <w:rFonts w:ascii="Consolas" w:hAnsi="Consolas"/>
          <w:color w:val="1F4D78"/>
          <w:sz w:val="21"/>
          <w:shd w:fill="EEF1F4"/>
        </w:rPr>
        <w:t>discrete_structure</w:t>
      </w:r>
    </w:p>
    <w:p>
      <w:pPr>
        <w:numPr>
          <w:ilvl w:val="0"/>
          <w:numId w:val="36"/>
        </w:numPr>
        <w:spacing w:after="80" w:line="300" w:lineRule="auto"/>
      </w:pPr>
      <w:r>
        <w:rPr>
          <w:rFonts w:ascii="Consolas" w:hAnsi="Consolas"/>
          <w:color w:val="1F4D78"/>
          <w:sz w:val="21"/>
          <w:shd w:fill="EEF1F4"/>
        </w:rPr>
        <w:t>stereochemistry_unspecified</w:t>
      </w:r>
    </w:p>
    <w:p>
      <w:pPr>
        <w:numPr>
          <w:ilvl w:val="0"/>
          <w:numId w:val="36"/>
        </w:numPr>
        <w:spacing w:after="80" w:line="300" w:lineRule="auto"/>
      </w:pPr>
      <w:r>
        <w:rPr>
          <w:rFonts w:ascii="Consolas" w:hAnsi="Consolas"/>
          <w:color w:val="1F4D78"/>
          <w:sz w:val="21"/>
          <w:shd w:fill="EEF1F4"/>
        </w:rPr>
        <w:t>lipid_molecular_species</w:t>
      </w:r>
    </w:p>
    <w:p>
      <w:pPr>
        <w:numPr>
          <w:ilvl w:val="0"/>
          <w:numId w:val="36"/>
        </w:numPr>
        <w:spacing w:after="80" w:line="300" w:lineRule="auto"/>
      </w:pPr>
      <w:r>
        <w:rPr>
          <w:rFonts w:ascii="Consolas" w:hAnsi="Consolas"/>
          <w:color w:val="1F4D78"/>
          <w:sz w:val="21"/>
          <w:shd w:fill="EEF1F4"/>
        </w:rPr>
        <w:t>lipid_sum_composition</w:t>
      </w:r>
    </w:p>
    <w:p>
      <w:pPr>
        <w:numPr>
          <w:ilvl w:val="0"/>
          <w:numId w:val="36"/>
        </w:numPr>
        <w:spacing w:after="80" w:line="300" w:lineRule="auto"/>
      </w:pPr>
      <w:r>
        <w:rPr>
          <w:rFonts w:ascii="Consolas" w:hAnsi="Consolas"/>
          <w:color w:val="1F4D78"/>
          <w:sz w:val="21"/>
          <w:shd w:fill="EEF1F4"/>
        </w:rPr>
        <w:t>compound_class_only</w:t>
      </w:r>
    </w:p>
    <w:p>
      <w:pPr>
        <w:numPr>
          <w:ilvl w:val="0"/>
          <w:numId w:val="36"/>
        </w:numPr>
        <w:spacing w:after="80" w:line="300" w:lineRule="auto"/>
      </w:pPr>
      <w:r>
        <w:rPr>
          <w:rFonts w:ascii="Consolas" w:hAnsi="Consolas"/>
          <w:color w:val="1F4D78"/>
          <w:sz w:val="21"/>
          <w:shd w:fill="EEF1F4"/>
        </w:rPr>
        <w:t>unknown</w:t>
      </w:r>
    </w:p>
    <w:p>
      <w:r>
        <w:rPr>
          <w:rFonts w:ascii="Calibri" w:hAnsi="Calibri"/>
          <w:color w:val="222222"/>
        </w:rPr>
        <w:t>Also record the identification evidence reported by the study when available. The Metabolomics Standards Initiative distinguishes levels of identification confidence; a standardized label does not upgrade that confidence.</w:t>
      </w:r>
    </w:p>
    <w:p>
      <w:pPr>
        <w:spacing w:before="100" w:after="120"/>
        <w:ind w:left="259" w:right="115"/>
        <w:shd w:fill="F4F6F9"/>
        <w:pBdr>
          <w:left w:val="single" w:sz="16" w:space="8" w:color="2E74B5"/>
        </w:pBdr>
      </w:pPr>
      <w:r>
        <w:rPr>
          <w:rFonts w:ascii="Calibri" w:hAnsi="Calibri"/>
          <w:b/>
          <w:color w:val="1F4D78"/>
        </w:rPr>
        <w:t>Core guardrail:</w:t>
      </w:r>
      <w:r>
        <w:rPr>
          <w:rFonts w:ascii="Calibri" w:hAnsi="Calibri"/>
          <w:color w:val="1F4D78"/>
        </w:rPr>
        <w:t xml:space="preserve"> Normalize a label only to the level supported by the deposited analytical evidence. Never infer a specific isomer, stereoisomer, lipid chain arrangement, or identification level from a fuzzy name match.</w:t>
      </w:r>
    </w:p>
    <w:p>
      <w:pPr>
        <w:pStyle w:val="Heading2"/>
      </w:pPr>
      <w:r>
        <w:rPr>
          <w:rFonts w:ascii="Calibri" w:hAnsi="Calibri"/>
          <w:color w:val="222222"/>
        </w:rPr>
        <w:t>3. A reproducible mapping workflow</w:t>
      </w:r>
    </w:p>
    <w:p>
      <w:r>
        <w:rPr>
          <w:rFonts w:ascii="Calibri" w:hAnsi="Calibri"/>
          <w:color w:val="222222"/>
        </w:rPr>
        <w:t>Use the following sequence for every distinct submitted analyte label.</w:t>
      </w:r>
    </w:p>
    <w:p>
      <w:pPr>
        <w:pStyle w:val="Heading3"/>
      </w:pPr>
      <w:r>
        <w:rPr>
          <w:rFonts w:ascii="Calibri" w:hAnsi="Calibri"/>
          <w:color w:val="222222"/>
        </w:rPr>
        <w:t>Step 1 - Preserve source identity</w:t>
      </w:r>
    </w:p>
    <w:p>
      <w:r>
        <w:rPr>
          <w:rFonts w:ascii="Calibri" w:hAnsi="Calibri"/>
          <w:color w:val="222222"/>
        </w:rPr>
        <w:t>Record:</w:t>
      </w:r>
    </w:p>
    <w:p>
      <w:pPr>
        <w:numPr>
          <w:ilvl w:val="0"/>
          <w:numId w:val="37"/>
        </w:numPr>
        <w:spacing w:after="80" w:line="300" w:lineRule="auto"/>
      </w:pPr>
      <w:r>
        <w:rPr>
          <w:rFonts w:ascii="Calibri" w:hAnsi="Calibri"/>
          <w:color w:val="222222"/>
        </w:rPr>
        <w:t xml:space="preserve">Study accession: </w:t>
      </w:r>
      <w:r>
        <w:rPr>
          <w:rFonts w:ascii="Consolas" w:hAnsi="Consolas"/>
          <w:color w:val="1F4D78"/>
          <w:sz w:val="21"/>
          <w:shd w:fill="EEF1F4"/>
        </w:rPr>
        <w:t>DIET_ACCESSION</w:t>
      </w:r>
      <w:r>
        <w:rPr>
          <w:rFonts w:ascii="Calibri" w:hAnsi="Calibri"/>
          <w:color w:val="222222"/>
        </w:rPr>
        <w:t xml:space="preserve"> or </w:t>
      </w:r>
      <w:r>
        <w:rPr>
          <w:rFonts w:ascii="Consolas" w:hAnsi="Consolas"/>
          <w:color w:val="1F4D78"/>
          <w:sz w:val="21"/>
          <w:shd w:fill="EEF1F4"/>
        </w:rPr>
        <w:t>EXERCISE_ACCESSION</w:t>
      </w:r>
      <w:r>
        <w:rPr>
          <w:rFonts w:ascii="Calibri" w:hAnsi="Calibri"/>
          <w:color w:val="222222"/>
        </w:rPr>
        <w:t>, resolved in the release manifest.</w:t>
      </w:r>
    </w:p>
    <w:p>
      <w:pPr>
        <w:numPr>
          <w:ilvl w:val="0"/>
          <w:numId w:val="37"/>
        </w:numPr>
        <w:spacing w:after="80" w:line="300" w:lineRule="auto"/>
      </w:pPr>
      <w:r>
        <w:rPr>
          <w:rFonts w:ascii="Calibri" w:hAnsi="Calibri"/>
          <w:color w:val="222222"/>
        </w:rPr>
        <w:t>Analysis identifier.</w:t>
      </w:r>
    </w:p>
    <w:p>
      <w:pPr>
        <w:numPr>
          <w:ilvl w:val="0"/>
          <w:numId w:val="37"/>
        </w:numPr>
        <w:spacing w:after="80" w:line="300" w:lineRule="auto"/>
      </w:pPr>
      <w:r>
        <w:rPr>
          <w:rFonts w:ascii="Calibri" w:hAnsi="Calibri"/>
          <w:color w:val="222222"/>
        </w:rPr>
        <w:t>Original analyte label exactly as deposited.</w:t>
      </w:r>
    </w:p>
    <w:p>
      <w:pPr>
        <w:numPr>
          <w:ilvl w:val="0"/>
          <w:numId w:val="37"/>
        </w:numPr>
        <w:spacing w:after="80" w:line="300" w:lineRule="auto"/>
      </w:pPr>
      <w:r>
        <w:rPr>
          <w:rFonts w:ascii="Calibri" w:hAnsi="Calibri"/>
          <w:color w:val="222222"/>
        </w:rPr>
        <w:t>Original metabolite or feature identifier.</w:t>
      </w:r>
    </w:p>
    <w:p>
      <w:pPr>
        <w:numPr>
          <w:ilvl w:val="0"/>
          <w:numId w:val="37"/>
        </w:numPr>
        <w:spacing w:after="80" w:line="300" w:lineRule="auto"/>
      </w:pPr>
      <w:r>
        <w:rPr>
          <w:rFonts w:ascii="Calibri" w:hAnsi="Calibri"/>
          <w:color w:val="222222"/>
        </w:rPr>
        <w:t>Original database identifiers and units.</w:t>
      </w:r>
    </w:p>
    <w:p>
      <w:pPr>
        <w:numPr>
          <w:ilvl w:val="0"/>
          <w:numId w:val="37"/>
        </w:numPr>
        <w:spacing w:after="80" w:line="300" w:lineRule="auto"/>
      </w:pPr>
      <w:r>
        <w:rPr>
          <w:rFonts w:ascii="Calibri" w:hAnsi="Calibri"/>
          <w:color w:val="222222"/>
        </w:rPr>
        <w:t>Source endpoint, retrieval timestamp, and source-table location.</w:t>
      </w:r>
    </w:p>
    <w:p>
      <w:r>
        <w:rPr>
          <w:rFonts w:ascii="Calibri" w:hAnsi="Calibri"/>
          <w:color w:val="222222"/>
        </w:rPr>
        <w:t>Never overwrite the original label.</w:t>
      </w:r>
    </w:p>
    <w:p>
      <w:pPr>
        <w:pStyle w:val="Heading3"/>
      </w:pPr>
      <w:r>
        <w:rPr>
          <w:rFonts w:ascii="Calibri" w:hAnsi="Calibri"/>
          <w:color w:val="222222"/>
        </w:rPr>
        <w:t>Step 2 - Apply transparent normalization for lookup</w:t>
      </w:r>
    </w:p>
    <w:p>
      <w:r>
        <w:rPr>
          <w:rFonts w:ascii="Calibri" w:hAnsi="Calibri"/>
          <w:color w:val="222222"/>
        </w:rPr>
        <w:t>Create a separate lookup string. Permissible preprocessing may include trimming whitespace or standardizing obvious delimiter characters. Record each transformation. Do not remove stereochemical markers, lipid chain details, charge, adduct, isotope label, or derivatization information merely to obtain a match.</w:t>
      </w:r>
    </w:p>
    <w:p>
      <w:pPr>
        <w:pStyle w:val="Heading3"/>
      </w:pPr>
      <w:r>
        <w:rPr>
          <w:rFonts w:ascii="Calibri" w:hAnsi="Calibri"/>
          <w:color w:val="222222"/>
        </w:rPr>
        <w:t>Step 3 - Query RefMet</w:t>
      </w:r>
    </w:p>
    <w:p>
      <w:r>
        <w:rPr>
          <w:rFonts w:ascii="Calibri" w:hAnsi="Calibri"/>
          <w:color w:val="222222"/>
        </w:rPr>
        <w:t>The documented REST pattern for matching a name is:</w:t>
      </w:r>
    </w:p>
    <w:p>
      <w:pPr>
        <w:spacing w:before="0" w:after="0" w:line="240" w:lineRule="auto"/>
        <w:ind w:left="259" w:right="72"/>
        <w:shd w:fill="F3F5F7"/>
        <w:pBdr>
          <w:left w:val="single" w:sz="16" w:space="8" w:color="B8C3CC"/>
        </w:pBdr>
      </w:pPr>
      <w:r>
        <w:rPr>
          <w:rFonts w:ascii="Consolas" w:hAnsi="Consolas"/>
          <w:color w:val="24313B"/>
          <w:sz w:val="16"/>
        </w:rPr>
        <w:t>https://www.metabolomicsworkbench.org/rest/refmet/match/{URL_ENCODED_NAME}/name/</w:t>
      </w:r>
    </w:p>
    <w:p>
      <w:r>
        <w:rPr>
          <w:rFonts w:ascii="Calibri" w:hAnsi="Calibri"/>
          <w:color w:val="222222"/>
        </w:rPr>
        <w:t>The exact response must be captured by the module notebook. A manual web conversion is acceptable for a small exercise, but record the query date and string.</w:t>
      </w:r>
    </w:p>
    <w:p>
      <w:pPr>
        <w:pStyle w:val="Heading3"/>
      </w:pPr>
      <w:r>
        <w:rPr>
          <w:rFonts w:ascii="Calibri" w:hAnsi="Calibri"/>
          <w:color w:val="222222"/>
        </w:rPr>
        <w:t>Step 4 - Validate the candidate</w:t>
      </w:r>
    </w:p>
    <w:p>
      <w:r>
        <w:rPr>
          <w:rFonts w:ascii="Calibri" w:hAnsi="Calibri"/>
          <w:color w:val="222222"/>
        </w:rPr>
        <w:t>Compare all available evidence:</w:t>
      </w:r>
    </w:p>
    <w:p>
      <w:pPr>
        <w:numPr>
          <w:ilvl w:val="0"/>
          <w:numId w:val="38"/>
        </w:numPr>
        <w:spacing w:after="80" w:line="300" w:lineRule="auto"/>
      </w:pPr>
      <w:r>
        <w:rPr>
          <w:rFonts w:ascii="Calibri" w:hAnsi="Calibri"/>
          <w:color w:val="222222"/>
        </w:rPr>
        <w:t>Submitted and standardized names.</w:t>
      </w:r>
    </w:p>
    <w:p>
      <w:pPr>
        <w:numPr>
          <w:ilvl w:val="0"/>
          <w:numId w:val="38"/>
        </w:numPr>
        <w:spacing w:after="80" w:line="300" w:lineRule="auto"/>
      </w:pPr>
      <w:r>
        <w:rPr>
          <w:rFonts w:ascii="Calibri" w:hAnsi="Calibri"/>
          <w:color w:val="222222"/>
        </w:rPr>
        <w:t>Formula and mass.</w:t>
      </w:r>
    </w:p>
    <w:p>
      <w:pPr>
        <w:numPr>
          <w:ilvl w:val="0"/>
          <w:numId w:val="38"/>
        </w:numPr>
        <w:spacing w:after="80" w:line="300" w:lineRule="auto"/>
      </w:pPr>
      <w:r>
        <w:rPr>
          <w:rFonts w:ascii="Calibri" w:hAnsi="Calibri"/>
          <w:color w:val="222222"/>
        </w:rPr>
        <w:t>InChIKey or external IDs.</w:t>
      </w:r>
    </w:p>
    <w:p>
      <w:pPr>
        <w:numPr>
          <w:ilvl w:val="0"/>
          <w:numId w:val="38"/>
        </w:numPr>
        <w:spacing w:after="80" w:line="300" w:lineRule="auto"/>
      </w:pPr>
      <w:r>
        <w:rPr>
          <w:rFonts w:ascii="Calibri" w:hAnsi="Calibri"/>
          <w:color w:val="222222"/>
        </w:rPr>
        <w:t>Annotation resolution.</w:t>
      </w:r>
    </w:p>
    <w:p>
      <w:pPr>
        <w:numPr>
          <w:ilvl w:val="0"/>
          <w:numId w:val="38"/>
        </w:numPr>
        <w:spacing w:after="80" w:line="300" w:lineRule="auto"/>
      </w:pPr>
      <w:r>
        <w:rPr>
          <w:rFonts w:ascii="Calibri" w:hAnsi="Calibri"/>
          <w:color w:val="222222"/>
        </w:rPr>
        <w:t>Analytical method and identification evidence.</w:t>
      </w:r>
    </w:p>
    <w:p>
      <w:pPr>
        <w:numPr>
          <w:ilvl w:val="0"/>
          <w:numId w:val="38"/>
        </w:numPr>
        <w:spacing w:after="80" w:line="300" w:lineRule="auto"/>
      </w:pPr>
      <w:r>
        <w:rPr>
          <w:rFonts w:ascii="Calibri" w:hAnsi="Calibri"/>
          <w:color w:val="222222"/>
        </w:rPr>
        <w:t>Whether the candidate represents an adduct, derivative, isotope-labeled standard, or unresolved mixture.</w:t>
      </w:r>
    </w:p>
    <w:p>
      <w:r>
        <w:rPr>
          <w:rFonts w:ascii="Calibri" w:hAnsi="Calibri"/>
          <w:color w:val="222222"/>
        </w:rPr>
        <w:t>The absence of a contradiction is not proof of identity. Use the confidence and decision fields.</w:t>
      </w:r>
    </w:p>
    <w:p>
      <w:pPr>
        <w:pStyle w:val="Heading3"/>
      </w:pPr>
      <w:r>
        <w:rPr>
          <w:rFonts w:ascii="Calibri" w:hAnsi="Calibri"/>
          <w:color w:val="222222"/>
        </w:rPr>
        <w:t>Step 5 - Assign mapping status</w:t>
      </w:r>
    </w:p>
    <w:p>
      <w:r>
        <w:rPr>
          <w:rFonts w:ascii="Calibri" w:hAnsi="Calibri"/>
          <w:color w:val="222222"/>
        </w:rPr>
        <w:t>Recommended statuses are:</w:t>
      </w:r>
    </w:p>
    <w:p>
      <w:pPr>
        <w:numPr>
          <w:ilvl w:val="0"/>
          <w:numId w:val="39"/>
        </w:numPr>
        <w:spacing w:after="80" w:line="300" w:lineRule="auto"/>
      </w:pPr>
      <w:r>
        <w:rPr>
          <w:rFonts w:ascii="Consolas" w:hAnsi="Consolas"/>
          <w:color w:val="1F4D78"/>
          <w:sz w:val="21"/>
          <w:shd w:fill="EEF1F4"/>
        </w:rPr>
        <w:t>accepted_exact</w:t>
      </w:r>
      <w:r>
        <w:rPr>
          <w:rFonts w:ascii="Calibri" w:hAnsi="Calibri"/>
          <w:color w:val="222222"/>
        </w:rPr>
        <w:t>: evidence supports the same standardized name and resolution.</w:t>
      </w:r>
    </w:p>
    <w:p>
      <w:pPr>
        <w:numPr>
          <w:ilvl w:val="0"/>
          <w:numId w:val="39"/>
        </w:numPr>
        <w:spacing w:after="80" w:line="300" w:lineRule="auto"/>
      </w:pPr>
      <w:r>
        <w:rPr>
          <w:rFonts w:ascii="Consolas" w:hAnsi="Consolas"/>
          <w:color w:val="1F4D78"/>
          <w:sz w:val="21"/>
          <w:shd w:fill="EEF1F4"/>
        </w:rPr>
        <w:t>accepted_broader</w:t>
      </w:r>
      <w:r>
        <w:rPr>
          <w:rFonts w:ascii="Calibri" w:hAnsi="Calibri"/>
          <w:color w:val="222222"/>
        </w:rPr>
        <w:t>: a broader representation is intentionally used for a stated analysis.</w:t>
      </w:r>
    </w:p>
    <w:p>
      <w:pPr>
        <w:numPr>
          <w:ilvl w:val="0"/>
          <w:numId w:val="39"/>
        </w:numPr>
        <w:spacing w:after="80" w:line="300" w:lineRule="auto"/>
      </w:pPr>
      <w:r>
        <w:rPr>
          <w:rFonts w:ascii="Consolas" w:hAnsi="Consolas"/>
          <w:color w:val="1F4D78"/>
          <w:sz w:val="21"/>
          <w:shd w:fill="EEF1F4"/>
        </w:rPr>
        <w:t>review_required</w:t>
      </w:r>
      <w:r>
        <w:rPr>
          <w:rFonts w:ascii="Calibri" w:hAnsi="Calibri"/>
          <w:color w:val="222222"/>
        </w:rPr>
        <w:t>: more than one candidate or conflicting evidence remains.</w:t>
      </w:r>
    </w:p>
    <w:p>
      <w:pPr>
        <w:numPr>
          <w:ilvl w:val="0"/>
          <w:numId w:val="39"/>
        </w:numPr>
        <w:spacing w:after="80" w:line="300" w:lineRule="auto"/>
      </w:pPr>
      <w:r>
        <w:rPr>
          <w:rFonts w:ascii="Consolas" w:hAnsi="Consolas"/>
          <w:color w:val="1F4D78"/>
          <w:sz w:val="21"/>
          <w:shd w:fill="EEF1F4"/>
        </w:rPr>
        <w:t>unmapped</w:t>
      </w:r>
      <w:r>
        <w:rPr>
          <w:rFonts w:ascii="Calibri" w:hAnsi="Calibri"/>
          <w:color w:val="222222"/>
        </w:rPr>
        <w:t>: no supported RefMet candidate was found.</w:t>
      </w:r>
    </w:p>
    <w:p>
      <w:pPr>
        <w:numPr>
          <w:ilvl w:val="0"/>
          <w:numId w:val="39"/>
        </w:numPr>
        <w:spacing w:after="80" w:line="300" w:lineRule="auto"/>
      </w:pPr>
      <w:r>
        <w:rPr>
          <w:rFonts w:ascii="Consolas" w:hAnsi="Consolas"/>
          <w:color w:val="1F4D78"/>
          <w:sz w:val="21"/>
          <w:shd w:fill="EEF1F4"/>
        </w:rPr>
        <w:t>excluded_nonbiological</w:t>
      </w:r>
      <w:r>
        <w:rPr>
          <w:rFonts w:ascii="Calibri" w:hAnsi="Calibri"/>
          <w:color w:val="222222"/>
        </w:rPr>
        <w:t>: internal standard, contaminant, adduct-only label, or other intentionally excluded feature, with a reason.</w:t>
      </w:r>
    </w:p>
    <w:p>
      <w:pPr>
        <w:numPr>
          <w:ilvl w:val="0"/>
          <w:numId w:val="39"/>
        </w:numPr>
        <w:spacing w:after="80" w:line="300" w:lineRule="auto"/>
      </w:pPr>
      <w:r>
        <w:rPr>
          <w:rFonts w:ascii="Consolas" w:hAnsi="Consolas"/>
          <w:color w:val="1F4D78"/>
          <w:sz w:val="21"/>
          <w:shd w:fill="EEF1F4"/>
        </w:rPr>
        <w:t>not_evaluated</w:t>
      </w:r>
      <w:r>
        <w:rPr>
          <w:rFonts w:ascii="Calibri" w:hAnsi="Calibri"/>
          <w:color w:val="222222"/>
        </w:rPr>
        <w:t>: mapping has not been reviewed.</w:t>
      </w:r>
    </w:p>
    <w:p>
      <w:r>
        <w:rPr>
          <w:rFonts w:ascii="Calibri" w:hAnsi="Calibri"/>
          <w:color w:val="222222"/>
        </w:rPr>
        <w:t xml:space="preserve">Automated output should begin as </w:t>
      </w:r>
      <w:r>
        <w:rPr>
          <w:rFonts w:ascii="Consolas" w:hAnsi="Consolas"/>
          <w:color w:val="1F4D78"/>
          <w:sz w:val="21"/>
          <w:shd w:fill="EEF1F4"/>
        </w:rPr>
        <w:t>not_evaluated</w:t>
      </w:r>
      <w:r>
        <w:rPr>
          <w:rFonts w:ascii="Calibri" w:hAnsi="Calibri"/>
          <w:color w:val="222222"/>
        </w:rPr>
        <w:t xml:space="preserve"> or </w:t>
      </w:r>
      <w:r>
        <w:rPr>
          <w:rFonts w:ascii="Consolas" w:hAnsi="Consolas"/>
          <w:color w:val="1F4D78"/>
          <w:sz w:val="21"/>
          <w:shd w:fill="EEF1F4"/>
        </w:rPr>
        <w:t>review_required</w:t>
      </w:r>
      <w:r>
        <w:rPr>
          <w:rFonts w:ascii="Calibri" w:hAnsi="Calibri"/>
          <w:color w:val="222222"/>
        </w:rPr>
        <w:t xml:space="preserve">, not </w:t>
      </w:r>
      <w:r>
        <w:rPr>
          <w:rFonts w:ascii="Consolas" w:hAnsi="Consolas"/>
          <w:color w:val="1F4D78"/>
          <w:sz w:val="21"/>
          <w:shd w:fill="EEF1F4"/>
        </w:rPr>
        <w:t>accepted_exact</w:t>
      </w:r>
      <w:r>
        <w:rPr>
          <w:rFonts w:ascii="Calibri" w:hAnsi="Calibri"/>
          <w:color w:val="222222"/>
        </w:rPr>
        <w:t>, unless the validation rule and evidence are explicit.</w:t>
      </w:r>
    </w:p>
    <w:p>
      <w:pPr>
        <w:pStyle w:val="Heading3"/>
      </w:pPr>
      <w:r>
        <w:rPr>
          <w:rFonts w:ascii="Calibri" w:hAnsi="Calibri"/>
          <w:color w:val="222222"/>
        </w:rPr>
        <w:t>Step 6 - Preserve the decision</w:t>
      </w:r>
    </w:p>
    <w:p>
      <w:r>
        <w:rPr>
          <w:rFonts w:ascii="Calibri" w:hAnsi="Calibri"/>
          <w:color w:val="222222"/>
        </w:rPr>
        <w:t>Record reviewer, date, rule or evidence, decision reason, and downstream eligibility. If a decision changes, append a new record or version the table; do not erase the earlier rationale.</w:t>
      </w:r>
    </w:p>
    <w:p>
      <w:pPr>
        <w:pStyle w:val="Heading3"/>
      </w:pPr>
      <w:r>
        <w:rPr>
          <w:rFonts w:ascii="Calibri" w:hAnsi="Calibri"/>
          <w:color w:val="222222"/>
        </w:rPr>
        <w:t>Accessible description of the mapping workflow</w:t>
      </w:r>
    </w:p>
    <w:p>
      <w:r>
        <w:rPr>
          <w:rFonts w:ascii="Calibri" w:hAnsi="Calibri"/>
          <w:color w:val="222222"/>
        </w:rPr>
        <w:t>Imagine a six-column ledger read from left to right. The deposited feature and exact label stay fixed in the first column. A separate lookup string and RefMet response occupy the next two columns. Evidence and annotation resolution appear in the fourth column. A human or versioned rule records an accepted, broader, review-required, unmapped, or excluded decision in the fifth. The final column contains separate yes/no/review flags for exact-name overlap, class summary, within-study analysis, and cross-study analysis. Arrows never replace the first column; they add traceable decisions beside it.</w:t>
      </w:r>
    </w:p>
    <w:p>
      <w:pPr>
        <w:pStyle w:val="Heading2"/>
      </w:pPr>
      <w:r>
        <w:rPr>
          <w:rFonts w:ascii="Calibri" w:hAnsi="Calibri"/>
          <w:color w:val="222222"/>
        </w:rPr>
        <w:t>4. Worked mapping example</w:t>
      </w:r>
    </w:p>
    <w:p>
      <w:r>
        <w:rPr>
          <w:rFonts w:ascii="Calibri" w:hAnsi="Calibri"/>
          <w:color w:val="222222"/>
        </w:rPr>
        <w:t>These source and RefMet strings appear in the current public metabolite responses. The review decisions are instructional and must be regenerated if the repository record changes.</w:t>
      </w:r>
    </w:p>
    <w:tbl>
      <w:tblPr>
        <w:tblStyle w:val="TableGrid"/>
        <w:tblW w:type="dxa" w:w="9360"/>
        <w:jc w:val="left"/>
        <w:tblLayout w:type="fixed"/>
        <w:tblLook w:firstColumn="1" w:firstRow="1" w:lastColumn="0" w:lastRow="0" w:noHBand="0" w:noVBand="1" w:val="04A0"/>
        <w:tblInd w:w="120" w:type="dxa"/>
      </w:tblPr>
      <w:tblGrid>
        <w:gridCol w:w="1663"/>
        <w:gridCol w:w="1587"/>
        <w:gridCol w:w="1561"/>
        <w:gridCol w:w="2274"/>
        <w:gridCol w:w="2275"/>
      </w:tblGrid>
      <w:tr>
        <w:trPr>
          <w:cantSplit w:val="true"/>
          <w:tblHeader w:val="true"/>
        </w:trPr>
        <w:tc>
          <w:tcPr>
            <w:tcW w:type="dxa" w:w="166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Source/analysis</w:t>
            </w:r>
          </w:p>
        </w:tc>
        <w:tc>
          <w:tcPr>
            <w:tcW w:type="dxa" w:w="158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Deposited label</w:t>
            </w:r>
          </w:p>
        </w:tc>
        <w:tc>
          <w:tcPr>
            <w:tcW w:type="dxa" w:w="156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Source RefMet string</w:t>
            </w:r>
          </w:p>
        </w:tc>
        <w:tc>
          <w:tcPr>
            <w:tcW w:type="dxa" w:w="227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Evidence question</w:t>
            </w:r>
          </w:p>
        </w:tc>
        <w:tc>
          <w:tcPr>
            <w:tcW w:type="dxa" w:w="227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Safe decision</w:t>
            </w:r>
          </w:p>
        </w:tc>
      </w:tr>
      <w:tr>
        <w:trPr>
          <w:cantSplit w:val="true"/>
        </w:trPr>
        <w:tc>
          <w:tcPr>
            <w:tcW w:type="dxa" w:w="1663"/>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DIET_ACCESSION</w:t>
            </w:r>
            <w:r>
              <w:rPr>
                <w:rFonts w:ascii="Calibri" w:hAnsi="Calibri"/>
                <w:color w:val="222222"/>
                <w:sz w:val="16"/>
              </w:rPr>
              <w:t>, AN002533</w:t>
            </w:r>
          </w:p>
        </w:tc>
        <w:tc>
          <w:tcPr>
            <w:tcW w:type="dxa" w:w="1587"/>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2-Aminooctanoic acid</w:t>
            </w:r>
          </w:p>
        </w:tc>
        <w:tc>
          <w:tcPr>
            <w:tcW w:type="dxa" w:w="1561"/>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2-Aminocaprylic acid</w:t>
            </w:r>
          </w:p>
        </w:tc>
        <w:tc>
          <w:tcPr>
            <w:tcW w:type="dxa" w:w="227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Do synonym and identifier evidence support the same structure?</w:t>
            </w:r>
          </w:p>
        </w:tc>
        <w:tc>
          <w:tcPr>
            <w:tcW w:type="dxa" w:w="2275"/>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review_required</w:t>
            </w:r>
            <w:r>
              <w:rPr>
                <w:rFonts w:ascii="Calibri" w:hAnsi="Calibri"/>
                <w:color w:val="222222"/>
                <w:sz w:val="16"/>
              </w:rPr>
              <w:t xml:space="preserve">, then potentially </w:t>
            </w:r>
            <w:r>
              <w:rPr>
                <w:rFonts w:ascii="Consolas" w:hAnsi="Consolas"/>
                <w:color w:val="1F4D78"/>
                <w:sz w:val="15"/>
                <w:shd w:fill="EEF1F4"/>
              </w:rPr>
              <w:t>accepted_exact</w:t>
            </w:r>
          </w:p>
        </w:tc>
      </w:tr>
      <w:tr>
        <w:trPr>
          <w:cantSplit w:val="true"/>
        </w:trPr>
        <w:tc>
          <w:tcPr>
            <w:tcW w:type="dxa" w:w="1663"/>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DIET_ACCESSION</w:t>
            </w:r>
            <w:r>
              <w:rPr>
                <w:rFonts w:ascii="Calibri" w:hAnsi="Calibri"/>
                <w:color w:val="222222"/>
                <w:sz w:val="16"/>
              </w:rPr>
              <w:t>, AN002533</w:t>
            </w:r>
          </w:p>
        </w:tc>
        <w:tc>
          <w:tcPr>
            <w:tcW w:type="dxa" w:w="1587"/>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LPE(18:0)_A</w:t>
            </w:r>
          </w:p>
        </w:tc>
        <w:tc>
          <w:tcPr>
            <w:tcW w:type="dxa" w:w="1561"/>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LPE 18:0</w:t>
            </w:r>
          </w:p>
        </w:tc>
        <w:tc>
          <w:tcPr>
            <w:tcW w:type="dxa" w:w="227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Does </w:t>
            </w:r>
            <w:r>
              <w:rPr>
                <w:rFonts w:ascii="Consolas" w:hAnsi="Consolas"/>
                <w:color w:val="1F4D78"/>
                <w:sz w:val="15"/>
                <w:shd w:fill="EEF1F4"/>
              </w:rPr>
              <w:t>_A</w:t>
            </w:r>
            <w:r>
              <w:rPr>
                <w:rFonts w:ascii="Calibri" w:hAnsi="Calibri"/>
                <w:color w:val="222222"/>
                <w:sz w:val="16"/>
              </w:rPr>
              <w:t xml:space="preserve"> distinguish a separate source feature, and is sum composition the supported resolution?</w:t>
            </w:r>
          </w:p>
        </w:tc>
        <w:tc>
          <w:tcPr>
            <w:tcW w:type="dxa" w:w="227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Preserve feature; accepted set key only after review</w:t>
            </w:r>
          </w:p>
        </w:tc>
      </w:tr>
      <w:tr>
        <w:trPr>
          <w:cantSplit w:val="true"/>
        </w:trPr>
        <w:tc>
          <w:tcPr>
            <w:tcW w:type="dxa" w:w="1663"/>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DIET_ACCESSION</w:t>
            </w:r>
            <w:r>
              <w:rPr>
                <w:rFonts w:ascii="Calibri" w:hAnsi="Calibri"/>
                <w:color w:val="222222"/>
                <w:sz w:val="16"/>
              </w:rPr>
              <w:t>, AN002533</w:t>
            </w:r>
          </w:p>
        </w:tc>
        <w:tc>
          <w:tcPr>
            <w:tcW w:type="dxa" w:w="1587"/>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LPC(P-18:0)/LPC(O-18:1)_A</w:t>
            </w:r>
          </w:p>
        </w:tc>
        <w:tc>
          <w:tcPr>
            <w:tcW w:type="dxa" w:w="1561"/>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LPC P-18:0 or LPC O-18:1</w:t>
            </w:r>
          </w:p>
        </w:tc>
        <w:tc>
          <w:tcPr>
            <w:tcW w:type="dxa" w:w="227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the unresolved ether-lipid alternative preserved?</w:t>
            </w:r>
          </w:p>
        </w:tc>
        <w:tc>
          <w:tcPr>
            <w:tcW w:type="dxa" w:w="2275"/>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accepted_broader</w:t>
            </w:r>
            <w:r>
              <w:rPr>
                <w:rFonts w:ascii="Calibri" w:hAnsi="Calibri"/>
                <w:color w:val="222222"/>
                <w:sz w:val="16"/>
              </w:rPr>
              <w:t xml:space="preserve"> for class/species purposes, not a unique structure</w:t>
            </w:r>
          </w:p>
        </w:tc>
      </w:tr>
      <w:tr>
        <w:trPr>
          <w:cantSplit w:val="true"/>
        </w:trPr>
        <w:tc>
          <w:tcPr>
            <w:tcW w:type="dxa" w:w="1663"/>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EXERCISE_ACCESSION</w:t>
            </w:r>
            <w:r>
              <w:rPr>
                <w:rFonts w:ascii="Calibri" w:hAnsi="Calibri"/>
                <w:color w:val="222222"/>
                <w:sz w:val="16"/>
              </w:rPr>
              <w:t>, AN005484</w:t>
            </w:r>
          </w:p>
        </w:tc>
        <w:tc>
          <w:tcPr>
            <w:tcW w:type="dxa" w:w="1587"/>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Mannitol+Sorbitol</w:t>
            </w:r>
          </w:p>
        </w:tc>
        <w:tc>
          <w:tcPr>
            <w:tcW w:type="dxa" w:w="1561"/>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Mannitol</w:t>
            </w:r>
          </w:p>
        </w:tc>
        <w:tc>
          <w:tcPr>
            <w:tcW w:type="dxa" w:w="227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Has a composite/isomeric label been narrowed without support?</w:t>
            </w:r>
          </w:p>
        </w:tc>
        <w:tc>
          <w:tcPr>
            <w:tcW w:type="dxa" w:w="2275"/>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review_required</w:t>
            </w:r>
          </w:p>
        </w:tc>
      </w:tr>
      <w:tr>
        <w:trPr>
          <w:cantSplit w:val="true"/>
        </w:trPr>
        <w:tc>
          <w:tcPr>
            <w:tcW w:type="dxa" w:w="1663"/>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EXERCISE_ACCESSION</w:t>
            </w:r>
            <w:r>
              <w:rPr>
                <w:rFonts w:ascii="Calibri" w:hAnsi="Calibri"/>
                <w:color w:val="222222"/>
                <w:sz w:val="16"/>
              </w:rPr>
              <w:t>, AN005484</w:t>
            </w:r>
          </w:p>
        </w:tc>
        <w:tc>
          <w:tcPr>
            <w:tcW w:type="dxa" w:w="1587"/>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NegX-RT295MZ165</w:t>
            </w:r>
          </w:p>
        </w:tc>
        <w:tc>
          <w:tcPr>
            <w:tcW w:type="dxa" w:w="156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blank</w:t>
            </w:r>
          </w:p>
        </w:tc>
        <w:tc>
          <w:tcPr>
            <w:tcW w:type="dxa" w:w="227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this an unidentified feature?</w:t>
            </w:r>
          </w:p>
        </w:tc>
        <w:tc>
          <w:tcPr>
            <w:tcW w:type="dxa" w:w="2275"/>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unmapped</w:t>
            </w:r>
            <w:r>
              <w:rPr>
                <w:rFonts w:ascii="Calibri" w:hAnsi="Calibri"/>
                <w:color w:val="222222"/>
                <w:sz w:val="16"/>
              </w:rPr>
              <w:t>; do not name from mass alone</w:t>
            </w:r>
          </w:p>
        </w:tc>
      </w:tr>
      <w:tr>
        <w:trPr>
          <w:cantSplit w:val="true"/>
        </w:trPr>
        <w:tc>
          <w:tcPr>
            <w:tcW w:type="dxa" w:w="1663"/>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EXERCISE_ACCESSION</w:t>
            </w:r>
            <w:r>
              <w:rPr>
                <w:rFonts w:ascii="Calibri" w:hAnsi="Calibri"/>
                <w:color w:val="222222"/>
                <w:sz w:val="16"/>
              </w:rPr>
              <w:t>, AN005484</w:t>
            </w:r>
          </w:p>
        </w:tc>
        <w:tc>
          <w:tcPr>
            <w:tcW w:type="dxa" w:w="1587"/>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Palmitic acid-[13C]16</w:t>
            </w:r>
          </w:p>
        </w:tc>
        <w:tc>
          <w:tcPr>
            <w:tcW w:type="dxa" w:w="1561"/>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Palmitic acid</w:t>
            </w:r>
          </w:p>
        </w:tc>
        <w:tc>
          <w:tcPr>
            <w:tcW w:type="dxa" w:w="227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the source an isotope-labeled analytical standard rather than endogenous palmitic acid?</w:t>
            </w:r>
          </w:p>
        </w:tc>
        <w:tc>
          <w:tcPr>
            <w:tcW w:type="dxa" w:w="2275"/>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excluded_nonbiological</w:t>
            </w:r>
            <w:r>
              <w:rPr>
                <w:rFonts w:ascii="Calibri" w:hAnsi="Calibri"/>
                <w:color w:val="222222"/>
                <w:sz w:val="16"/>
              </w:rPr>
              <w:t xml:space="preserve"> for biological overlap</w:t>
            </w:r>
          </w:p>
        </w:tc>
      </w:tr>
    </w:tbl>
    <w:p>
      <w:pPr>
        <w:spacing w:before="0" w:after="40"/>
      </w:pPr>
    </w:p>
    <w:p>
      <w:r>
        <w:rPr>
          <w:rFonts w:ascii="Calibri" w:hAnsi="Calibri"/>
          <w:color w:val="222222"/>
        </w:rPr>
        <w:t xml:space="preserve">The last row shows why a nonblank standardized field is not automatically eligible. In the audited build, eight </w:t>
      </w:r>
      <w:r>
        <w:rPr>
          <w:rFonts w:ascii="Consolas" w:hAnsi="Consolas"/>
          <w:color w:val="1F4D78"/>
          <w:sz w:val="21"/>
          <w:shd w:fill="EEF1F4"/>
        </w:rPr>
        <w:t>ST003348</w:t>
      </w:r>
      <w:r>
        <w:rPr>
          <w:rFonts w:ascii="Calibri" w:hAnsi="Calibri"/>
          <w:color w:val="222222"/>
        </w:rPr>
        <w:t xml:space="preserve"> isotope/internal-standard rows map to ordinary RefMet labels; excluding them reduces the raw exact-name overlap from 153 to a conservative biological overlap of 145.</w:t>
      </w:r>
    </w:p>
    <w:p>
      <w:pPr>
        <w:pStyle w:val="Heading2"/>
      </w:pPr>
      <w:r>
        <w:rPr>
          <w:rFonts w:ascii="Calibri" w:hAnsi="Calibri"/>
          <w:color w:val="222222"/>
        </w:rPr>
        <w:t>5. mwTab as an evidence map</w:t>
      </w:r>
    </w:p>
    <w:p>
      <w:r>
        <w:rPr>
          <w:rFonts w:ascii="Calibri" w:hAnsi="Calibri"/>
          <w:color w:val="222222"/>
        </w:rPr>
        <w:t>An mwTab record is sectioned rather than a single flat data frame. Typical content includes project and study descriptions; subject and sample factors; collection and sample-preparation protocols; chromatography and instrument metadata; and a metabolite-data block. Presence and completeness vary by record and analysis.</w:t>
      </w:r>
    </w:p>
    <w:p>
      <w:r>
        <w:rPr>
          <w:rFonts w:ascii="Calibri" w:hAnsi="Calibri"/>
          <w:color w:val="222222"/>
        </w:rPr>
        <w:t>For the configured studies, retrieve at least the following after substituting each variable's locked value:</w:t>
      </w:r>
    </w:p>
    <w:p>
      <w:pPr>
        <w:spacing w:before="0" w:after="0" w:line="240" w:lineRule="auto"/>
        <w:ind w:left="259" w:right="72"/>
        <w:shd w:fill="F3F5F7"/>
        <w:pBdr>
          <w:left w:val="single" w:sz="16" w:space="8" w:color="B8C3CC"/>
        </w:pBdr>
      </w:pPr>
      <w:r>
        <w:rPr>
          <w:rFonts w:ascii="Consolas" w:hAnsi="Consolas"/>
          <w:color w:val="24313B"/>
          <w:sz w:val="16"/>
        </w:rPr>
        <w:t>/rest/study/study_id/{DIET_ACCESSION}/summary</w:t>
      </w:r>
    </w:p>
    <w:p>
      <w:pPr>
        <w:spacing w:before="0" w:after="0" w:line="240" w:lineRule="auto"/>
        <w:ind w:left="259" w:right="72"/>
        <w:shd w:fill="F3F5F7"/>
        <w:pBdr>
          <w:left w:val="single" w:sz="16" w:space="8" w:color="B8C3CC"/>
        </w:pBdr>
      </w:pPr>
      <w:r>
        <w:rPr>
          <w:rFonts w:ascii="Consolas" w:hAnsi="Consolas"/>
          <w:color w:val="24313B"/>
          <w:sz w:val="16"/>
        </w:rPr>
        <w:t>/rest/study/study_id/{DIET_ACCESSION}/factors</w:t>
      </w:r>
    </w:p>
    <w:p>
      <w:pPr>
        <w:spacing w:before="0" w:after="0" w:line="240" w:lineRule="auto"/>
        <w:ind w:left="259" w:right="72"/>
        <w:shd w:fill="F3F5F7"/>
        <w:pBdr>
          <w:left w:val="single" w:sz="16" w:space="8" w:color="B8C3CC"/>
        </w:pBdr>
      </w:pPr>
      <w:r>
        <w:rPr>
          <w:rFonts w:ascii="Consolas" w:hAnsi="Consolas"/>
          <w:color w:val="24313B"/>
          <w:sz w:val="16"/>
        </w:rPr>
        <w:t>/rest/study/study_id/{DIET_ACCESSION}/analysis</w:t>
      </w:r>
    </w:p>
    <w:p>
      <w:pPr>
        <w:spacing w:before="0" w:after="0" w:line="240" w:lineRule="auto"/>
        <w:ind w:left="259" w:right="72"/>
        <w:shd w:fill="F3F5F7"/>
        <w:pBdr>
          <w:left w:val="single" w:sz="16" w:space="8" w:color="B8C3CC"/>
        </w:pBdr>
      </w:pPr>
      <w:r>
        <w:rPr>
          <w:rFonts w:ascii="Consolas" w:hAnsi="Consolas"/>
          <w:color w:val="24313B"/>
          <w:sz w:val="16"/>
        </w:rPr>
        <w:t>/rest/study/study_id/{DIET_ACCESSION}/metabolites</w:t>
      </w:r>
    </w:p>
    <w:p>
      <w:pPr>
        <w:spacing w:before="0" w:after="0" w:line="240" w:lineRule="auto"/>
        <w:ind w:left="259" w:right="72"/>
        <w:shd w:fill="F3F5F7"/>
        <w:pBdr>
          <w:left w:val="single" w:sz="16" w:space="8" w:color="B8C3CC"/>
        </w:pBdr>
      </w:pPr>
      <w:r>
        <w:rPr>
          <w:rFonts w:ascii="Consolas" w:hAnsi="Consolas"/>
          <w:color w:val="24313B"/>
          <w:sz w:val="16"/>
        </w:rPr>
        <w:t>/rest/study/study_id/{DIET_ACCESSION}/data</w:t>
      </w:r>
    </w:p>
    <w:p>
      <w:r>
        <w:rPr>
          <w:rFonts w:ascii="Calibri" w:hAnsi="Calibri"/>
          <w:color w:val="222222"/>
        </w:rPr>
        <w:t xml:space="preserve">Repeat with </w:t>
      </w:r>
      <w:r>
        <w:rPr>
          <w:rFonts w:ascii="Consolas" w:hAnsi="Consolas"/>
          <w:color w:val="1F4D78"/>
          <w:sz w:val="21"/>
          <w:shd w:fill="EEF1F4"/>
        </w:rPr>
        <w:t>{EXERCISE_ACCESSION}</w:t>
      </w:r>
      <w:r>
        <w:rPr>
          <w:rFonts w:ascii="Calibri" w:hAnsi="Calibri"/>
          <w:color w:val="222222"/>
        </w:rPr>
        <w:t>. Retrieve each selected analysis as mwTab when analysis-specific evidence is needed:</w:t>
      </w:r>
    </w:p>
    <w:p>
      <w:pPr>
        <w:spacing w:before="0" w:after="0" w:line="240" w:lineRule="auto"/>
        <w:ind w:left="259" w:right="72"/>
        <w:shd w:fill="F3F5F7"/>
        <w:pBdr>
          <w:left w:val="single" w:sz="16" w:space="8" w:color="B8C3CC"/>
        </w:pBdr>
      </w:pPr>
      <w:r>
        <w:rPr>
          <w:rFonts w:ascii="Consolas" w:hAnsi="Consolas"/>
          <w:color w:val="24313B"/>
          <w:sz w:val="16"/>
        </w:rPr>
        <w:t>/rest/study/analysis_id/{ANALYSIS_ID}/mwtab</w:t>
      </w:r>
    </w:p>
    <w:p>
      <w:r>
        <w:rPr>
          <w:rFonts w:ascii="Calibri" w:hAnsi="Calibri"/>
          <w:color w:val="222222"/>
        </w:rPr>
        <w:t>Do not assume the shape of a response from the endpoint name. Inspect the returned keys, status code, and content type. A successful HTTP response can still contain an unexpected schema or an error message encoded as text.</w:t>
      </w:r>
    </w:p>
    <w:p>
      <w:pPr>
        <w:pStyle w:val="Heading3"/>
      </w:pPr>
      <w:r>
        <w:rPr>
          <w:rFonts w:ascii="Calibri" w:hAnsi="Calibri"/>
          <w:color w:val="222222"/>
        </w:rPr>
        <w:t>Provenance minimum</w:t>
      </w:r>
    </w:p>
    <w:p>
      <w:r>
        <w:rPr>
          <w:rFonts w:ascii="Calibri" w:hAnsi="Calibri"/>
          <w:color w:val="222222"/>
        </w:rPr>
        <w:t>Every crosswalk row must be traceable to:</w:t>
      </w:r>
    </w:p>
    <w:p>
      <w:pPr>
        <w:numPr>
          <w:ilvl w:val="0"/>
          <w:numId w:val="40"/>
        </w:numPr>
        <w:spacing w:after="80" w:line="300" w:lineRule="auto"/>
      </w:pPr>
      <w:r>
        <w:rPr>
          <w:rFonts w:ascii="Calibri" w:hAnsi="Calibri"/>
          <w:color w:val="222222"/>
        </w:rPr>
        <w:t>Repository and base URL.</w:t>
      </w:r>
    </w:p>
    <w:p>
      <w:pPr>
        <w:numPr>
          <w:ilvl w:val="0"/>
          <w:numId w:val="40"/>
        </w:numPr>
        <w:spacing w:after="80" w:line="300" w:lineRule="auto"/>
      </w:pPr>
      <w:r>
        <w:rPr>
          <w:rFonts w:ascii="Calibri" w:hAnsi="Calibri"/>
          <w:color w:val="222222"/>
        </w:rPr>
        <w:t>Study accession and analysis identifier.</w:t>
      </w:r>
    </w:p>
    <w:p>
      <w:pPr>
        <w:numPr>
          <w:ilvl w:val="0"/>
          <w:numId w:val="40"/>
        </w:numPr>
        <w:spacing w:after="80" w:line="300" w:lineRule="auto"/>
      </w:pPr>
      <w:r>
        <w:rPr>
          <w:rFonts w:ascii="Calibri" w:hAnsi="Calibri"/>
          <w:color w:val="222222"/>
        </w:rPr>
        <w:t>Exact endpoint or source file.</w:t>
      </w:r>
    </w:p>
    <w:p>
      <w:pPr>
        <w:numPr>
          <w:ilvl w:val="0"/>
          <w:numId w:val="40"/>
        </w:numPr>
        <w:spacing w:after="80" w:line="300" w:lineRule="auto"/>
      </w:pPr>
      <w:r>
        <w:rPr>
          <w:rFonts w:ascii="Calibri" w:hAnsi="Calibri"/>
          <w:color w:val="222222"/>
        </w:rPr>
        <w:t>Retrieval timestamp in UTC.</w:t>
      </w:r>
    </w:p>
    <w:p>
      <w:pPr>
        <w:numPr>
          <w:ilvl w:val="0"/>
          <w:numId w:val="40"/>
        </w:numPr>
        <w:spacing w:after="80" w:line="300" w:lineRule="auto"/>
      </w:pPr>
      <w:r>
        <w:rPr>
          <w:rFonts w:ascii="Calibri" w:hAnsi="Calibri"/>
          <w:color w:val="222222"/>
        </w:rPr>
        <w:t>Original label and source identifier.</w:t>
      </w:r>
    </w:p>
    <w:p>
      <w:pPr>
        <w:numPr>
          <w:ilvl w:val="0"/>
          <w:numId w:val="40"/>
        </w:numPr>
        <w:spacing w:after="80" w:line="300" w:lineRule="auto"/>
      </w:pPr>
      <w:r>
        <w:rPr>
          <w:rFonts w:ascii="Calibri" w:hAnsi="Calibri"/>
          <w:color w:val="222222"/>
        </w:rPr>
        <w:t>Mapping service and query string.</w:t>
      </w:r>
    </w:p>
    <w:p>
      <w:pPr>
        <w:numPr>
          <w:ilvl w:val="0"/>
          <w:numId w:val="40"/>
        </w:numPr>
        <w:spacing w:after="80" w:line="300" w:lineRule="auto"/>
      </w:pPr>
      <w:r>
        <w:rPr>
          <w:rFonts w:ascii="Calibri" w:hAnsi="Calibri"/>
          <w:color w:val="222222"/>
        </w:rPr>
        <w:t>Mapping result and review decision.</w:t>
      </w:r>
    </w:p>
    <w:p>
      <w:pPr>
        <w:numPr>
          <w:ilvl w:val="0"/>
          <w:numId w:val="40"/>
        </w:numPr>
        <w:spacing w:after="80" w:line="300" w:lineRule="auto"/>
      </w:pPr>
      <w:r>
        <w:rPr>
          <w:rFonts w:ascii="Calibri" w:hAnsi="Calibri"/>
          <w:color w:val="222222"/>
        </w:rPr>
        <w:t>Reviewer or automated rule version.</w:t>
      </w:r>
    </w:p>
    <w:p>
      <w:r>
        <w:rPr>
          <w:rFonts w:ascii="Calibri" w:hAnsi="Calibri"/>
          <w:color w:val="222222"/>
        </w:rPr>
        <w:t>These fields make the crosswalk reusable and support FAIR principles of findability, interoperability, and reuse.</w:t>
      </w:r>
    </w:p>
    <w:p>
      <w:pPr>
        <w:pStyle w:val="Heading2"/>
      </w:pPr>
      <w:r>
        <w:rPr>
          <w:rFonts w:ascii="Calibri" w:hAnsi="Calibri"/>
          <w:color w:val="222222"/>
        </w:rPr>
        <w:t>6. Harmonizing specimen and time metadata</w:t>
      </w:r>
    </w:p>
    <w:p>
      <w:r>
        <w:rPr>
          <w:rFonts w:ascii="Calibri" w:hAnsi="Calibri"/>
          <w:color w:val="222222"/>
        </w:rPr>
        <w:t>Metabolite-name mapping is only one part of the crosswalk.</w:t>
      </w:r>
    </w:p>
    <w:p>
      <w:pPr>
        <w:pStyle w:val="Heading3"/>
      </w:pPr>
      <w:r>
        <w:rPr>
          <w:rFonts w:ascii="Calibri" w:hAnsi="Calibri"/>
          <w:color w:val="222222"/>
        </w:rPr>
        <w:t>Specimen crosswalk</w:t>
      </w:r>
    </w:p>
    <w:p>
      <w:r>
        <w:rPr>
          <w:rFonts w:ascii="Calibri" w:hAnsi="Calibri"/>
          <w:color w:val="222222"/>
        </w:rPr>
        <w:t>Keep at least three fields:</w:t>
      </w:r>
    </w:p>
    <w:p>
      <w:pPr>
        <w:numPr>
          <w:ilvl w:val="0"/>
          <w:numId w:val="41"/>
        </w:numPr>
        <w:spacing w:after="80" w:line="300" w:lineRule="auto"/>
      </w:pPr>
      <w:r>
        <w:rPr>
          <w:rFonts w:ascii="Consolas" w:hAnsi="Consolas"/>
          <w:color w:val="1F4D78"/>
          <w:sz w:val="21"/>
          <w:shd w:fill="EEF1F4"/>
        </w:rPr>
        <w:t>source_specimen_label</w:t>
      </w:r>
      <w:r>
        <w:rPr>
          <w:rFonts w:ascii="Calibri" w:hAnsi="Calibri"/>
          <w:color w:val="222222"/>
        </w:rPr>
        <w:t>: exact deposited value.</w:t>
      </w:r>
    </w:p>
    <w:p>
      <w:pPr>
        <w:numPr>
          <w:ilvl w:val="0"/>
          <w:numId w:val="41"/>
        </w:numPr>
        <w:spacing w:after="80" w:line="300" w:lineRule="auto"/>
      </w:pPr>
      <w:r>
        <w:rPr>
          <w:rFonts w:ascii="Consolas" w:hAnsi="Consolas"/>
          <w:color w:val="1F4D78"/>
          <w:sz w:val="21"/>
          <w:shd w:fill="EEF1F4"/>
        </w:rPr>
        <w:t>normalized_specimen_category</w:t>
      </w:r>
      <w:r>
        <w:rPr>
          <w:rFonts w:ascii="Calibri" w:hAnsi="Calibri"/>
          <w:color w:val="222222"/>
        </w:rPr>
        <w:t>: a controlled broader category used for a specific purpose.</w:t>
      </w:r>
    </w:p>
    <w:p>
      <w:pPr>
        <w:numPr>
          <w:ilvl w:val="0"/>
          <w:numId w:val="41"/>
        </w:numPr>
        <w:spacing w:after="80" w:line="300" w:lineRule="auto"/>
      </w:pPr>
      <w:r>
        <w:rPr>
          <w:rFonts w:ascii="Consolas" w:hAnsi="Consolas"/>
          <w:color w:val="1F4D78"/>
          <w:sz w:val="21"/>
          <w:shd w:fill="EEF1F4"/>
        </w:rPr>
        <w:t>specimen_compatibility_note</w:t>
      </w:r>
      <w:r>
        <w:rPr>
          <w:rFonts w:ascii="Calibri" w:hAnsi="Calibri"/>
          <w:color w:val="222222"/>
        </w:rPr>
        <w:t>: pre-analytical differences and any information loss.</w:t>
      </w:r>
    </w:p>
    <w:p>
      <w:r>
        <w:rPr>
          <w:rFonts w:ascii="Calibri" w:hAnsi="Calibri"/>
          <w:color w:val="222222"/>
        </w:rPr>
        <w:t xml:space="preserve">For example, plasma and serum could both receive a broad </w:t>
      </w:r>
      <w:r>
        <w:rPr>
          <w:rFonts w:ascii="Consolas" w:hAnsi="Consolas"/>
          <w:color w:val="1F4D78"/>
          <w:sz w:val="21"/>
          <w:shd w:fill="EEF1F4"/>
        </w:rPr>
        <w:t>blood_derived_fluid</w:t>
      </w:r>
      <w:r>
        <w:rPr>
          <w:rFonts w:ascii="Calibri" w:hAnsi="Calibri"/>
          <w:color w:val="222222"/>
        </w:rPr>
        <w:t xml:space="preserve"> category for discovery, while remaining distinct in the exact matrix field. That category does not authorize quantitative pooling.</w:t>
      </w:r>
    </w:p>
    <w:p>
      <w:pPr>
        <w:pStyle w:val="Heading3"/>
      </w:pPr>
      <w:r>
        <w:rPr>
          <w:rFonts w:ascii="Calibri" w:hAnsi="Calibri"/>
          <w:color w:val="222222"/>
        </w:rPr>
        <w:t>Timepoint crosswalk</w:t>
      </w:r>
    </w:p>
    <w:p>
      <w:r>
        <w:rPr>
          <w:rFonts w:ascii="Calibri" w:hAnsi="Calibri"/>
          <w:color w:val="222222"/>
        </w:rPr>
        <w:t>Keep the source label and derive structured fields only when evidence supports them:</w:t>
      </w:r>
    </w:p>
    <w:p>
      <w:pPr>
        <w:numPr>
          <w:ilvl w:val="0"/>
          <w:numId w:val="42"/>
        </w:numPr>
        <w:spacing w:after="80" w:line="300" w:lineRule="auto"/>
      </w:pPr>
      <w:r>
        <w:rPr>
          <w:rFonts w:ascii="Consolas" w:hAnsi="Consolas"/>
          <w:color w:val="1F4D78"/>
          <w:sz w:val="21"/>
          <w:shd w:fill="EEF1F4"/>
        </w:rPr>
        <w:t>anchor_event</w:t>
      </w:r>
    </w:p>
    <w:p>
      <w:pPr>
        <w:numPr>
          <w:ilvl w:val="0"/>
          <w:numId w:val="42"/>
        </w:numPr>
        <w:spacing w:after="80" w:line="300" w:lineRule="auto"/>
      </w:pPr>
      <w:r>
        <w:rPr>
          <w:rFonts w:ascii="Consolas" w:hAnsi="Consolas"/>
          <w:color w:val="1F4D78"/>
          <w:sz w:val="21"/>
          <w:shd w:fill="EEF1F4"/>
        </w:rPr>
        <w:t>offset_value</w:t>
      </w:r>
    </w:p>
    <w:p>
      <w:pPr>
        <w:numPr>
          <w:ilvl w:val="0"/>
          <w:numId w:val="42"/>
        </w:numPr>
        <w:spacing w:after="80" w:line="300" w:lineRule="auto"/>
      </w:pPr>
      <w:r>
        <w:rPr>
          <w:rFonts w:ascii="Consolas" w:hAnsi="Consolas"/>
          <w:color w:val="1F4D78"/>
          <w:sz w:val="21"/>
          <w:shd w:fill="EEF1F4"/>
        </w:rPr>
        <w:t>offset_unit</w:t>
      </w:r>
    </w:p>
    <w:p>
      <w:pPr>
        <w:numPr>
          <w:ilvl w:val="0"/>
          <w:numId w:val="42"/>
        </w:numPr>
        <w:spacing w:after="80" w:line="300" w:lineRule="auto"/>
      </w:pPr>
      <w:r>
        <w:rPr>
          <w:rFonts w:ascii="Consolas" w:hAnsi="Consolas"/>
          <w:color w:val="1F4D78"/>
          <w:sz w:val="21"/>
          <w:shd w:fill="EEF1F4"/>
        </w:rPr>
        <w:t>physiological_state</w:t>
      </w:r>
    </w:p>
    <w:p>
      <w:pPr>
        <w:numPr>
          <w:ilvl w:val="0"/>
          <w:numId w:val="42"/>
        </w:numPr>
        <w:spacing w:after="80" w:line="300" w:lineRule="auto"/>
      </w:pPr>
      <w:r>
        <w:rPr>
          <w:rFonts w:ascii="Consolas" w:hAnsi="Consolas"/>
          <w:color w:val="1F4D78"/>
          <w:sz w:val="21"/>
          <w:shd w:fill="EEF1F4"/>
        </w:rPr>
        <w:t>visit_or_period</w:t>
      </w:r>
    </w:p>
    <w:p>
      <w:pPr>
        <w:numPr>
          <w:ilvl w:val="0"/>
          <w:numId w:val="42"/>
        </w:numPr>
        <w:spacing w:after="80" w:line="300" w:lineRule="auto"/>
      </w:pPr>
      <w:r>
        <w:rPr>
          <w:rFonts w:ascii="Consolas" w:hAnsi="Consolas"/>
          <w:color w:val="1F4D78"/>
          <w:sz w:val="21"/>
          <w:shd w:fill="EEF1F4"/>
        </w:rPr>
        <w:t>within_subject_order</w:t>
      </w:r>
    </w:p>
    <w:p>
      <w:pPr>
        <w:numPr>
          <w:ilvl w:val="0"/>
          <w:numId w:val="42"/>
        </w:numPr>
        <w:spacing w:after="80" w:line="300" w:lineRule="auto"/>
      </w:pPr>
      <w:r>
        <w:rPr>
          <w:rFonts w:ascii="Consolas" w:hAnsi="Consolas"/>
          <w:color w:val="1F4D78"/>
          <w:sz w:val="21"/>
          <w:shd w:fill="EEF1F4"/>
        </w:rPr>
        <w:t>derivation_source</w:t>
      </w:r>
    </w:p>
    <w:p>
      <w:r>
        <w:rPr>
          <w:rFonts w:ascii="Calibri" w:hAnsi="Calibri"/>
          <w:color w:val="222222"/>
        </w:rPr>
        <w:t xml:space="preserve">If the label is </w:t>
      </w:r>
      <w:r>
        <w:rPr>
          <w:rFonts w:ascii="Consolas" w:hAnsi="Consolas"/>
          <w:color w:val="1F4D78"/>
          <w:sz w:val="21"/>
          <w:shd w:fill="EEF1F4"/>
        </w:rPr>
        <w:t>T2</w:t>
      </w:r>
      <w:r>
        <w:rPr>
          <w:rFonts w:ascii="Calibri" w:hAnsi="Calibri"/>
          <w:color w:val="222222"/>
        </w:rPr>
        <w:t xml:space="preserve"> and the protocol needed to decode it is missing, use </w:t>
      </w:r>
      <w:r>
        <w:rPr>
          <w:rFonts w:ascii="Consolas" w:hAnsi="Consolas"/>
          <w:color w:val="1F4D78"/>
          <w:sz w:val="21"/>
          <w:shd w:fill="EEF1F4"/>
        </w:rPr>
        <w:t>UNRESOLVED</w:t>
      </w:r>
      <w:r>
        <w:rPr>
          <w:rFonts w:ascii="Calibri" w:hAnsi="Calibri"/>
          <w:color w:val="222222"/>
        </w:rPr>
        <w:t>; do not guess.</w:t>
      </w:r>
    </w:p>
    <w:p>
      <w:pPr>
        <w:pStyle w:val="Heading3"/>
      </w:pPr>
      <w:r>
        <w:rPr>
          <w:rFonts w:ascii="Calibri" w:hAnsi="Calibri"/>
          <w:color w:val="222222"/>
        </w:rPr>
        <w:t>Variable crosswalk</w:t>
      </w:r>
    </w:p>
    <w:p>
      <w:r>
        <w:rPr>
          <w:rFonts w:ascii="Calibri" w:hAnsi="Calibri"/>
          <w:color w:val="222222"/>
        </w:rPr>
        <w:t>Separate:</w:t>
      </w:r>
    </w:p>
    <w:p>
      <w:pPr>
        <w:numPr>
          <w:ilvl w:val="0"/>
          <w:numId w:val="43"/>
        </w:numPr>
        <w:spacing w:after="80" w:line="300" w:lineRule="auto"/>
      </w:pPr>
      <w:r>
        <w:rPr>
          <w:rFonts w:ascii="Calibri" w:hAnsi="Calibri"/>
          <w:color w:val="222222"/>
        </w:rPr>
        <w:t>Source field and coding.</w:t>
      </w:r>
    </w:p>
    <w:p>
      <w:pPr>
        <w:numPr>
          <w:ilvl w:val="0"/>
          <w:numId w:val="43"/>
        </w:numPr>
        <w:spacing w:after="80" w:line="300" w:lineRule="auto"/>
      </w:pPr>
      <w:r>
        <w:rPr>
          <w:rFonts w:ascii="Calibri" w:hAnsi="Calibri"/>
          <w:color w:val="222222"/>
        </w:rPr>
        <w:t>Construct definition.</w:t>
      </w:r>
    </w:p>
    <w:p>
      <w:pPr>
        <w:numPr>
          <w:ilvl w:val="0"/>
          <w:numId w:val="43"/>
        </w:numPr>
        <w:spacing w:after="80" w:line="300" w:lineRule="auto"/>
      </w:pPr>
      <w:r>
        <w:rPr>
          <w:rFonts w:ascii="Calibri" w:hAnsi="Calibri"/>
          <w:color w:val="222222"/>
        </w:rPr>
        <w:t>Harmonized field and coding.</w:t>
      </w:r>
    </w:p>
    <w:p>
      <w:pPr>
        <w:numPr>
          <w:ilvl w:val="0"/>
          <w:numId w:val="43"/>
        </w:numPr>
        <w:spacing w:after="80" w:line="300" w:lineRule="auto"/>
      </w:pPr>
      <w:r>
        <w:rPr>
          <w:rFonts w:ascii="Calibri" w:hAnsi="Calibri"/>
          <w:color w:val="222222"/>
        </w:rPr>
        <w:t>Transformation rule.</w:t>
      </w:r>
    </w:p>
    <w:p>
      <w:pPr>
        <w:numPr>
          <w:ilvl w:val="0"/>
          <w:numId w:val="43"/>
        </w:numPr>
        <w:spacing w:after="80" w:line="300" w:lineRule="auto"/>
      </w:pPr>
      <w:r>
        <w:rPr>
          <w:rFonts w:ascii="Calibri" w:hAnsi="Calibri"/>
          <w:color w:val="222222"/>
        </w:rPr>
        <w:t>Information lost.</w:t>
      </w:r>
    </w:p>
    <w:p>
      <w:pPr>
        <w:numPr>
          <w:ilvl w:val="0"/>
          <w:numId w:val="43"/>
        </w:numPr>
        <w:spacing w:after="80" w:line="300" w:lineRule="auto"/>
      </w:pPr>
      <w:r>
        <w:rPr>
          <w:rFonts w:ascii="Calibri" w:hAnsi="Calibri"/>
          <w:color w:val="222222"/>
        </w:rPr>
        <w:t>Eligibility by analysis purpose.</w:t>
      </w:r>
    </w:p>
    <w:p>
      <w:r>
        <w:rPr>
          <w:rFonts w:ascii="Calibri" w:hAnsi="Calibri"/>
          <w:color w:val="222222"/>
        </w:rPr>
        <w:t>For categorical variables, document reference levels and distinguish missing, unknown, not applicable, and structurally absent.</w:t>
      </w:r>
    </w:p>
    <w:p>
      <w:pPr>
        <w:pStyle w:val="Heading2"/>
      </w:pPr>
      <w:r>
        <w:rPr>
          <w:rFonts w:ascii="Calibri" w:hAnsi="Calibri"/>
          <w:color w:val="222222"/>
        </w:rPr>
        <w:t>7. Unit reconciliation</w:t>
      </w:r>
    </w:p>
    <w:p>
      <w:r>
        <w:rPr>
          <w:rFonts w:ascii="Calibri" w:hAnsi="Calibri"/>
          <w:color w:val="222222"/>
        </w:rPr>
        <w:t>Convert units only when all of the following are true:</w:t>
      </w:r>
    </w:p>
    <w:p>
      <w:pPr>
        <w:numPr>
          <w:ilvl w:val="0"/>
          <w:numId w:val="44"/>
        </w:numPr>
        <w:spacing w:after="80" w:line="300" w:lineRule="auto"/>
      </w:pPr>
      <w:r>
        <w:rPr>
          <w:rFonts w:ascii="Calibri" w:hAnsi="Calibri"/>
          <w:color w:val="222222"/>
        </w:rPr>
        <w:t>The values measure the same quantity.</w:t>
      </w:r>
    </w:p>
    <w:p>
      <w:pPr>
        <w:numPr>
          <w:ilvl w:val="0"/>
          <w:numId w:val="44"/>
        </w:numPr>
        <w:spacing w:after="80" w:line="300" w:lineRule="auto"/>
      </w:pPr>
      <w:r>
        <w:rPr>
          <w:rFonts w:ascii="Calibri" w:hAnsi="Calibri"/>
          <w:color w:val="222222"/>
        </w:rPr>
        <w:t>Units are known and convertible.</w:t>
      </w:r>
    </w:p>
    <w:p>
      <w:pPr>
        <w:numPr>
          <w:ilvl w:val="0"/>
          <w:numId w:val="44"/>
        </w:numPr>
        <w:spacing w:after="80" w:line="300" w:lineRule="auto"/>
      </w:pPr>
      <w:r>
        <w:rPr>
          <w:rFonts w:ascii="Calibri" w:hAnsi="Calibri"/>
          <w:color w:val="222222"/>
        </w:rPr>
        <w:t>Specimen basis and denominator match or can be validly transformed.</w:t>
      </w:r>
    </w:p>
    <w:p>
      <w:pPr>
        <w:numPr>
          <w:ilvl w:val="0"/>
          <w:numId w:val="44"/>
        </w:numPr>
        <w:spacing w:after="80" w:line="300" w:lineRule="auto"/>
      </w:pPr>
      <w:r>
        <w:rPr>
          <w:rFonts w:ascii="Calibri" w:hAnsi="Calibri"/>
          <w:color w:val="222222"/>
        </w:rPr>
        <w:t>Calibration and quantification type support the intended comparison.</w:t>
      </w:r>
    </w:p>
    <w:p>
      <w:pPr>
        <w:numPr>
          <w:ilvl w:val="0"/>
          <w:numId w:val="44"/>
        </w:numPr>
        <w:spacing w:after="80" w:line="300" w:lineRule="auto"/>
      </w:pPr>
      <w:r>
        <w:rPr>
          <w:rFonts w:ascii="Calibri" w:hAnsi="Calibri"/>
          <w:color w:val="222222"/>
        </w:rPr>
        <w:t>The conversion formula is recorded and tested.</w:t>
      </w:r>
    </w:p>
    <w:p>
      <w:r>
        <w:rPr>
          <w:rFonts w:ascii="Calibri" w:hAnsi="Calibri"/>
          <w:color w:val="222222"/>
        </w:rPr>
        <w:t>Examples of different situations:</w:t>
      </w:r>
    </w:p>
    <w:p>
      <w:pPr>
        <w:numPr>
          <w:ilvl w:val="0"/>
          <w:numId w:val="45"/>
        </w:numPr>
        <w:spacing w:after="80" w:line="300" w:lineRule="auto"/>
      </w:pPr>
      <w:r>
        <w:rPr>
          <w:rFonts w:ascii="Consolas" w:hAnsi="Consolas"/>
          <w:color w:val="1F4D78"/>
          <w:sz w:val="21"/>
          <w:shd w:fill="EEF1F4"/>
        </w:rPr>
        <w:t>umol/L</w:t>
      </w:r>
      <w:r>
        <w:rPr>
          <w:rFonts w:ascii="Calibri" w:hAnsi="Calibri"/>
          <w:color w:val="222222"/>
        </w:rPr>
        <w:t xml:space="preserve"> and </w:t>
      </w:r>
      <w:r>
        <w:rPr>
          <w:rFonts w:ascii="Consolas" w:hAnsi="Consolas"/>
          <w:color w:val="1F4D78"/>
          <w:sz w:val="21"/>
          <w:shd w:fill="EEF1F4"/>
        </w:rPr>
        <w:t>mmol/L</w:t>
      </w:r>
      <w:r>
        <w:rPr>
          <w:rFonts w:ascii="Calibri" w:hAnsi="Calibri"/>
          <w:color w:val="222222"/>
        </w:rPr>
        <w:t xml:space="preserve"> are dimensionally convertible for the same quantified analyte and compatible matrix, subject to the remaining checks.</w:t>
      </w:r>
    </w:p>
    <w:p>
      <w:pPr>
        <w:numPr>
          <w:ilvl w:val="0"/>
          <w:numId w:val="45"/>
        </w:numPr>
        <w:spacing w:after="80" w:line="300" w:lineRule="auto"/>
      </w:pPr>
      <w:r>
        <w:rPr>
          <w:rFonts w:ascii="Calibri" w:hAnsi="Calibri"/>
          <w:color w:val="222222"/>
        </w:rPr>
        <w:t xml:space="preserve">Peak area and </w:t>
      </w:r>
      <w:r>
        <w:rPr>
          <w:rFonts w:ascii="Consolas" w:hAnsi="Consolas"/>
          <w:color w:val="1F4D78"/>
          <w:sz w:val="21"/>
          <w:shd w:fill="EEF1F4"/>
        </w:rPr>
        <w:t>umol/L</w:t>
      </w:r>
      <w:r>
        <w:rPr>
          <w:rFonts w:ascii="Calibri" w:hAnsi="Calibri"/>
          <w:color w:val="222222"/>
        </w:rPr>
        <w:t xml:space="preserve"> are not made comparable by rescaling.</w:t>
      </w:r>
    </w:p>
    <w:p>
      <w:pPr>
        <w:numPr>
          <w:ilvl w:val="0"/>
          <w:numId w:val="45"/>
        </w:numPr>
        <w:spacing w:after="80" w:line="300" w:lineRule="auto"/>
      </w:pPr>
      <w:r>
        <w:rPr>
          <w:rFonts w:ascii="Calibri" w:hAnsi="Calibri"/>
          <w:color w:val="222222"/>
        </w:rPr>
        <w:t>Relative abundance normalized within one study and raw area in another are not a common measurement scale.</w:t>
      </w:r>
    </w:p>
    <w:p>
      <w:pPr>
        <w:numPr>
          <w:ilvl w:val="0"/>
          <w:numId w:val="45"/>
        </w:numPr>
        <w:spacing w:after="80" w:line="300" w:lineRule="auto"/>
      </w:pPr>
      <w:r>
        <w:rPr>
          <w:rFonts w:ascii="Calibri" w:hAnsi="Calibri"/>
          <w:color w:val="222222"/>
        </w:rPr>
        <w:t>Log-transformed and untransformed measurements can be reconciled only if the transform base, offset, and original scale are known and the comparison is otherwise valid.</w:t>
      </w:r>
    </w:p>
    <w:p>
      <w:r>
        <w:rPr>
          <w:rFonts w:ascii="Calibri" w:hAnsi="Calibri"/>
          <w:color w:val="222222"/>
        </w:rPr>
        <w:t xml:space="preserve">Keep </w:t>
      </w:r>
      <w:r>
        <w:rPr>
          <w:rFonts w:ascii="Consolas" w:hAnsi="Consolas"/>
          <w:color w:val="1F4D78"/>
          <w:sz w:val="21"/>
          <w:shd w:fill="EEF1F4"/>
        </w:rPr>
        <w:t>source_value</w:t>
      </w:r>
      <w:r>
        <w:rPr>
          <w:rFonts w:ascii="Calibri" w:hAnsi="Calibri"/>
          <w:color w:val="222222"/>
        </w:rPr>
        <w:t xml:space="preserve"> and </w:t>
      </w:r>
      <w:r>
        <w:rPr>
          <w:rFonts w:ascii="Consolas" w:hAnsi="Consolas"/>
          <w:color w:val="1F4D78"/>
          <w:sz w:val="21"/>
          <w:shd w:fill="EEF1F4"/>
        </w:rPr>
        <w:t>source_unit</w:t>
      </w:r>
      <w:r>
        <w:rPr>
          <w:rFonts w:ascii="Calibri" w:hAnsi="Calibri"/>
          <w:color w:val="222222"/>
        </w:rPr>
        <w:t xml:space="preserve"> even after a justified conversion. Store the converted field separately.</w:t>
      </w:r>
    </w:p>
    <w:p>
      <w:pPr>
        <w:pStyle w:val="Heading2"/>
      </w:pPr>
      <w:r>
        <w:rPr>
          <w:rFonts w:ascii="Calibri" w:hAnsi="Calibri"/>
          <w:color w:val="222222"/>
        </w:rPr>
        <w:t>8. Hands-on activity: build and audit the crosswalk</w:t>
      </w:r>
    </w:p>
    <w:p>
      <w:r>
        <w:rPr>
          <w:rFonts w:ascii="Calibri" w:hAnsi="Calibri"/>
          <w:color w:val="222222"/>
        </w:rPr>
        <w:t xml:space="preserve">Use </w:t>
      </w:r>
      <w:r>
        <w:rPr>
          <w:rFonts w:ascii="Consolas" w:hAnsi="Consolas"/>
          <w:color w:val="1F4D78"/>
          <w:sz w:val="21"/>
          <w:shd w:fill="EEF1F4"/>
        </w:rPr>
        <w:t>module/templates/metabolite_metadata_crosswalk_learner.md</w:t>
      </w:r>
      <w:r>
        <w:rPr>
          <w:rFonts w:ascii="Calibri" w:hAnsi="Calibri"/>
          <w:color w:val="222222"/>
        </w:rPr>
        <w:t>.</w:t>
      </w:r>
    </w:p>
    <w:p>
      <w:pPr>
        <w:pStyle w:val="Heading3"/>
      </w:pPr>
      <w:r>
        <w:rPr>
          <w:rFonts w:ascii="Calibri" w:hAnsi="Calibri"/>
          <w:color w:val="222222"/>
        </w:rPr>
        <w:t>Part A - Metabolites</w:t>
      </w:r>
    </w:p>
    <w:p>
      <w:pPr>
        <w:numPr>
          <w:ilvl w:val="0"/>
          <w:numId w:val="46"/>
        </w:numPr>
        <w:spacing w:after="80" w:line="300" w:lineRule="auto"/>
      </w:pPr>
      <w:r>
        <w:rPr>
          <w:rFonts w:ascii="Calibri" w:hAnsi="Calibri"/>
          <w:color w:val="222222"/>
        </w:rPr>
        <w:t xml:space="preserve">Select at least six submitted labels from the chosen analysis in </w:t>
      </w:r>
      <w:r>
        <w:rPr>
          <w:rFonts w:ascii="Consolas" w:hAnsi="Consolas"/>
          <w:color w:val="1F4D78"/>
          <w:sz w:val="21"/>
          <w:shd w:fill="EEF1F4"/>
        </w:rPr>
        <w:t>DIET_ACCESSION</w:t>
      </w:r>
      <w:r>
        <w:rPr>
          <w:rFonts w:ascii="Calibri" w:hAnsi="Calibri"/>
          <w:color w:val="222222"/>
        </w:rPr>
        <w:t xml:space="preserve"> and six from </w:t>
      </w:r>
      <w:r>
        <w:rPr>
          <w:rFonts w:ascii="Consolas" w:hAnsi="Consolas"/>
          <w:color w:val="1F4D78"/>
          <w:sz w:val="21"/>
          <w:shd w:fill="EEF1F4"/>
        </w:rPr>
        <w:t>EXERCISE_ACCESSION</w:t>
      </w:r>
      <w:r>
        <w:rPr>
          <w:rFonts w:ascii="Calibri" w:hAnsi="Calibri"/>
          <w:color w:val="222222"/>
        </w:rPr>
        <w:t>.</w:t>
      </w:r>
    </w:p>
    <w:p>
      <w:pPr>
        <w:numPr>
          <w:ilvl w:val="0"/>
          <w:numId w:val="46"/>
        </w:numPr>
        <w:spacing w:after="80" w:line="300" w:lineRule="auto"/>
      </w:pPr>
      <w:r>
        <w:rPr>
          <w:rFonts w:ascii="Calibri" w:hAnsi="Calibri"/>
          <w:color w:val="222222"/>
        </w:rPr>
        <w:t>Include at least one apparent overlap, one lipid label if present, one unmapped or unidentified feature if present, and one label requiring manual review. If a requested case does not occur, document that rather than fabricating it.</w:t>
      </w:r>
    </w:p>
    <w:p>
      <w:pPr>
        <w:numPr>
          <w:ilvl w:val="0"/>
          <w:numId w:val="46"/>
        </w:numPr>
        <w:spacing w:after="80" w:line="300" w:lineRule="auto"/>
      </w:pPr>
      <w:r>
        <w:rPr>
          <w:rFonts w:ascii="Calibri" w:hAnsi="Calibri"/>
          <w:color w:val="222222"/>
        </w:rPr>
        <w:t>Preserve original labels and identifiers.</w:t>
      </w:r>
    </w:p>
    <w:p>
      <w:pPr>
        <w:numPr>
          <w:ilvl w:val="0"/>
          <w:numId w:val="46"/>
        </w:numPr>
        <w:spacing w:after="80" w:line="300" w:lineRule="auto"/>
      </w:pPr>
      <w:r>
        <w:rPr>
          <w:rFonts w:ascii="Calibri" w:hAnsi="Calibri"/>
          <w:color w:val="222222"/>
        </w:rPr>
        <w:t>Run or inspect the RefMet query for each distinct label.</w:t>
      </w:r>
    </w:p>
    <w:p>
      <w:pPr>
        <w:numPr>
          <w:ilvl w:val="0"/>
          <w:numId w:val="46"/>
        </w:numPr>
        <w:spacing w:after="80" w:line="300" w:lineRule="auto"/>
      </w:pPr>
      <w:r>
        <w:rPr>
          <w:rFonts w:ascii="Calibri" w:hAnsi="Calibri"/>
          <w:color w:val="222222"/>
        </w:rPr>
        <w:t>Assign mapping and annotation-resolution statuses.</w:t>
      </w:r>
    </w:p>
    <w:p>
      <w:pPr>
        <w:numPr>
          <w:ilvl w:val="0"/>
          <w:numId w:val="46"/>
        </w:numPr>
        <w:spacing w:after="80" w:line="300" w:lineRule="auto"/>
      </w:pPr>
      <w:r>
        <w:rPr>
          <w:rFonts w:ascii="Calibri" w:hAnsi="Calibri"/>
          <w:color w:val="222222"/>
        </w:rPr>
        <w:t>Mark eligibility separately for exact-name overlap, broad-class summary, and quantitative comparison.</w:t>
      </w:r>
    </w:p>
    <w:p>
      <w:pPr>
        <w:pStyle w:val="Heading3"/>
      </w:pPr>
      <w:r>
        <w:rPr>
          <w:rFonts w:ascii="Calibri" w:hAnsi="Calibri"/>
          <w:color w:val="222222"/>
        </w:rPr>
        <w:t>Part B - Metadata</w:t>
      </w:r>
    </w:p>
    <w:p>
      <w:r>
        <w:rPr>
          <w:rFonts w:ascii="Calibri" w:hAnsi="Calibri"/>
          <w:color w:val="222222"/>
        </w:rPr>
        <w:t>Add at least:</w:t>
      </w:r>
    </w:p>
    <w:p>
      <w:pPr>
        <w:numPr>
          <w:ilvl w:val="0"/>
          <w:numId w:val="47"/>
        </w:numPr>
        <w:spacing w:after="80" w:line="300" w:lineRule="auto"/>
      </w:pPr>
      <w:r>
        <w:rPr>
          <w:rFonts w:ascii="Calibri" w:hAnsi="Calibri"/>
          <w:color w:val="222222"/>
        </w:rPr>
        <w:t>Two specimen fields.</w:t>
      </w:r>
    </w:p>
    <w:p>
      <w:pPr>
        <w:numPr>
          <w:ilvl w:val="0"/>
          <w:numId w:val="47"/>
        </w:numPr>
        <w:spacing w:after="80" w:line="300" w:lineRule="auto"/>
      </w:pPr>
      <w:r>
        <w:rPr>
          <w:rFonts w:ascii="Calibri" w:hAnsi="Calibri"/>
          <w:color w:val="222222"/>
        </w:rPr>
        <w:t>Three timepoint values.</w:t>
      </w:r>
    </w:p>
    <w:p>
      <w:pPr>
        <w:numPr>
          <w:ilvl w:val="0"/>
          <w:numId w:val="47"/>
        </w:numPr>
        <w:spacing w:after="80" w:line="300" w:lineRule="auto"/>
      </w:pPr>
      <w:r>
        <w:rPr>
          <w:rFonts w:ascii="Calibri" w:hAnsi="Calibri"/>
          <w:color w:val="222222"/>
        </w:rPr>
        <w:t>One participant or sample identifier relationship.</w:t>
      </w:r>
    </w:p>
    <w:p>
      <w:pPr>
        <w:numPr>
          <w:ilvl w:val="0"/>
          <w:numId w:val="47"/>
        </w:numPr>
        <w:spacing w:after="80" w:line="300" w:lineRule="auto"/>
      </w:pPr>
      <w:r>
        <w:rPr>
          <w:rFonts w:ascii="Calibri" w:hAnsi="Calibri"/>
          <w:color w:val="222222"/>
        </w:rPr>
        <w:t>One phenotype field.</w:t>
      </w:r>
    </w:p>
    <w:p>
      <w:pPr>
        <w:numPr>
          <w:ilvl w:val="0"/>
          <w:numId w:val="47"/>
        </w:numPr>
        <w:spacing w:after="80" w:line="300" w:lineRule="auto"/>
      </w:pPr>
      <w:r>
        <w:rPr>
          <w:rFonts w:ascii="Calibri" w:hAnsi="Calibri"/>
          <w:color w:val="222222"/>
        </w:rPr>
        <w:t>One unit or scale field.</w:t>
      </w:r>
    </w:p>
    <w:p>
      <w:pPr>
        <w:pStyle w:val="Heading3"/>
      </w:pPr>
      <w:r>
        <w:rPr>
          <w:rFonts w:ascii="Calibri" w:hAnsi="Calibri"/>
          <w:color w:val="222222"/>
        </w:rPr>
        <w:t>Part C - Reproducibility audit</w:t>
      </w:r>
    </w:p>
    <w:p>
      <w:r>
        <w:rPr>
          <w:rFonts w:ascii="Calibri" w:hAnsi="Calibri"/>
          <w:color w:val="222222"/>
        </w:rPr>
        <w:t>Exchange the crosswalk with a partner or use the self-audit prompts:</w:t>
      </w:r>
    </w:p>
    <w:p>
      <w:pPr>
        <w:numPr>
          <w:ilvl w:val="0"/>
          <w:numId w:val="48"/>
        </w:numPr>
        <w:spacing w:after="80" w:line="300" w:lineRule="auto"/>
      </w:pPr>
      <w:r>
        <w:rPr>
          <w:rFonts w:ascii="Calibri" w:hAnsi="Calibri"/>
          <w:color w:val="222222"/>
        </w:rPr>
        <w:t>Can another analyst find the exact source row?</w:t>
      </w:r>
    </w:p>
    <w:p>
      <w:pPr>
        <w:numPr>
          <w:ilvl w:val="0"/>
          <w:numId w:val="48"/>
        </w:numPr>
        <w:spacing w:after="80" w:line="300" w:lineRule="auto"/>
      </w:pPr>
      <w:r>
        <w:rPr>
          <w:rFonts w:ascii="Calibri" w:hAnsi="Calibri"/>
          <w:color w:val="222222"/>
        </w:rPr>
        <w:t>Can they reproduce the lookup string?</w:t>
      </w:r>
    </w:p>
    <w:p>
      <w:pPr>
        <w:numPr>
          <w:ilvl w:val="0"/>
          <w:numId w:val="48"/>
        </w:numPr>
        <w:spacing w:after="80" w:line="300" w:lineRule="auto"/>
      </w:pPr>
      <w:r>
        <w:rPr>
          <w:rFonts w:ascii="Calibri" w:hAnsi="Calibri"/>
          <w:color w:val="222222"/>
        </w:rPr>
        <w:t>Can they tell which output was automated and which was reviewed?</w:t>
      </w:r>
    </w:p>
    <w:p>
      <w:pPr>
        <w:numPr>
          <w:ilvl w:val="0"/>
          <w:numId w:val="48"/>
        </w:numPr>
        <w:spacing w:after="80" w:line="300" w:lineRule="auto"/>
      </w:pPr>
      <w:r>
        <w:rPr>
          <w:rFonts w:ascii="Calibri" w:hAnsi="Calibri"/>
          <w:color w:val="222222"/>
        </w:rPr>
        <w:t>Is information loss stated?</w:t>
      </w:r>
    </w:p>
    <w:p>
      <w:pPr>
        <w:numPr>
          <w:ilvl w:val="0"/>
          <w:numId w:val="48"/>
        </w:numPr>
        <w:spacing w:after="80" w:line="300" w:lineRule="auto"/>
      </w:pPr>
      <w:r>
        <w:rPr>
          <w:rFonts w:ascii="Calibri" w:hAnsi="Calibri"/>
          <w:color w:val="222222"/>
        </w:rPr>
        <w:t>Are unresolved cases preserved?</w:t>
      </w:r>
    </w:p>
    <w:p>
      <w:pPr>
        <w:numPr>
          <w:ilvl w:val="0"/>
          <w:numId w:val="48"/>
        </w:numPr>
        <w:spacing w:after="80" w:line="300" w:lineRule="auto"/>
      </w:pPr>
      <w:r>
        <w:rPr>
          <w:rFonts w:ascii="Calibri" w:hAnsi="Calibri"/>
          <w:color w:val="222222"/>
        </w:rPr>
        <w:t>Is downstream eligibility purpose-specific?</w:t>
      </w:r>
    </w:p>
    <w:p>
      <w:pPr>
        <w:numPr>
          <w:ilvl w:val="0"/>
          <w:numId w:val="48"/>
        </w:numPr>
        <w:spacing w:after="80" w:line="300" w:lineRule="auto"/>
      </w:pPr>
      <w:r>
        <w:rPr>
          <w:rFonts w:ascii="Calibri" w:hAnsi="Calibri"/>
          <w:color w:val="222222"/>
        </w:rPr>
        <w:t>Could the table be regenerated after a study update?</w:t>
      </w:r>
    </w:p>
    <w:p>
      <w:r>
        <w:rPr>
          <w:rFonts w:ascii="Calibri" w:hAnsi="Calibri"/>
          <w:color w:val="222222"/>
        </w:rPr>
        <w:t>Flag any row that fails one of these checks. The goal is an auditable table, not a maximum mapping rate.</w:t>
      </w:r>
    </w:p>
    <w:p>
      <w:pPr>
        <w:pStyle w:val="Heading2"/>
      </w:pPr>
      <w:r>
        <w:rPr>
          <w:rFonts w:ascii="Calibri" w:hAnsi="Calibri"/>
          <w:color w:val="222222"/>
        </w:rPr>
        <w:t>9. Interpretation guardrails</w:t>
      </w:r>
    </w:p>
    <w:p>
      <w:pPr>
        <w:numPr>
          <w:ilvl w:val="0"/>
          <w:numId w:val="49"/>
        </w:numPr>
        <w:spacing w:after="80" w:line="300" w:lineRule="auto"/>
      </w:pPr>
      <w:r>
        <w:rPr>
          <w:rFonts w:ascii="Calibri" w:hAnsi="Calibri"/>
          <w:color w:val="222222"/>
        </w:rPr>
        <w:t>RefMet standardizes nomenclature; it does not retroactively validate compound identification.</w:t>
      </w:r>
    </w:p>
    <w:p>
      <w:pPr>
        <w:numPr>
          <w:ilvl w:val="0"/>
          <w:numId w:val="49"/>
        </w:numPr>
        <w:spacing w:after="80" w:line="300" w:lineRule="auto"/>
      </w:pPr>
      <w:r>
        <w:rPr>
          <w:rFonts w:ascii="Calibri" w:hAnsi="Calibri"/>
          <w:color w:val="222222"/>
        </w:rPr>
        <w:t>A one-to-many or many-to-one mapping is not automatically an error; it may reflect different resolution.</w:t>
      </w:r>
    </w:p>
    <w:p>
      <w:pPr>
        <w:numPr>
          <w:ilvl w:val="0"/>
          <w:numId w:val="49"/>
        </w:numPr>
        <w:spacing w:after="80" w:line="300" w:lineRule="auto"/>
      </w:pPr>
      <w:r>
        <w:rPr>
          <w:rFonts w:ascii="Calibri" w:hAnsi="Calibri"/>
          <w:color w:val="222222"/>
        </w:rPr>
        <w:t>Do not choose a candidate solely because it creates more overlap.</w:t>
      </w:r>
    </w:p>
    <w:p>
      <w:pPr>
        <w:numPr>
          <w:ilvl w:val="0"/>
          <w:numId w:val="49"/>
        </w:numPr>
        <w:spacing w:after="80" w:line="300" w:lineRule="auto"/>
      </w:pPr>
      <w:r>
        <w:rPr>
          <w:rFonts w:ascii="Calibri" w:hAnsi="Calibri"/>
          <w:color w:val="222222"/>
        </w:rPr>
        <w:t>Never convert unidentified features into named metabolites using mass alone.</w:t>
      </w:r>
    </w:p>
    <w:p>
      <w:pPr>
        <w:numPr>
          <w:ilvl w:val="0"/>
          <w:numId w:val="49"/>
        </w:numPr>
        <w:spacing w:after="80" w:line="300" w:lineRule="auto"/>
      </w:pPr>
      <w:r>
        <w:rPr>
          <w:rFonts w:ascii="Calibri" w:hAnsi="Calibri"/>
          <w:color w:val="222222"/>
        </w:rPr>
        <w:t>Preserve exact specimen and time labels alongside broader categories.</w:t>
      </w:r>
    </w:p>
    <w:p>
      <w:pPr>
        <w:numPr>
          <w:ilvl w:val="0"/>
          <w:numId w:val="49"/>
        </w:numPr>
        <w:spacing w:after="80" w:line="300" w:lineRule="auto"/>
      </w:pPr>
      <w:r>
        <w:rPr>
          <w:rFonts w:ascii="Calibri" w:hAnsi="Calibri"/>
          <w:color w:val="222222"/>
        </w:rPr>
        <w:t>Do not treat unit conversion as batch correction.</w:t>
      </w:r>
    </w:p>
    <w:p>
      <w:pPr>
        <w:numPr>
          <w:ilvl w:val="0"/>
          <w:numId w:val="49"/>
        </w:numPr>
        <w:spacing w:after="80" w:line="300" w:lineRule="auto"/>
      </w:pPr>
      <w:r>
        <w:rPr>
          <w:rFonts w:ascii="Calibri" w:hAnsi="Calibri"/>
          <w:color w:val="222222"/>
        </w:rPr>
        <w:t>Exclude internal standards and nonbiological features by explicit rule, not by silently deleting inconvenient rows.</w:t>
      </w:r>
    </w:p>
    <w:p>
      <w:pPr>
        <w:numPr>
          <w:ilvl w:val="0"/>
          <w:numId w:val="49"/>
        </w:numPr>
        <w:spacing w:after="80" w:line="300" w:lineRule="auto"/>
      </w:pPr>
      <w:r>
        <w:rPr>
          <w:rFonts w:ascii="Calibri" w:hAnsi="Calibri"/>
          <w:color w:val="222222"/>
        </w:rPr>
        <w:t>Version mapping decisions because repositories and reference databases evolve.</w:t>
      </w:r>
    </w:p>
    <w:p>
      <w:pPr>
        <w:pStyle w:val="Heading2"/>
      </w:pPr>
      <w:r>
        <w:rPr>
          <w:rFonts w:ascii="Calibri" w:hAnsi="Calibri"/>
          <w:color w:val="222222"/>
        </w:rPr>
        <w:t>10. Knowledge check</w:t>
      </w:r>
    </w:p>
    <w:p>
      <w:r>
        <w:rPr>
          <w:rFonts w:ascii="Calibri" w:hAnsi="Calibri"/>
          <w:b/>
          <w:color w:val="222222"/>
        </w:rPr>
        <w:t>KC3-01.</w:t>
      </w:r>
      <w:r>
        <w:rPr>
          <w:rFonts w:ascii="Calibri" w:hAnsi="Calibri"/>
          <w:color w:val="222222"/>
        </w:rPr>
        <w:t xml:space="preserve"> A fuzzy RefMet lookup returns two plausible candidates and the deposited record has no formula or external identifier. What should you do?</w:t>
      </w:r>
    </w:p>
    <w:p>
      <w:r>
        <w:rPr>
          <w:rFonts w:ascii="Calibri" w:hAnsi="Calibri"/>
          <w:color w:val="222222"/>
        </w:rPr>
        <w:t>A. Select the first candidate.</w:t>
      </w:r>
    </w:p>
    <w:p>
      <w:r>
        <w:rPr>
          <w:rFonts w:ascii="Calibri" w:hAnsi="Calibri"/>
          <w:color w:val="222222"/>
        </w:rPr>
        <w:t>B. Select whichever candidate appears in the other study.</w:t>
      </w:r>
    </w:p>
    <w:p>
      <w:r>
        <w:rPr>
          <w:rFonts w:ascii="Calibri" w:hAnsi="Calibri"/>
          <w:color w:val="222222"/>
        </w:rPr>
        <w:t xml:space="preserve">C. Mark the row </w:t>
      </w:r>
      <w:r>
        <w:rPr>
          <w:rFonts w:ascii="Consolas" w:hAnsi="Consolas"/>
          <w:color w:val="1F4D78"/>
          <w:sz w:val="21"/>
          <w:shd w:fill="EEF1F4"/>
        </w:rPr>
        <w:t>review_required</w:t>
      </w:r>
      <w:r>
        <w:rPr>
          <w:rFonts w:ascii="Calibri" w:hAnsi="Calibri"/>
          <w:color w:val="222222"/>
        </w:rPr>
        <w:t xml:space="preserve"> or </w:t>
      </w:r>
      <w:r>
        <w:rPr>
          <w:rFonts w:ascii="Consolas" w:hAnsi="Consolas"/>
          <w:color w:val="1F4D78"/>
          <w:sz w:val="21"/>
          <w:shd w:fill="EEF1F4"/>
        </w:rPr>
        <w:t>unmapped</w:t>
      </w:r>
      <w:r>
        <w:rPr>
          <w:rFonts w:ascii="Calibri" w:hAnsi="Calibri"/>
          <w:color w:val="222222"/>
        </w:rPr>
        <w:t>, preserve both candidates, and exclude it from exact overlap until resolved.</w:t>
      </w:r>
    </w:p>
    <w:p>
      <w:r>
        <w:rPr>
          <w:rFonts w:ascii="Calibri" w:hAnsi="Calibri"/>
          <w:color w:val="222222"/>
        </w:rPr>
        <w:t>D. Replace it with a chemical class label and call it exact.</w:t>
      </w:r>
    </w:p>
    <w:p>
      <w:r>
        <w:rPr>
          <w:rFonts w:ascii="Calibri" w:hAnsi="Calibri"/>
          <w:b/>
          <w:color w:val="222222"/>
        </w:rPr>
        <w:t>KC3-02.</w:t>
      </w:r>
      <w:r>
        <w:rPr>
          <w:rFonts w:ascii="Calibri" w:hAnsi="Calibri"/>
          <w:color w:val="222222"/>
        </w:rPr>
        <w:t xml:space="preserve"> When can </w:t>
      </w:r>
      <w:r>
        <w:rPr>
          <w:rFonts w:ascii="Consolas" w:hAnsi="Consolas"/>
          <w:color w:val="1F4D78"/>
          <w:sz w:val="21"/>
          <w:shd w:fill="EEF1F4"/>
        </w:rPr>
        <w:t>umol/L</w:t>
      </w:r>
      <w:r>
        <w:rPr>
          <w:rFonts w:ascii="Calibri" w:hAnsi="Calibri"/>
          <w:color w:val="222222"/>
        </w:rPr>
        <w:t xml:space="preserve"> be converted to </w:t>
      </w:r>
      <w:r>
        <w:rPr>
          <w:rFonts w:ascii="Consolas" w:hAnsi="Consolas"/>
          <w:color w:val="1F4D78"/>
          <w:sz w:val="21"/>
          <w:shd w:fill="EEF1F4"/>
        </w:rPr>
        <w:t>mmol/L</w:t>
      </w:r>
      <w:r>
        <w:rPr>
          <w:rFonts w:ascii="Calibri" w:hAnsi="Calibri"/>
          <w:color w:val="222222"/>
        </w:rPr>
        <w:t xml:space="preserve"> for cross-study comparison?</w:t>
      </w:r>
    </w:p>
    <w:p>
      <w:r>
        <w:rPr>
          <w:rFonts w:ascii="Calibri" w:hAnsi="Calibri"/>
          <w:color w:val="222222"/>
        </w:rPr>
        <w:t>A. Whenever both unit strings are present.</w:t>
      </w:r>
    </w:p>
    <w:p>
      <w:r>
        <w:rPr>
          <w:rFonts w:ascii="Calibri" w:hAnsi="Calibri"/>
          <w:color w:val="222222"/>
        </w:rPr>
        <w:t>B. Only after confirming the same quantity, compatible matrix and denominator, quantification basis, and a recorded conversion.</w:t>
      </w:r>
    </w:p>
    <w:p>
      <w:r>
        <w:rPr>
          <w:rFonts w:ascii="Calibri" w:hAnsi="Calibri"/>
          <w:color w:val="222222"/>
        </w:rPr>
        <w:t>C. Only for lipids.</w:t>
      </w:r>
    </w:p>
    <w:p>
      <w:r>
        <w:rPr>
          <w:rFonts w:ascii="Calibri" w:hAnsi="Calibri"/>
          <w:color w:val="222222"/>
        </w:rPr>
        <w:t>D. Never.</w:t>
      </w:r>
    </w:p>
    <w:p>
      <w:r>
        <w:rPr>
          <w:rFonts w:ascii="Calibri" w:hAnsi="Calibri"/>
          <w:b/>
          <w:color w:val="222222"/>
        </w:rPr>
        <w:t>KC3-03.</w:t>
      </w:r>
      <w:r>
        <w:rPr>
          <w:rFonts w:ascii="Calibri" w:hAnsi="Calibri"/>
          <w:color w:val="222222"/>
        </w:rPr>
        <w:t xml:space="preserve"> Which crosswalk design is most reproducible?</w:t>
      </w:r>
    </w:p>
    <w:p>
      <w:r>
        <w:rPr>
          <w:rFonts w:ascii="Calibri" w:hAnsi="Calibri"/>
          <w:color w:val="222222"/>
        </w:rPr>
        <w:t>A. One column containing the final clean name.</w:t>
      </w:r>
    </w:p>
    <w:p>
      <w:r>
        <w:rPr>
          <w:rFonts w:ascii="Calibri" w:hAnsi="Calibri"/>
          <w:color w:val="222222"/>
        </w:rPr>
        <w:t>B. Original and standardized names, source and query provenance, mapping status, evidence, reviewer, decision reason, and purpose-specific eligibility.</w:t>
      </w:r>
    </w:p>
    <w:p>
      <w:r>
        <w:rPr>
          <w:rFonts w:ascii="Calibri" w:hAnsi="Calibri"/>
          <w:color w:val="222222"/>
        </w:rPr>
        <w:t>C. A list containing only mapped analytes.</w:t>
      </w:r>
    </w:p>
    <w:p>
      <w:r>
        <w:rPr>
          <w:rFonts w:ascii="Calibri" w:hAnsi="Calibri"/>
          <w:color w:val="222222"/>
        </w:rPr>
        <w:t>D. A table in which all ambiguities are manually forced to one value.</w:t>
      </w:r>
    </w:p>
    <w:p>
      <w:pPr>
        <w:pStyle w:val="Heading2"/>
      </w:pPr>
      <w:r>
        <w:rPr>
          <w:rFonts w:ascii="Calibri" w:hAnsi="Calibri"/>
          <w:color w:val="222222"/>
        </w:rPr>
        <w:t>Take-home message</w:t>
      </w:r>
    </w:p>
    <w:p>
      <w:r>
        <w:rPr>
          <w:rFonts w:ascii="Calibri" w:hAnsi="Calibri"/>
          <w:color w:val="222222"/>
        </w:rPr>
        <w:t>A good crosswalk is an auditable record of evidence and decisions. It standardizes what can be standardized, represents information loss explicitly, and protects unresolved cases from becoming false biological certainty.</w:t>
      </w:r>
    </w:p>
    <w:p>
      <w:pPr>
        <w:pStyle w:val="Heading2"/>
      </w:pPr>
      <w:r>
        <w:rPr>
          <w:rFonts w:ascii="Calibri" w:hAnsi="Calibri"/>
          <w:color w:val="222222"/>
        </w:rPr>
        <w:t>Primary sources and first-party documentation</w:t>
      </w:r>
    </w:p>
    <w:p>
      <w:pPr>
        <w:numPr>
          <w:ilvl w:val="0"/>
          <w:numId w:val="50"/>
        </w:numPr>
        <w:spacing w:after="80" w:line="300" w:lineRule="auto"/>
      </w:pPr>
      <w:r>
        <w:rPr>
          <w:rFonts w:ascii="Calibri" w:hAnsi="Calibri"/>
          <w:color w:val="222222"/>
        </w:rPr>
        <w:t xml:space="preserve">Metabolomics Workbench. </w:t>
      </w:r>
      <w:hyperlink r:id="rId23">
        <w:r>
          <w:rPr>
            <w:rFonts w:ascii="Calibri" w:hAnsi="Calibri"/>
            <w:color w:val="2E74B5"/>
            <w:u w:val="single"/>
            <w:sz w:val="22"/>
          </w:rPr>
          <w:t>RefMet database and name-conversion resources</w:t>
        </w:r>
      </w:hyperlink>
      <w:r>
        <w:rPr>
          <w:rFonts w:ascii="Calibri" w:hAnsi="Calibri"/>
          <w:color w:val="222222"/>
        </w:rPr>
        <w:t>. Accessed August 10, 2026.</w:t>
      </w:r>
    </w:p>
    <w:p>
      <w:pPr>
        <w:numPr>
          <w:ilvl w:val="0"/>
          <w:numId w:val="50"/>
        </w:numPr>
        <w:spacing w:after="80" w:line="300" w:lineRule="auto"/>
      </w:pPr>
      <w:r>
        <w:rPr>
          <w:rFonts w:ascii="Calibri" w:hAnsi="Calibri"/>
          <w:color w:val="222222"/>
        </w:rPr>
        <w:t xml:space="preserve">Metabolomics Workbench. </w:t>
      </w:r>
      <w:hyperlink r:id="rId24">
        <w:r>
          <w:rPr>
            <w:rFonts w:ascii="Calibri" w:hAnsi="Calibri"/>
            <w:color w:val="2E74B5"/>
            <w:u w:val="single"/>
            <w:sz w:val="22"/>
          </w:rPr>
          <w:t>RefMet naming conventions</w:t>
        </w:r>
      </w:hyperlink>
      <w:r>
        <w:rPr>
          <w:rFonts w:ascii="Calibri" w:hAnsi="Calibri"/>
          <w:color w:val="222222"/>
        </w:rPr>
        <w:t>. Accessed August 10, 2026.</w:t>
      </w:r>
    </w:p>
    <w:p>
      <w:pPr>
        <w:numPr>
          <w:ilvl w:val="0"/>
          <w:numId w:val="50"/>
        </w:numPr>
        <w:spacing w:after="80" w:line="300" w:lineRule="auto"/>
      </w:pPr>
      <w:r>
        <w:rPr>
          <w:rFonts w:ascii="Calibri" w:hAnsi="Calibri"/>
          <w:color w:val="222222"/>
        </w:rPr>
        <w:t xml:space="preserve">Fahy E, Subramaniam S. </w:t>
      </w:r>
      <w:hyperlink r:id="rId14">
        <w:r>
          <w:rPr>
            <w:rFonts w:ascii="Calibri" w:hAnsi="Calibri"/>
            <w:color w:val="2E74B5"/>
            <w:u w:val="single"/>
            <w:sz w:val="22"/>
          </w:rPr>
          <w:t>RefMet: a reference nomenclature for metabolomics</w:t>
        </w:r>
      </w:hyperlink>
      <w:r>
        <w:rPr>
          <w:rFonts w:ascii="Calibri" w:hAnsi="Calibri"/>
          <w:color w:val="222222"/>
        </w:rPr>
        <w:t xml:space="preserve">. </w:t>
      </w:r>
      <w:r>
        <w:rPr>
          <w:rFonts w:ascii="Calibri" w:hAnsi="Calibri"/>
          <w:i/>
          <w:color w:val="222222"/>
        </w:rPr>
        <w:t>Nature Methods</w:t>
      </w:r>
      <w:r>
        <w:rPr>
          <w:rFonts w:ascii="Calibri" w:hAnsi="Calibri"/>
          <w:color w:val="222222"/>
        </w:rPr>
        <w:t>. 2020;17:1173-1174.</w:t>
      </w:r>
    </w:p>
    <w:p>
      <w:pPr>
        <w:numPr>
          <w:ilvl w:val="0"/>
          <w:numId w:val="50"/>
        </w:numPr>
        <w:spacing w:after="80" w:line="300" w:lineRule="auto"/>
      </w:pPr>
      <w:r>
        <w:rPr>
          <w:rFonts w:ascii="Calibri" w:hAnsi="Calibri"/>
          <w:color w:val="222222"/>
        </w:rPr>
        <w:t xml:space="preserve">Metabolomics Workbench. </w:t>
      </w:r>
      <w:hyperlink r:id="rId11">
        <w:r>
          <w:rPr>
            <w:rFonts w:ascii="Calibri" w:hAnsi="Calibri"/>
            <w:color w:val="2E74B5"/>
            <w:u w:val="single"/>
            <w:sz w:val="22"/>
          </w:rPr>
          <w:t>REST Service, version 1.2</w:t>
        </w:r>
      </w:hyperlink>
      <w:r>
        <w:rPr>
          <w:rFonts w:ascii="Calibri" w:hAnsi="Calibri"/>
          <w:color w:val="222222"/>
        </w:rPr>
        <w:t>. Updated July 22, 2025; accessed August 10, 2026.</w:t>
      </w:r>
    </w:p>
    <w:p>
      <w:pPr>
        <w:numPr>
          <w:ilvl w:val="0"/>
          <w:numId w:val="50"/>
        </w:numPr>
        <w:spacing w:after="80" w:line="300" w:lineRule="auto"/>
      </w:pPr>
      <w:r>
        <w:rPr>
          <w:rFonts w:ascii="Calibri" w:hAnsi="Calibri"/>
          <w:color w:val="222222"/>
        </w:rPr>
        <w:t xml:space="preserve">Metabolomics Workbench. </w:t>
      </w:r>
      <w:hyperlink r:id="rId12">
        <w:r>
          <w:rPr>
            <w:rFonts w:ascii="Calibri" w:hAnsi="Calibri"/>
            <w:color w:val="2E74B5"/>
            <w:u w:val="single"/>
            <w:sz w:val="22"/>
          </w:rPr>
          <w:t>mwTab file specification and tutorials</w:t>
        </w:r>
      </w:hyperlink>
      <w:r>
        <w:rPr>
          <w:rFonts w:ascii="Calibri" w:hAnsi="Calibri"/>
          <w:color w:val="222222"/>
        </w:rPr>
        <w:t>. Accessed August 10, 2026.</w:t>
      </w:r>
    </w:p>
    <w:p>
      <w:pPr>
        <w:numPr>
          <w:ilvl w:val="0"/>
          <w:numId w:val="50"/>
        </w:numPr>
        <w:spacing w:after="80" w:line="300" w:lineRule="auto"/>
      </w:pPr>
      <w:r>
        <w:rPr>
          <w:rFonts w:ascii="Calibri" w:hAnsi="Calibri"/>
          <w:color w:val="222222"/>
        </w:rPr>
        <w:t xml:space="preserve">Powell CD, Moseley HNB. </w:t>
      </w:r>
      <w:hyperlink r:id="rId25">
        <w:r>
          <w:rPr>
            <w:rFonts w:ascii="Calibri" w:hAnsi="Calibri"/>
            <w:color w:val="2E74B5"/>
            <w:u w:val="single"/>
            <w:sz w:val="22"/>
          </w:rPr>
          <w:t>The mwtab Python Library for RESTful access and enhanced quality control, deposition, and curation of the Metabolomics Workbench Data Repository</w:t>
        </w:r>
      </w:hyperlink>
      <w:r>
        <w:rPr>
          <w:rFonts w:ascii="Calibri" w:hAnsi="Calibri"/>
          <w:color w:val="222222"/>
        </w:rPr>
        <w:t xml:space="preserve">. </w:t>
      </w:r>
      <w:r>
        <w:rPr>
          <w:rFonts w:ascii="Calibri" w:hAnsi="Calibri"/>
          <w:i/>
          <w:color w:val="222222"/>
        </w:rPr>
        <w:t>Metabolites</w:t>
      </w:r>
      <w:r>
        <w:rPr>
          <w:rFonts w:ascii="Calibri" w:hAnsi="Calibri"/>
          <w:color w:val="222222"/>
        </w:rPr>
        <w:t>. 2021;11(3):163.</w:t>
      </w:r>
    </w:p>
    <w:p>
      <w:pPr>
        <w:numPr>
          <w:ilvl w:val="0"/>
          <w:numId w:val="50"/>
        </w:numPr>
        <w:spacing w:after="80" w:line="300" w:lineRule="auto"/>
      </w:pPr>
      <w:r>
        <w:rPr>
          <w:rFonts w:ascii="Calibri" w:hAnsi="Calibri"/>
          <w:color w:val="222222"/>
        </w:rPr>
        <w:t xml:space="preserve">Sumner LW, Amberg A, Barrett D, et al. </w:t>
      </w:r>
      <w:hyperlink r:id="rId26">
        <w:r>
          <w:rPr>
            <w:rFonts w:ascii="Calibri" w:hAnsi="Calibri"/>
            <w:color w:val="2E74B5"/>
            <w:u w:val="single"/>
            <w:sz w:val="22"/>
          </w:rPr>
          <w:t>Proposed minimum reporting standards for chemical analysis</w:t>
        </w:r>
      </w:hyperlink>
      <w:r>
        <w:rPr>
          <w:rFonts w:ascii="Calibri" w:hAnsi="Calibri"/>
          <w:color w:val="222222"/>
        </w:rPr>
        <w:t xml:space="preserve">. </w:t>
      </w:r>
      <w:r>
        <w:rPr>
          <w:rFonts w:ascii="Calibri" w:hAnsi="Calibri"/>
          <w:i/>
          <w:color w:val="222222"/>
        </w:rPr>
        <w:t>Metabolomics</w:t>
      </w:r>
      <w:r>
        <w:rPr>
          <w:rFonts w:ascii="Calibri" w:hAnsi="Calibri"/>
          <w:color w:val="222222"/>
        </w:rPr>
        <w:t>. 2007;3:211-221.</w:t>
      </w:r>
    </w:p>
    <w:p>
      <w:r>
        <w:br w:type="page"/>
      </w:r>
    </w:p>
    <w:p>
      <w:pPr>
        <w:pStyle w:val="Heading1"/>
      </w:pPr>
      <w:r>
        <w:rPr>
          <w:rFonts w:ascii="Calibri" w:hAnsi="Calibri"/>
          <w:color w:val="222222"/>
        </w:rPr>
        <w:t>Lesson 4 - Guided analysis and biological interpretation</w:t>
      </w:r>
    </w:p>
    <w:p>
      <w:r>
        <w:rPr>
          <w:rFonts w:ascii="Calibri" w:hAnsi="Calibri"/>
          <w:b/>
          <w:color w:val="222222"/>
        </w:rPr>
        <w:t>Estimated time:</w:t>
      </w:r>
      <w:r>
        <w:rPr>
          <w:rFonts w:ascii="Calibri" w:hAnsi="Calibri"/>
          <w:color w:val="222222"/>
        </w:rPr>
        <w:t xml:space="preserve"> 40 minutes</w:t>
      </w:r>
    </w:p>
    <w:p>
      <w:r>
        <w:rPr>
          <w:rFonts w:ascii="Calibri" w:hAnsi="Calibri"/>
          <w:b/>
          <w:color w:val="222222"/>
        </w:rPr>
        <w:t>Bloom levels:</w:t>
      </w:r>
      <w:r>
        <w:rPr>
          <w:rFonts w:ascii="Calibri" w:hAnsi="Calibri"/>
          <w:color w:val="222222"/>
        </w:rPr>
        <w:t xml:space="preserve"> Apply, analyze, evaluate</w:t>
      </w:r>
    </w:p>
    <w:p>
      <w:r>
        <w:rPr>
          <w:rFonts w:ascii="Calibri" w:hAnsi="Calibri"/>
          <w:b/>
          <w:color w:val="222222"/>
        </w:rPr>
        <w:t>Module objectives addressed:</w:t>
      </w:r>
      <w:r>
        <w:rPr>
          <w:rFonts w:ascii="Calibri" w:hAnsi="Calibri"/>
          <w:color w:val="222222"/>
        </w:rPr>
        <w:t xml:space="preserve"> LO2, LO4</w:t>
      </w:r>
    </w:p>
    <w:p>
      <w:pPr>
        <w:pStyle w:val="Heading2"/>
      </w:pPr>
      <w:r>
        <w:rPr>
          <w:rFonts w:ascii="Calibri" w:hAnsi="Calibri"/>
          <w:color w:val="222222"/>
        </w:rPr>
        <w:t>Learning objectives</w:t>
      </w:r>
    </w:p>
    <w:p>
      <w:r>
        <w:rPr>
          <w:rFonts w:ascii="Calibri" w:hAnsi="Calibri"/>
          <w:color w:val="222222"/>
        </w:rPr>
        <w:t>By the end of this lesson, you will be able to:</w:t>
      </w:r>
    </w:p>
    <w:p>
      <w:pPr>
        <w:numPr>
          <w:ilvl w:val="0"/>
          <w:numId w:val="51"/>
        </w:numPr>
        <w:spacing w:after="80" w:line="300" w:lineRule="auto"/>
      </w:pPr>
      <w:r>
        <w:rPr>
          <w:rFonts w:ascii="Calibri" w:hAnsi="Calibri"/>
          <w:color w:val="222222"/>
        </w:rPr>
        <w:t>Retrieve and validate study summaries, factors, analyses, metabolites, and data through the Metabolomics Workbench REST API.</w:t>
      </w:r>
    </w:p>
    <w:p>
      <w:pPr>
        <w:numPr>
          <w:ilvl w:val="0"/>
          <w:numId w:val="51"/>
        </w:numPr>
        <w:spacing w:after="80" w:line="300" w:lineRule="auto"/>
      </w:pPr>
      <w:r>
        <w:rPr>
          <w:rFonts w:ascii="Calibri" w:hAnsi="Calibri"/>
          <w:color w:val="222222"/>
        </w:rPr>
        <w:t>Apply the reviewed crosswalk without losing study, analysis, sample, specimen, or timepoint provenance.</w:t>
      </w:r>
    </w:p>
    <w:p>
      <w:pPr>
        <w:numPr>
          <w:ilvl w:val="0"/>
          <w:numId w:val="51"/>
        </w:numPr>
        <w:spacing w:after="80" w:line="300" w:lineRule="auto"/>
      </w:pPr>
      <w:r>
        <w:rPr>
          <w:rFonts w:ascii="Calibri" w:hAnsi="Calibri"/>
          <w:color w:val="222222"/>
        </w:rPr>
        <w:t>Quantify name-level overlap and summarize chemical classes with explicit eligibility rules.</w:t>
      </w:r>
    </w:p>
    <w:p>
      <w:pPr>
        <w:numPr>
          <w:ilvl w:val="0"/>
          <w:numId w:val="51"/>
        </w:numPr>
        <w:spacing w:after="80" w:line="300" w:lineRule="auto"/>
      </w:pPr>
      <w:r>
        <w:rPr>
          <w:rFonts w:ascii="Calibri" w:hAnsi="Calibri"/>
          <w:color w:val="222222"/>
        </w:rPr>
        <w:t>Run and interpret principal component analysis within each study as an exploratory diagnostic.</w:t>
      </w:r>
    </w:p>
    <w:p>
      <w:pPr>
        <w:numPr>
          <w:ilvl w:val="0"/>
          <w:numId w:val="51"/>
        </w:numPr>
        <w:spacing w:after="80" w:line="300" w:lineRule="auto"/>
      </w:pPr>
      <w:r>
        <w:rPr>
          <w:rFonts w:ascii="Calibri" w:hAnsi="Calibri"/>
          <w:color w:val="222222"/>
        </w:rPr>
        <w:t>Separate observations supported by the output from explanations that remain biologically or technically ambiguous.</w:t>
      </w:r>
    </w:p>
    <w:p>
      <w:pPr>
        <w:pStyle w:val="Heading2"/>
      </w:pPr>
      <w:r>
        <w:rPr>
          <w:rFonts w:ascii="Calibri" w:hAnsi="Calibri"/>
          <w:color w:val="222222"/>
        </w:rPr>
        <w:t>Lesson map</w:t>
      </w:r>
    </w:p>
    <w:tbl>
      <w:tblPr>
        <w:tblStyle w:val="TableGrid"/>
        <w:tblW w:type="dxa" w:w="9360"/>
        <w:jc w:val="left"/>
        <w:tblLayout w:type="fixed"/>
        <w:tblLook w:firstColumn="1" w:firstRow="1" w:lastColumn="0" w:lastRow="0" w:noHBand="0" w:noVBand="1" w:val="04A0"/>
        <w:tblInd w:w="120" w:type="dxa"/>
      </w:tblPr>
      <w:tblGrid>
        <w:gridCol w:w="6552"/>
        <w:gridCol w:w="2808"/>
      </w:tblGrid>
      <w:tr>
        <w:trPr>
          <w:cantSplit w:val="true"/>
          <w:tblHeader w:val="true"/>
        </w:trPr>
        <w:tc>
          <w:tcPr>
            <w:tcW w:type="dxa" w:w="655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Activity</w:t>
            </w:r>
          </w:p>
        </w:tc>
        <w:tc>
          <w:tcPr>
            <w:tcW w:type="dxa" w:w="280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Minutes</w:t>
            </w:r>
          </w:p>
        </w:tc>
      </w:tr>
      <w:tr>
        <w:trPr>
          <w:cantSplit w:val="true"/>
        </w:trPr>
        <w:tc>
          <w:tcPr>
            <w:tcW w:type="dxa" w:w="655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Configure, retrieve, and validate</w:t>
            </w:r>
          </w:p>
        </w:tc>
        <w:tc>
          <w:tcPr>
            <w:tcW w:type="dxa" w:w="280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8</w:t>
            </w:r>
          </w:p>
        </w:tc>
      </w:tr>
      <w:tr>
        <w:trPr>
          <w:cantSplit w:val="true"/>
        </w:trPr>
        <w:tc>
          <w:tcPr>
            <w:tcW w:type="dxa" w:w="655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Join and audit the crosswalk</w:t>
            </w:r>
          </w:p>
        </w:tc>
        <w:tc>
          <w:tcPr>
            <w:tcW w:type="dxa" w:w="280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6</w:t>
            </w:r>
          </w:p>
        </w:tc>
      </w:tr>
      <w:tr>
        <w:trPr>
          <w:cantSplit w:val="true"/>
        </w:trPr>
        <w:tc>
          <w:tcPr>
            <w:tcW w:type="dxa" w:w="655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Overlap and class summaries</w:t>
            </w:r>
          </w:p>
        </w:tc>
        <w:tc>
          <w:tcPr>
            <w:tcW w:type="dxa" w:w="280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7</w:t>
            </w:r>
          </w:p>
        </w:tc>
      </w:tr>
      <w:tr>
        <w:trPr>
          <w:cantSplit w:val="true"/>
        </w:trPr>
        <w:tc>
          <w:tcPr>
            <w:tcW w:type="dxa" w:w="655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Within-study PCA</w:t>
            </w:r>
          </w:p>
        </w:tc>
        <w:tc>
          <w:tcPr>
            <w:tcW w:type="dxa" w:w="280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9</w:t>
            </w:r>
          </w:p>
        </w:tc>
      </w:tr>
      <w:tr>
        <w:trPr>
          <w:cantSplit w:val="true"/>
        </w:trPr>
        <w:tc>
          <w:tcPr>
            <w:tcW w:type="dxa" w:w="655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Interpretation challenge</w:t>
            </w:r>
          </w:p>
        </w:tc>
        <w:tc>
          <w:tcPr>
            <w:tcW w:type="dxa" w:w="280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7</w:t>
            </w:r>
          </w:p>
        </w:tc>
      </w:tr>
      <w:tr>
        <w:trPr>
          <w:cantSplit w:val="true"/>
        </w:trPr>
        <w:tc>
          <w:tcPr>
            <w:tcW w:type="dxa" w:w="655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Knowledge check</w:t>
            </w:r>
          </w:p>
        </w:tc>
        <w:tc>
          <w:tcPr>
            <w:tcW w:type="dxa" w:w="280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bl>
    <w:p>
      <w:pPr>
        <w:spacing w:before="0" w:after="40"/>
      </w:pPr>
    </w:p>
    <w:p>
      <w:pPr>
        <w:spacing w:before="100" w:after="120"/>
        <w:ind w:left="259" w:right="115"/>
        <w:shd w:fill="F4F6F9"/>
        <w:pBdr>
          <w:left w:val="single" w:sz="16" w:space="8" w:color="2E74B5"/>
        </w:pBdr>
      </w:pPr>
      <w:r>
        <w:rPr>
          <w:rFonts w:ascii="Calibri" w:hAnsi="Calibri"/>
          <w:b/>
          <w:color w:val="1F4D78"/>
        </w:rPr>
        <w:t>Notebook connection - `NB-L4`.</w:t>
      </w:r>
      <w:r>
        <w:rPr>
          <w:rFonts w:ascii="Calibri" w:hAnsi="Calibri"/>
          <w:color w:val="1F4D78"/>
        </w:rPr>
        <w:t xml:space="preserve"> Open </w:t>
      </w:r>
      <w:r>
        <w:rPr>
          <w:rFonts w:ascii="Calibri" w:hAnsi="Calibri"/>
          <w:b/>
          <w:color w:val="1F4D78"/>
        </w:rPr>
        <w:t>Lesson 4 - Guided analysis and biological interpretation (`NB-L4`)</w:t>
      </w:r>
      <w:r>
        <w:rPr>
          <w:rFonts w:ascii="Calibri" w:hAnsi="Calibri"/>
          <w:color w:val="1F4D78"/>
        </w:rPr>
        <w:t xml:space="preserve"> in </w:t>
      </w:r>
      <w:r>
        <w:rPr>
          <w:rFonts w:ascii="Consolas" w:hAnsi="Consolas"/>
          <w:color w:val="1F4D78"/>
          <w:sz w:val="21"/>
          <w:shd w:fill="EEF1F4"/>
        </w:rPr>
        <w:t>module/notebooks/metabo_diet_harmonization.ipynb</w:t>
      </w:r>
      <w:r>
        <w:rPr>
          <w:rFonts w:ascii="Calibri" w:hAnsi="Calibri"/>
          <w:color w:val="1F4D78"/>
        </w:rPr>
        <w:t xml:space="preserve">. Run </w:t>
      </w:r>
      <w:r>
        <w:rPr>
          <w:rFonts w:ascii="Consolas" w:hAnsi="Consolas"/>
          <w:color w:val="1F4D78"/>
          <w:sz w:val="21"/>
          <w:shd w:fill="EEF1F4"/>
        </w:rPr>
        <w:t>NB-L4-CLASS</w:t>
      </w:r>
      <w:r>
        <w:rPr>
          <w:rFonts w:ascii="Calibri" w:hAnsi="Calibri"/>
          <w:color w:val="1F4D78"/>
        </w:rPr>
        <w:t xml:space="preserve">, then </w:t>
      </w:r>
      <w:r>
        <w:rPr>
          <w:rFonts w:ascii="Consolas" w:hAnsi="Consolas"/>
          <w:color w:val="1F4D78"/>
          <w:sz w:val="21"/>
          <w:shd w:fill="EEF1F4"/>
        </w:rPr>
        <w:t>NB-L4-PCA-DIET</w:t>
      </w:r>
      <w:r>
        <w:rPr>
          <w:rFonts w:ascii="Calibri" w:hAnsi="Calibri"/>
          <w:color w:val="1F4D78"/>
        </w:rPr>
        <w:t xml:space="preserve"> and </w:t>
      </w:r>
      <w:r>
        <w:rPr>
          <w:rFonts w:ascii="Consolas" w:hAnsi="Consolas"/>
          <w:color w:val="1F4D78"/>
          <w:sz w:val="21"/>
          <w:shd w:fill="EEF1F4"/>
        </w:rPr>
        <w:t>NB-L4-PCA-EXERCISE</w:t>
      </w:r>
      <w:r>
        <w:rPr>
          <w:rFonts w:ascii="Calibri" w:hAnsi="Calibri"/>
          <w:color w:val="1F4D78"/>
        </w:rPr>
        <w:t xml:space="preserve"> separately. Complete the shared-class learner-edit cell and the four-sentence interpretation before viewing the sample answer. The worked PCA figures are reproduced in the guide's </w:t>
      </w:r>
      <w:r>
        <w:rPr>
          <w:rFonts w:ascii="Calibri" w:hAnsi="Calibri"/>
          <w:b/>
          <w:color w:val="1F4D78"/>
        </w:rPr>
        <w:t>Appendix - PCA worked examples</w:t>
      </w:r>
      <w:r>
        <w:rPr>
          <w:rFonts w:ascii="Calibri" w:hAnsi="Calibri"/>
          <w:color w:val="1F4D78"/>
        </w:rPr>
        <w:t>.</w:t>
      </w:r>
    </w:p>
    <w:p>
      <w:pPr>
        <w:pStyle w:val="Heading2"/>
      </w:pPr>
      <w:r>
        <w:rPr>
          <w:rFonts w:ascii="Calibri" w:hAnsi="Calibri"/>
          <w:color w:val="222222"/>
        </w:rPr>
        <w:t>1. Locked case-study configuration</w:t>
      </w:r>
    </w:p>
    <w:p>
      <w:r>
        <w:rPr>
          <w:rFonts w:ascii="Calibri" w:hAnsi="Calibri"/>
          <w:color w:val="222222"/>
        </w:rPr>
        <w:t>The release configuration is:</w:t>
      </w:r>
    </w:p>
    <w:p>
      <w:pPr>
        <w:spacing w:before="0" w:after="0" w:line="240" w:lineRule="auto"/>
        <w:ind w:left="259" w:right="72"/>
        <w:shd w:fill="F3F5F7"/>
        <w:pBdr>
          <w:left w:val="single" w:sz="16" w:space="8" w:color="B8C3CC"/>
        </w:pBdr>
      </w:pPr>
      <w:r>
        <w:rPr>
          <w:rFonts w:ascii="Consolas" w:hAnsi="Consolas"/>
          <w:color w:val="24313B"/>
          <w:sz w:val="16"/>
        </w:rPr>
        <w:t>DIET_ACCESSION = ST001521</w:t>
      </w:r>
    </w:p>
    <w:p>
      <w:pPr>
        <w:spacing w:before="0" w:after="0" w:line="240" w:lineRule="auto"/>
        <w:ind w:left="259" w:right="72"/>
        <w:shd w:fill="F3F5F7"/>
        <w:pBdr>
          <w:left w:val="single" w:sz="16" w:space="8" w:color="B8C3CC"/>
        </w:pBdr>
      </w:pPr>
      <w:r>
        <w:rPr>
          <w:rFonts w:ascii="Consolas" w:hAnsi="Consolas"/>
          <w:color w:val="24313B"/>
          <w:sz w:val="16"/>
        </w:rPr>
        <w:t>EXERCISE_ACCESSION = ST003348</w:t>
      </w:r>
    </w:p>
    <w:p>
      <w:r>
        <w:rPr>
          <w:rFonts w:ascii="Calibri" w:hAnsi="Calibri"/>
          <w:color w:val="222222"/>
        </w:rPr>
        <w:t>Keep the variable names in code and prose even though the accessions are now locked. This preserves the proposal's one-cell substitution design and makes a fallback pair possible.</w:t>
      </w:r>
    </w:p>
    <w:p>
      <w:pPr>
        <w:pStyle w:val="Heading3"/>
      </w:pPr>
      <w:r>
        <w:rPr>
          <w:rFonts w:ascii="Calibri" w:hAnsi="Calibri"/>
          <w:color w:val="222222"/>
        </w:rPr>
        <w:t xml:space="preserve">Diet case: </w:t>
      </w:r>
      <w:r>
        <w:rPr>
          <w:rFonts w:ascii="Consolas" w:hAnsi="Consolas"/>
          <w:color w:val="1F4D78"/>
          <w:sz w:val="21"/>
          <w:shd w:fill="EEF1F4"/>
        </w:rPr>
        <w:t>ST001521</w:t>
      </w:r>
    </w:p>
    <w:p>
      <w:r>
        <w:rPr>
          <w:rFonts w:ascii="Calibri" w:hAnsi="Calibri"/>
          <w:color w:val="222222"/>
        </w:rPr>
        <w:t xml:space="preserve">Metabolomics Workbench describes this FARMM study as a longitudinal human feeding study with three diet groups and plasma metabolomics. The study record reports 30 volunteers and five biological collection times. The factor response contains 160 rows: 150 participant-timepoint rows plus 10 pooled quality-control rows labeled </w:t>
      </w:r>
      <w:r>
        <w:rPr>
          <w:rFonts w:ascii="Consolas" w:hAnsi="Consolas"/>
          <w:color w:val="1F4D78"/>
          <w:sz w:val="21"/>
          <w:shd w:fill="EEF1F4"/>
        </w:rPr>
        <w:t>QPP...</w:t>
      </w:r>
      <w:r>
        <w:rPr>
          <w:rFonts w:ascii="Calibri" w:hAnsi="Calibri"/>
          <w:color w:val="222222"/>
        </w:rPr>
        <w:t xml:space="preserve"> with diet, sex, and time recorded as </w:t>
      </w:r>
      <w:r>
        <w:rPr>
          <w:rFonts w:ascii="Consolas" w:hAnsi="Consolas"/>
          <w:color w:val="1F4D78"/>
          <w:sz w:val="21"/>
          <w:shd w:fill="EEF1F4"/>
        </w:rPr>
        <w:t>NA</w:t>
      </w:r>
      <w:r>
        <w:rPr>
          <w:rFonts w:ascii="Calibri" w:hAnsi="Calibri"/>
          <w:color w:val="222222"/>
        </w:rPr>
        <w:t>. Four analysis records cover different chromatography and ion-mode combinations and report unitless peak areas.</w:t>
      </w:r>
    </w:p>
    <w:p>
      <w:r>
        <w:rPr>
          <w:rFonts w:ascii="Calibri" w:hAnsi="Calibri"/>
          <w:color w:val="222222"/>
        </w:rPr>
        <w:t>The design is richer than a simple three-arm diet contrast. The study summary states that participants underwent an antibiotic and polyethylene glycol intervention during the time course; the vegan group continued its usual diet as outpatients, while 20 omnivores were randomized to an omnivore diet or exclusive enteral nutrition in an inpatient unit. Consequently, a change across study days cannot be attributed to diet alone without a design-appropriate model and assumptions.</w:t>
      </w:r>
    </w:p>
    <w:p>
      <w:pPr>
        <w:pStyle w:val="Heading3"/>
      </w:pPr>
      <w:r>
        <w:rPr>
          <w:rFonts w:ascii="Calibri" w:hAnsi="Calibri"/>
          <w:color w:val="222222"/>
        </w:rPr>
        <w:t xml:space="preserve">Exercise case: </w:t>
      </w:r>
      <w:r>
        <w:rPr>
          <w:rFonts w:ascii="Consolas" w:hAnsi="Consolas"/>
          <w:color w:val="1F4D78"/>
          <w:sz w:val="21"/>
          <w:shd w:fill="EEF1F4"/>
        </w:rPr>
        <w:t>ST003348</w:t>
      </w:r>
    </w:p>
    <w:p>
      <w:r>
        <w:rPr>
          <w:rFonts w:ascii="Calibri" w:hAnsi="Calibri"/>
          <w:color w:val="222222"/>
        </w:rPr>
        <w:t xml:space="preserve">Metabolomics Workbench describes an endurance exercise study of race walkers with 76 samples: 19 athletes at four timepoints. The project record defines </w:t>
      </w:r>
      <w:r>
        <w:rPr>
          <w:rFonts w:ascii="Consolas" w:hAnsi="Consolas"/>
          <w:color w:val="1F4D78"/>
          <w:sz w:val="21"/>
          <w:shd w:fill="EEF1F4"/>
        </w:rPr>
        <w:t>REST</w:t>
      </w:r>
      <w:r>
        <w:rPr>
          <w:rFonts w:ascii="Calibri" w:hAnsi="Calibri"/>
          <w:color w:val="222222"/>
        </w:rPr>
        <w:t xml:space="preserve"> as pre-exercise, </w:t>
      </w:r>
      <w:r>
        <w:rPr>
          <w:rFonts w:ascii="Consolas" w:hAnsi="Consolas"/>
          <w:color w:val="1F4D78"/>
          <w:sz w:val="21"/>
          <w:shd w:fill="EEF1F4"/>
        </w:rPr>
        <w:t>STAT</w:t>
      </w:r>
      <w:r>
        <w:rPr>
          <w:rFonts w:ascii="Calibri" w:hAnsi="Calibri"/>
          <w:color w:val="222222"/>
        </w:rPr>
        <w:t xml:space="preserve"> as immediately post-exercise, </w:t>
      </w:r>
      <w:r>
        <w:rPr>
          <w:rFonts w:ascii="Consolas" w:hAnsi="Consolas"/>
          <w:color w:val="1F4D78"/>
          <w:sz w:val="21"/>
          <w:shd w:fill="EEF1F4"/>
        </w:rPr>
        <w:t>REC3</w:t>
      </w:r>
      <w:r>
        <w:rPr>
          <w:rFonts w:ascii="Calibri" w:hAnsi="Calibri"/>
          <w:color w:val="222222"/>
        </w:rPr>
        <w:t xml:space="preserve"> as 3 hours into recovery, and </w:t>
      </w:r>
      <w:r>
        <w:rPr>
          <w:rFonts w:ascii="Consolas" w:hAnsi="Consolas"/>
          <w:color w:val="1F4D78"/>
          <w:sz w:val="21"/>
          <w:shd w:fill="EEF1F4"/>
        </w:rPr>
        <w:t>REC22</w:t>
      </w:r>
      <w:r>
        <w:rPr>
          <w:rFonts w:ascii="Calibri" w:hAnsi="Calibri"/>
          <w:color w:val="222222"/>
        </w:rPr>
        <w:t xml:space="preserve"> as 22 hours post-exercise. Two analysis records cover reversed-phase positive- and negative-ion modes and report peak area.</w:t>
      </w:r>
    </w:p>
    <w:p>
      <w:r>
        <w:rPr>
          <w:rFonts w:ascii="Calibri" w:hAnsi="Calibri"/>
          <w:color w:val="222222"/>
        </w:rPr>
        <w:t xml:space="preserve">The factors endpoint uses the broad sample-source label </w:t>
      </w:r>
      <w:r>
        <w:rPr>
          <w:rFonts w:ascii="Consolas" w:hAnsi="Consolas"/>
          <w:color w:val="1F4D78"/>
          <w:sz w:val="21"/>
          <w:shd w:fill="EEF1F4"/>
        </w:rPr>
        <w:t>blood</w:t>
      </w:r>
      <w:r>
        <w:rPr>
          <w:rFonts w:ascii="Calibri" w:hAnsi="Calibri"/>
          <w:color w:val="222222"/>
        </w:rPr>
        <w:t xml:space="preserve">, while the collection record specifies </w:t>
      </w:r>
      <w:r>
        <w:rPr>
          <w:rFonts w:ascii="Consolas" w:hAnsi="Consolas"/>
          <w:color w:val="1F4D78"/>
          <w:sz w:val="21"/>
          <w:shd w:fill="EEF1F4"/>
        </w:rPr>
        <w:t>Blood (serum)</w:t>
      </w:r>
      <w:r>
        <w:rPr>
          <w:rFonts w:ascii="Calibri" w:hAnsi="Calibri"/>
          <w:color w:val="222222"/>
        </w:rPr>
        <w:t xml:space="preserve"> and describes clotting and serum preparation. This apparent discrepancy is instructive: use the more specific supported matrix for analysis, preserve the broad submitted factor, and cite both sources in the decision log.</w:t>
      </w:r>
    </w:p>
    <w:p>
      <w:pPr>
        <w:pStyle w:val="Heading3"/>
      </w:pPr>
      <w:r>
        <w:rPr>
          <w:rFonts w:ascii="Calibri" w:hAnsi="Calibri"/>
          <w:color w:val="222222"/>
        </w:rPr>
        <w:t>Cross-study compatibility decision</w:t>
      </w:r>
    </w:p>
    <w:p>
      <w:r>
        <w:rPr>
          <w:rFonts w:ascii="Calibri" w:hAnsi="Calibri"/>
          <w:color w:val="222222"/>
        </w:rPr>
        <w:t>The diet study uses plasma; the exercise study uses serum. Their time axes also represent different processes: study days spanning feeding and microbiota-depletion procedures versus minutes to hours after an endurance exercise bout. Treat both domains as partially comparable for broad discovery and not directly comparable for a pooled quantitative effect.</w:t>
      </w:r>
    </w:p>
    <w:p>
      <w:pPr>
        <w:pStyle w:val="Heading2"/>
      </w:pPr>
      <w:r>
        <w:rPr>
          <w:rFonts w:ascii="Calibri" w:hAnsi="Calibri"/>
          <w:color w:val="222222"/>
        </w:rPr>
        <w:t>2. Open the notebook safely</w:t>
      </w:r>
    </w:p>
    <w:p>
      <w:r>
        <w:rPr>
          <w:rFonts w:ascii="Calibri" w:hAnsi="Calibri"/>
          <w:color w:val="222222"/>
        </w:rPr>
        <w:t xml:space="preserve">Open </w:t>
      </w:r>
      <w:r>
        <w:rPr>
          <w:rFonts w:ascii="Consolas" w:hAnsi="Consolas"/>
          <w:color w:val="1F4D78"/>
          <w:sz w:val="21"/>
          <w:shd w:fill="EEF1F4"/>
        </w:rPr>
        <w:t>module/notebooks/metabo_diet_harmonization.ipynb</w:t>
      </w:r>
      <w:r>
        <w:rPr>
          <w:rFonts w:ascii="Calibri" w:hAnsi="Calibri"/>
          <w:color w:val="222222"/>
        </w:rPr>
        <w:t xml:space="preserve"> in a fresh </w:t>
      </w:r>
      <w:r>
        <w:rPr>
          <w:rFonts w:ascii="Calibri" w:hAnsi="Calibri"/>
          <w:b/>
          <w:color w:val="222222"/>
        </w:rPr>
        <w:t>Python 3 (Metabo-Diet)</w:t>
      </w:r>
      <w:r>
        <w:rPr>
          <w:rFonts w:ascii="Calibri" w:hAnsi="Calibri"/>
          <w:color w:val="222222"/>
        </w:rPr>
        <w:t xml:space="preserve"> kernel. Complete </w:t>
      </w:r>
      <w:r>
        <w:rPr>
          <w:rFonts w:ascii="Consolas" w:hAnsi="Consolas"/>
          <w:color w:val="1F4D78"/>
          <w:sz w:val="21"/>
          <w:shd w:fill="EEF1F4"/>
        </w:rPr>
        <w:t>NB-SETUP</w:t>
      </w:r>
      <w:r>
        <w:rPr>
          <w:rFonts w:ascii="Calibri" w:hAnsi="Calibri"/>
          <w:color w:val="222222"/>
        </w:rPr>
        <w:t xml:space="preserve"> and run </w:t>
      </w:r>
      <w:r>
        <w:rPr>
          <w:rFonts w:ascii="Consolas" w:hAnsi="Consolas"/>
          <w:color w:val="1F4D78"/>
          <w:sz w:val="21"/>
          <w:shd w:fill="EEF1F4"/>
        </w:rPr>
        <w:t>NB-L1</w:t>
      </w:r>
      <w:r>
        <w:rPr>
          <w:rFonts w:ascii="Calibri" w:hAnsi="Calibri"/>
          <w:color w:val="222222"/>
        </w:rPr>
        <w:t xml:space="preserve"> through </w:t>
      </w:r>
      <w:r>
        <w:rPr>
          <w:rFonts w:ascii="Consolas" w:hAnsi="Consolas"/>
          <w:color w:val="1F4D78"/>
          <w:sz w:val="21"/>
          <w:shd w:fill="EEF1F4"/>
        </w:rPr>
        <w:t>NB-L3</w:t>
      </w:r>
      <w:r>
        <w:rPr>
          <w:rFonts w:ascii="Calibri" w:hAnsi="Calibri"/>
          <w:color w:val="222222"/>
        </w:rPr>
        <w:t xml:space="preserve"> before starting this lesson; the Lesson 4 cells depend on those validated objects. Then follow this order:</w:t>
      </w:r>
    </w:p>
    <w:p>
      <w:pPr>
        <w:numPr>
          <w:ilvl w:val="0"/>
          <w:numId w:val="52"/>
        </w:numPr>
        <w:spacing w:after="80" w:line="300" w:lineRule="auto"/>
      </w:pPr>
      <w:r>
        <w:rPr>
          <w:rFonts w:ascii="Calibri" w:hAnsi="Calibri"/>
          <w:color w:val="222222"/>
        </w:rPr>
        <w:t xml:space="preserve">Run </w:t>
      </w:r>
      <w:r>
        <w:rPr>
          <w:rFonts w:ascii="Consolas" w:hAnsi="Consolas"/>
          <w:color w:val="1F4D78"/>
          <w:sz w:val="21"/>
          <w:shd w:fill="EEF1F4"/>
        </w:rPr>
        <w:t>NB-L4-CLASS</w:t>
      </w:r>
      <w:r>
        <w:rPr>
          <w:rFonts w:ascii="Calibri" w:hAnsi="Calibri"/>
          <w:color w:val="222222"/>
        </w:rPr>
        <w:t xml:space="preserve"> and confirm that the class counts sum to 145.</w:t>
      </w:r>
    </w:p>
    <w:p>
      <w:pPr>
        <w:numPr>
          <w:ilvl w:val="0"/>
          <w:numId w:val="52"/>
        </w:numPr>
        <w:spacing w:after="80" w:line="300" w:lineRule="auto"/>
      </w:pPr>
      <w:r>
        <w:rPr>
          <w:rFonts w:ascii="Calibri" w:hAnsi="Calibri"/>
          <w:color w:val="222222"/>
        </w:rPr>
        <w:t xml:space="preserve">Run </w:t>
      </w:r>
      <w:r>
        <w:rPr>
          <w:rFonts w:ascii="Consolas" w:hAnsi="Consolas"/>
          <w:color w:val="1F4D78"/>
          <w:sz w:val="21"/>
          <w:shd w:fill="EEF1F4"/>
        </w:rPr>
        <w:t>NB-L4-PCA-DIET</w:t>
      </w:r>
      <w:r>
        <w:rPr>
          <w:rFonts w:ascii="Calibri" w:hAnsi="Calibri"/>
          <w:color w:val="222222"/>
        </w:rPr>
        <w:t xml:space="preserve"> and record its sample/feature counts and explained variance.</w:t>
      </w:r>
    </w:p>
    <w:p>
      <w:pPr>
        <w:numPr>
          <w:ilvl w:val="0"/>
          <w:numId w:val="52"/>
        </w:numPr>
        <w:spacing w:after="80" w:line="300" w:lineRule="auto"/>
      </w:pPr>
      <w:r>
        <w:rPr>
          <w:rFonts w:ascii="Calibri" w:hAnsi="Calibri"/>
          <w:color w:val="222222"/>
        </w:rPr>
        <w:t xml:space="preserve">Run </w:t>
      </w:r>
      <w:r>
        <w:rPr>
          <w:rFonts w:ascii="Consolas" w:hAnsi="Consolas"/>
          <w:color w:val="1F4D78"/>
          <w:sz w:val="21"/>
          <w:shd w:fill="EEF1F4"/>
        </w:rPr>
        <w:t>NB-L4-PCA-EXERCISE</w:t>
      </w:r>
      <w:r>
        <w:rPr>
          <w:rFonts w:ascii="Calibri" w:hAnsi="Calibri"/>
          <w:color w:val="222222"/>
        </w:rPr>
        <w:t xml:space="preserve"> and record the same fields without comparing coordinate values across models.</w:t>
      </w:r>
    </w:p>
    <w:p>
      <w:pPr>
        <w:numPr>
          <w:ilvl w:val="0"/>
          <w:numId w:val="52"/>
        </w:numPr>
        <w:spacing w:after="80" w:line="300" w:lineRule="auto"/>
      </w:pPr>
      <w:r>
        <w:rPr>
          <w:rFonts w:ascii="Calibri" w:hAnsi="Calibri"/>
          <w:color w:val="222222"/>
        </w:rPr>
        <w:t>Complete the shared-class and sensitivity learner-edit cells.</w:t>
      </w:r>
    </w:p>
    <w:p>
      <w:pPr>
        <w:numPr>
          <w:ilvl w:val="0"/>
          <w:numId w:val="52"/>
        </w:numPr>
        <w:spacing w:after="80" w:line="300" w:lineRule="auto"/>
      </w:pPr>
      <w:r>
        <w:rPr>
          <w:rFonts w:ascii="Calibri" w:hAnsi="Calibri"/>
          <w:color w:val="222222"/>
        </w:rPr>
        <w:t>Write the bounded interpretation before revealing the sample answer.</w:t>
      </w:r>
    </w:p>
    <w:p>
      <w:r>
        <w:rPr>
          <w:rFonts w:ascii="Calibri" w:hAnsi="Calibri"/>
          <w:color w:val="222222"/>
        </w:rPr>
        <w:t>Confirm the configuration cell shows the locked accessions above. The release manifest should also provide:</w:t>
      </w:r>
    </w:p>
    <w:p>
      <w:pPr>
        <w:numPr>
          <w:ilvl w:val="0"/>
          <w:numId w:val="53"/>
        </w:numPr>
        <w:spacing w:after="80" w:line="300" w:lineRule="auto"/>
      </w:pPr>
      <w:r>
        <w:rPr>
          <w:rFonts w:ascii="Calibri" w:hAnsi="Calibri"/>
          <w:color w:val="222222"/>
        </w:rPr>
        <w:t>Selected analysis IDs or the rule used to include multiple analyses.</w:t>
      </w:r>
    </w:p>
    <w:p>
      <w:pPr>
        <w:numPr>
          <w:ilvl w:val="0"/>
          <w:numId w:val="53"/>
        </w:numPr>
        <w:spacing w:after="80" w:line="300" w:lineRule="auto"/>
      </w:pPr>
      <w:r>
        <w:rPr>
          <w:rFonts w:ascii="Calibri" w:hAnsi="Calibri"/>
          <w:color w:val="222222"/>
        </w:rPr>
        <w:t>Retrieval date and API base URL.</w:t>
      </w:r>
    </w:p>
    <w:p>
      <w:pPr>
        <w:numPr>
          <w:ilvl w:val="0"/>
          <w:numId w:val="53"/>
        </w:numPr>
        <w:spacing w:after="80" w:line="300" w:lineRule="auto"/>
      </w:pPr>
      <w:r>
        <w:rPr>
          <w:rFonts w:ascii="Calibri" w:hAnsi="Calibri"/>
          <w:color w:val="222222"/>
        </w:rPr>
        <w:t>Cached-file paths and checksums.</w:t>
      </w:r>
    </w:p>
    <w:p>
      <w:pPr>
        <w:numPr>
          <w:ilvl w:val="0"/>
          <w:numId w:val="53"/>
        </w:numPr>
        <w:spacing w:after="80" w:line="300" w:lineRule="auto"/>
      </w:pPr>
      <w:r>
        <w:rPr>
          <w:rFonts w:ascii="Calibri" w:hAnsi="Calibri"/>
          <w:color w:val="222222"/>
        </w:rPr>
        <w:t>Dependency versions.</w:t>
      </w:r>
    </w:p>
    <w:p>
      <w:pPr>
        <w:numPr>
          <w:ilvl w:val="0"/>
          <w:numId w:val="53"/>
        </w:numPr>
        <w:spacing w:after="80" w:line="300" w:lineRule="auto"/>
      </w:pPr>
      <w:r>
        <w:rPr>
          <w:rFonts w:ascii="Calibri" w:hAnsi="Calibri"/>
          <w:color w:val="222222"/>
        </w:rPr>
        <w:t>Crosswalk version.</w:t>
      </w:r>
    </w:p>
    <w:p>
      <w:r>
        <w:rPr>
          <w:rFonts w:ascii="Calibri" w:hAnsi="Calibri"/>
          <w:color w:val="222222"/>
        </w:rPr>
        <w:t>Do not continue if the displayed accession differs from the provenance manifest.</w:t>
      </w:r>
    </w:p>
    <w:p>
      <w:pPr>
        <w:pStyle w:val="Heading3"/>
      </w:pPr>
      <w:r>
        <w:rPr>
          <w:rFonts w:ascii="Calibri" w:hAnsi="Calibri"/>
          <w:color w:val="222222"/>
        </w:rPr>
        <w:t>Live retrieval and cached fallback</w:t>
      </w:r>
    </w:p>
    <w:p>
      <w:r>
        <w:rPr>
          <w:rFonts w:ascii="Calibri" w:hAnsi="Calibri"/>
          <w:color w:val="222222"/>
        </w:rPr>
        <w:t>For each accession, the notebook requests:</w:t>
      </w:r>
    </w:p>
    <w:p>
      <w:pPr>
        <w:numPr>
          <w:ilvl w:val="0"/>
          <w:numId w:val="54"/>
        </w:numPr>
        <w:spacing w:after="80" w:line="300" w:lineRule="auto"/>
      </w:pPr>
      <w:r>
        <w:rPr>
          <w:rFonts w:ascii="Consolas" w:hAnsi="Consolas"/>
          <w:color w:val="1F4D78"/>
          <w:sz w:val="21"/>
          <w:shd w:fill="EEF1F4"/>
        </w:rPr>
        <w:t>summary</w:t>
      </w:r>
    </w:p>
    <w:p>
      <w:pPr>
        <w:numPr>
          <w:ilvl w:val="0"/>
          <w:numId w:val="54"/>
        </w:numPr>
        <w:spacing w:after="80" w:line="300" w:lineRule="auto"/>
      </w:pPr>
      <w:r>
        <w:rPr>
          <w:rFonts w:ascii="Consolas" w:hAnsi="Consolas"/>
          <w:color w:val="1F4D78"/>
          <w:sz w:val="21"/>
          <w:shd w:fill="EEF1F4"/>
        </w:rPr>
        <w:t>factors</w:t>
      </w:r>
    </w:p>
    <w:p>
      <w:pPr>
        <w:numPr>
          <w:ilvl w:val="0"/>
          <w:numId w:val="54"/>
        </w:numPr>
        <w:spacing w:after="80" w:line="300" w:lineRule="auto"/>
      </w:pPr>
      <w:r>
        <w:rPr>
          <w:rFonts w:ascii="Consolas" w:hAnsi="Consolas"/>
          <w:color w:val="1F4D78"/>
          <w:sz w:val="21"/>
          <w:shd w:fill="EEF1F4"/>
        </w:rPr>
        <w:t>analysis</w:t>
      </w:r>
    </w:p>
    <w:p>
      <w:pPr>
        <w:numPr>
          <w:ilvl w:val="0"/>
          <w:numId w:val="54"/>
        </w:numPr>
        <w:spacing w:after="80" w:line="300" w:lineRule="auto"/>
      </w:pPr>
      <w:r>
        <w:rPr>
          <w:rFonts w:ascii="Consolas" w:hAnsi="Consolas"/>
          <w:color w:val="1F4D78"/>
          <w:sz w:val="21"/>
          <w:shd w:fill="EEF1F4"/>
        </w:rPr>
        <w:t>metabolites</w:t>
      </w:r>
    </w:p>
    <w:p>
      <w:pPr>
        <w:numPr>
          <w:ilvl w:val="0"/>
          <w:numId w:val="54"/>
        </w:numPr>
        <w:spacing w:after="80" w:line="300" w:lineRule="auto"/>
      </w:pPr>
      <w:r>
        <w:rPr>
          <w:rFonts w:ascii="Consolas" w:hAnsi="Consolas"/>
          <w:color w:val="1F4D78"/>
          <w:sz w:val="21"/>
          <w:shd w:fill="EEF1F4"/>
        </w:rPr>
        <w:t>data</w:t>
      </w:r>
    </w:p>
    <w:p>
      <w:r>
        <w:rPr>
          <w:rFonts w:ascii="Calibri" w:hAnsi="Calibri"/>
          <w:color w:val="222222"/>
        </w:rPr>
        <w:t xml:space="preserve">The release notebook defaults to the validated cache so every learner receives a deterministic run. Set </w:t>
      </w:r>
      <w:r>
        <w:rPr>
          <w:rFonts w:ascii="Consolas" w:hAnsi="Consolas"/>
          <w:color w:val="1F4D78"/>
          <w:sz w:val="21"/>
          <w:shd w:fill="EEF1F4"/>
        </w:rPr>
        <w:t>METABO_DIET_LIVE=1</w:t>
      </w:r>
      <w:r>
        <w:rPr>
          <w:rFonts w:ascii="Calibri" w:hAnsi="Calibri"/>
          <w:color w:val="222222"/>
        </w:rPr>
        <w:t xml:space="preserve"> to attempt live retrieval first. The live path falls back endpoint-by-endpoint only after recording:</w:t>
      </w:r>
    </w:p>
    <w:p>
      <w:pPr>
        <w:numPr>
          <w:ilvl w:val="0"/>
          <w:numId w:val="55"/>
        </w:numPr>
        <w:spacing w:after="80" w:line="300" w:lineRule="auto"/>
      </w:pPr>
      <w:r>
        <w:rPr>
          <w:rFonts w:ascii="Calibri" w:hAnsi="Calibri"/>
          <w:color w:val="222222"/>
        </w:rPr>
        <w:t>The failed endpoint and status.</w:t>
      </w:r>
    </w:p>
    <w:p>
      <w:pPr>
        <w:numPr>
          <w:ilvl w:val="0"/>
          <w:numId w:val="55"/>
        </w:numPr>
        <w:spacing w:after="80" w:line="300" w:lineRule="auto"/>
      </w:pPr>
      <w:r>
        <w:rPr>
          <w:rFonts w:ascii="Calibri" w:hAnsi="Calibri"/>
          <w:color w:val="222222"/>
        </w:rPr>
        <w:t>The cached retrieval timestamp.</w:t>
      </w:r>
    </w:p>
    <w:p>
      <w:pPr>
        <w:numPr>
          <w:ilvl w:val="0"/>
          <w:numId w:val="55"/>
        </w:numPr>
        <w:spacing w:after="80" w:line="300" w:lineRule="auto"/>
      </w:pPr>
      <w:r>
        <w:rPr>
          <w:rFonts w:ascii="Calibri" w:hAnsi="Calibri"/>
          <w:color w:val="222222"/>
        </w:rPr>
        <w:t>A checksum match.</w:t>
      </w:r>
    </w:p>
    <w:p>
      <w:pPr>
        <w:numPr>
          <w:ilvl w:val="0"/>
          <w:numId w:val="55"/>
        </w:numPr>
        <w:spacing w:after="80" w:line="300" w:lineRule="auto"/>
      </w:pPr>
      <w:r>
        <w:rPr>
          <w:rFonts w:ascii="Calibri" w:hAnsi="Calibri"/>
          <w:color w:val="222222"/>
        </w:rPr>
        <w:t xml:space="preserve">A visible source entry of </w:t>
      </w:r>
      <w:r>
        <w:rPr>
          <w:rFonts w:ascii="Consolas" w:hAnsi="Consolas"/>
          <w:color w:val="1F4D78"/>
          <w:sz w:val="21"/>
          <w:shd w:fill="EEF1F4"/>
        </w:rPr>
        <w:t>validated cache</w:t>
      </w:r>
      <w:r>
        <w:rPr>
          <w:rFonts w:ascii="Calibri" w:hAnsi="Calibri"/>
          <w:color w:val="222222"/>
        </w:rPr>
        <w:t xml:space="preserve"> in the input source log.</w:t>
      </w:r>
    </w:p>
    <w:p>
      <w:r>
        <w:rPr>
          <w:rFonts w:ascii="Calibri" w:hAnsi="Calibri"/>
          <w:color w:val="222222"/>
        </w:rPr>
        <w:t>Cached data keep the lesson runnable; they do not establish current public availability. Record the outage and re-verify access later.</w:t>
      </w:r>
    </w:p>
    <w:p>
      <w:pPr>
        <w:pStyle w:val="Heading2"/>
      </w:pPr>
      <w:r>
        <w:rPr>
          <w:rFonts w:ascii="Calibri" w:hAnsi="Calibri"/>
          <w:color w:val="222222"/>
        </w:rPr>
        <w:t>3. Validate before analyzing</w:t>
      </w:r>
    </w:p>
    <w:p>
      <w:r>
        <w:rPr>
          <w:rFonts w:ascii="Calibri" w:hAnsi="Calibri"/>
          <w:color w:val="222222"/>
        </w:rPr>
        <w:t xml:space="preserve">An HTTP </w:t>
      </w:r>
      <w:r>
        <w:rPr>
          <w:rFonts w:ascii="Consolas" w:hAnsi="Consolas"/>
          <w:color w:val="1F4D78"/>
          <w:sz w:val="21"/>
          <w:shd w:fill="EEF1F4"/>
        </w:rPr>
        <w:t>200</w:t>
      </w:r>
      <w:r>
        <w:rPr>
          <w:rFonts w:ascii="Calibri" w:hAnsi="Calibri"/>
          <w:color w:val="222222"/>
        </w:rPr>
        <w:t xml:space="preserve"> is not sufficient validation. The notebook's audit table should answer:</w:t>
      </w:r>
    </w:p>
    <w:p>
      <w:pPr>
        <w:numPr>
          <w:ilvl w:val="0"/>
          <w:numId w:val="56"/>
        </w:numPr>
        <w:spacing w:after="80" w:line="300" w:lineRule="auto"/>
      </w:pPr>
      <w:r>
        <w:rPr>
          <w:rFonts w:ascii="Calibri" w:hAnsi="Calibri"/>
          <w:color w:val="222222"/>
        </w:rPr>
        <w:t>Did every response parse in the expected format?</w:t>
      </w:r>
    </w:p>
    <w:p>
      <w:pPr>
        <w:numPr>
          <w:ilvl w:val="0"/>
          <w:numId w:val="56"/>
        </w:numPr>
        <w:spacing w:after="80" w:line="300" w:lineRule="auto"/>
      </w:pPr>
      <w:r>
        <w:rPr>
          <w:rFonts w:ascii="Calibri" w:hAnsi="Calibri"/>
          <w:color w:val="222222"/>
        </w:rPr>
        <w:t>Does each record contain the requested study or analysis identifier?</w:t>
      </w:r>
    </w:p>
    <w:p>
      <w:pPr>
        <w:numPr>
          <w:ilvl w:val="0"/>
          <w:numId w:val="56"/>
        </w:numPr>
        <w:spacing w:after="80" w:line="300" w:lineRule="auto"/>
      </w:pPr>
      <w:r>
        <w:rPr>
          <w:rFonts w:ascii="Calibri" w:hAnsi="Calibri"/>
          <w:color w:val="222222"/>
        </w:rPr>
        <w:t>Are sample identifiers unique at the expected level?</w:t>
      </w:r>
    </w:p>
    <w:p>
      <w:pPr>
        <w:numPr>
          <w:ilvl w:val="0"/>
          <w:numId w:val="56"/>
        </w:numPr>
        <w:spacing w:after="80" w:line="300" w:lineRule="auto"/>
      </w:pPr>
      <w:r>
        <w:rPr>
          <w:rFonts w:ascii="Calibri" w:hAnsi="Calibri"/>
          <w:color w:val="222222"/>
        </w:rPr>
        <w:t>How many biological, pooled QC, blank, and unknown rows are present?</w:t>
      </w:r>
    </w:p>
    <w:p>
      <w:pPr>
        <w:numPr>
          <w:ilvl w:val="0"/>
          <w:numId w:val="56"/>
        </w:numPr>
        <w:spacing w:after="80" w:line="300" w:lineRule="auto"/>
      </w:pPr>
      <w:r>
        <w:rPr>
          <w:rFonts w:ascii="Calibri" w:hAnsi="Calibri"/>
          <w:color w:val="222222"/>
        </w:rPr>
        <w:t>Do factor counts agree with the documented repeated-measures structure?</w:t>
      </w:r>
    </w:p>
    <w:p>
      <w:pPr>
        <w:numPr>
          <w:ilvl w:val="0"/>
          <w:numId w:val="56"/>
        </w:numPr>
        <w:spacing w:after="80" w:line="300" w:lineRule="auto"/>
      </w:pPr>
      <w:r>
        <w:rPr>
          <w:rFonts w:ascii="Calibri" w:hAnsi="Calibri"/>
          <w:color w:val="222222"/>
        </w:rPr>
        <w:t>Are all matrix columns represented in the factor table?</w:t>
      </w:r>
    </w:p>
    <w:p>
      <w:pPr>
        <w:numPr>
          <w:ilvl w:val="0"/>
          <w:numId w:val="56"/>
        </w:numPr>
        <w:spacing w:after="80" w:line="300" w:lineRule="auto"/>
      </w:pPr>
      <w:r>
        <w:rPr>
          <w:rFonts w:ascii="Calibri" w:hAnsi="Calibri"/>
          <w:color w:val="222222"/>
        </w:rPr>
        <w:t>Are metabolite labels unique after applying the chosen feature key?</w:t>
      </w:r>
    </w:p>
    <w:p>
      <w:pPr>
        <w:numPr>
          <w:ilvl w:val="0"/>
          <w:numId w:val="56"/>
        </w:numPr>
        <w:spacing w:after="80" w:line="300" w:lineRule="auto"/>
      </w:pPr>
      <w:r>
        <w:rPr>
          <w:rFonts w:ascii="Calibri" w:hAnsi="Calibri"/>
          <w:color w:val="222222"/>
        </w:rPr>
        <w:t>Are units and analytical modes explicit?</w:t>
      </w:r>
    </w:p>
    <w:p>
      <w:pPr>
        <w:pStyle w:val="Heading3"/>
      </w:pPr>
      <w:r>
        <w:rPr>
          <w:rFonts w:ascii="Calibri" w:hAnsi="Calibri"/>
          <w:color w:val="222222"/>
        </w:rPr>
        <w:t>Expected structural checks for this release</w:t>
      </w:r>
    </w:p>
    <w:p>
      <w:r>
        <w:rPr>
          <w:rFonts w:ascii="Calibri" w:hAnsi="Calibri"/>
          <w:color w:val="222222"/>
        </w:rPr>
        <w:t>These are validation targets, not biological results:</w:t>
      </w:r>
    </w:p>
    <w:tbl>
      <w:tblPr>
        <w:tblStyle w:val="TableGrid"/>
        <w:tblW w:type="dxa" w:w="9360"/>
        <w:jc w:val="left"/>
        <w:tblLayout w:type="fixed"/>
        <w:tblLook w:firstColumn="1" w:firstRow="1" w:lastColumn="0" w:lastRow="0" w:noHBand="0" w:noVBand="1" w:val="04A0"/>
        <w:tblInd w:w="120" w:type="dxa"/>
      </w:tblPr>
      <w:tblGrid>
        <w:gridCol w:w="3853"/>
        <w:gridCol w:w="2011"/>
        <w:gridCol w:w="3496"/>
      </w:tblGrid>
      <w:tr>
        <w:trPr>
          <w:cantSplit w:val="true"/>
          <w:tblHeader w:val="true"/>
        </w:trPr>
        <w:tc>
          <w:tcPr>
            <w:tcW w:type="dxa" w:w="385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Check</w:t>
            </w:r>
          </w:p>
        </w:tc>
        <w:tc>
          <w:tcPr>
            <w:tcW w:type="dxa" w:w="2011"/>
            <w:tcMar>
              <w:top w:w="80" w:type="dxa"/>
              <w:bottom w:w="80" w:type="dxa"/>
              <w:start w:w="120" w:type="dxa"/>
              <w:end w:w="120" w:type="dxa"/>
            </w:tcMar>
            <w:vAlign w:val="center"/>
            <w:shd w:fill="E8EEF5"/>
          </w:tcPr>
          <w:p>
            <w:pPr>
              <w:spacing w:before="0" w:after="0" w:line="269" w:lineRule="auto"/>
              <w:jc w:val="center"/>
            </w:pPr>
            <w:r>
              <w:rPr>
                <w:b/>
                <w:color w:val="203748"/>
              </w:rPr>
            </w:r>
            <w:r>
              <w:rPr>
                <w:rFonts w:ascii="Consolas" w:hAnsi="Consolas"/>
                <w:b/>
                <w:color w:val="203748"/>
                <w:sz w:val="17"/>
                <w:shd w:fill="EEF1F4"/>
              </w:rPr>
              <w:t>ST001521</w:t>
            </w:r>
          </w:p>
        </w:tc>
        <w:tc>
          <w:tcPr>
            <w:tcW w:type="dxa" w:w="3496"/>
            <w:tcMar>
              <w:top w:w="80" w:type="dxa"/>
              <w:bottom w:w="80" w:type="dxa"/>
              <w:start w:w="120" w:type="dxa"/>
              <w:end w:w="120" w:type="dxa"/>
            </w:tcMar>
            <w:vAlign w:val="center"/>
            <w:shd w:fill="E8EEF5"/>
          </w:tcPr>
          <w:p>
            <w:pPr>
              <w:spacing w:before="0" w:after="0" w:line="269" w:lineRule="auto"/>
              <w:jc w:val="center"/>
            </w:pPr>
            <w:r>
              <w:rPr>
                <w:b/>
                <w:color w:val="203748"/>
              </w:rPr>
            </w:r>
            <w:r>
              <w:rPr>
                <w:rFonts w:ascii="Consolas" w:hAnsi="Consolas"/>
                <w:b/>
                <w:color w:val="203748"/>
                <w:sz w:val="17"/>
                <w:shd w:fill="EEF1F4"/>
              </w:rPr>
              <w:t>ST003348</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Factor rows</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160</w:t>
            </w:r>
          </w:p>
        </w:tc>
        <w:tc>
          <w:tcPr>
            <w:tcW w:type="dxa" w:w="349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76</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Biological participant-timepoint rows expected</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150</w:t>
            </w:r>
          </w:p>
        </w:tc>
        <w:tc>
          <w:tcPr>
            <w:tcW w:type="dxa" w:w="349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76</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Pooled </w:t>
            </w:r>
            <w:r>
              <w:rPr>
                <w:rFonts w:ascii="Consolas" w:hAnsi="Consolas"/>
                <w:color w:val="1F4D78"/>
                <w:sz w:val="17"/>
                <w:shd w:fill="EEF1F4"/>
              </w:rPr>
              <w:t>QPP...</w:t>
            </w:r>
            <w:r>
              <w:rPr>
                <w:rFonts w:ascii="Calibri" w:hAnsi="Calibri"/>
                <w:color w:val="222222"/>
                <w:sz w:val="18"/>
              </w:rPr>
              <w:t xml:space="preserve"> rows expected</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10</w:t>
            </w:r>
          </w:p>
        </w:tc>
        <w:tc>
          <w:tcPr>
            <w:tcW w:type="dxa" w:w="349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0 identified from the factor table</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Biological participants described</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30</w:t>
            </w:r>
          </w:p>
        </w:tc>
        <w:tc>
          <w:tcPr>
            <w:tcW w:type="dxa" w:w="349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19</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Biological timepoints per participant</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w:t>
            </w:r>
          </w:p>
        </w:tc>
        <w:tc>
          <w:tcPr>
            <w:tcW w:type="dxa" w:w="349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Analysis records</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c>
          <w:tcPr>
            <w:tcW w:type="dxa" w:w="349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2</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Matrix</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Plasma</w:t>
            </w:r>
          </w:p>
        </w:tc>
        <w:tc>
          <w:tcPr>
            <w:tcW w:type="dxa" w:w="349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Serum, supported by collection metadata</w:t>
            </w:r>
          </w:p>
        </w:tc>
      </w:tr>
    </w:tbl>
    <w:p>
      <w:pPr>
        <w:spacing w:before="0" w:after="40"/>
      </w:pPr>
    </w:p>
    <w:p>
      <w:r>
        <w:rPr>
          <w:rFonts w:ascii="Calibri" w:hAnsi="Calibri"/>
          <w:color w:val="222222"/>
        </w:rPr>
        <w:t>If the live response differs, stop and inspect. A repository revision may be legitimate, but silently forcing current data to match old expectations defeats provenance tracking.</w:t>
      </w:r>
    </w:p>
    <w:p>
      <w:pPr>
        <w:pStyle w:val="Heading2"/>
      </w:pPr>
      <w:r>
        <w:rPr>
          <w:rFonts w:ascii="Calibri" w:hAnsi="Calibri"/>
          <w:color w:val="222222"/>
        </w:rPr>
        <w:t>4. Separate analytical roles before filtering</w:t>
      </w:r>
    </w:p>
    <w:p>
      <w:r>
        <w:rPr>
          <w:rFonts w:ascii="Calibri" w:hAnsi="Calibri"/>
          <w:color w:val="222222"/>
        </w:rPr>
        <w:t xml:space="preserve">Create a </w:t>
      </w:r>
      <w:r>
        <w:rPr>
          <w:rFonts w:ascii="Consolas" w:hAnsi="Consolas"/>
          <w:color w:val="1F4D78"/>
          <w:sz w:val="21"/>
          <w:shd w:fill="EEF1F4"/>
        </w:rPr>
        <w:t>sample_role</w:t>
      </w:r>
      <w:r>
        <w:rPr>
          <w:rFonts w:ascii="Calibri" w:hAnsi="Calibri"/>
          <w:color w:val="222222"/>
        </w:rPr>
        <w:t xml:space="preserve"> field with evidence. At minimum:</w:t>
      </w:r>
    </w:p>
    <w:p>
      <w:pPr>
        <w:numPr>
          <w:ilvl w:val="0"/>
          <w:numId w:val="57"/>
        </w:numPr>
        <w:spacing w:after="80" w:line="300" w:lineRule="auto"/>
      </w:pPr>
      <w:r>
        <w:rPr>
          <w:rFonts w:ascii="Consolas" w:hAnsi="Consolas"/>
          <w:color w:val="1F4D78"/>
          <w:sz w:val="21"/>
          <w:shd w:fill="EEF1F4"/>
        </w:rPr>
        <w:t>biological</w:t>
      </w:r>
    </w:p>
    <w:p>
      <w:pPr>
        <w:numPr>
          <w:ilvl w:val="0"/>
          <w:numId w:val="57"/>
        </w:numPr>
        <w:spacing w:after="80" w:line="300" w:lineRule="auto"/>
      </w:pPr>
      <w:r>
        <w:rPr>
          <w:rFonts w:ascii="Consolas" w:hAnsi="Consolas"/>
          <w:color w:val="1F4D78"/>
          <w:sz w:val="21"/>
          <w:shd w:fill="EEF1F4"/>
        </w:rPr>
        <w:t>pooled_qc</w:t>
      </w:r>
    </w:p>
    <w:p>
      <w:pPr>
        <w:numPr>
          <w:ilvl w:val="0"/>
          <w:numId w:val="57"/>
        </w:numPr>
        <w:spacing w:after="80" w:line="300" w:lineRule="auto"/>
      </w:pPr>
      <w:r>
        <w:rPr>
          <w:rFonts w:ascii="Consolas" w:hAnsi="Consolas"/>
          <w:color w:val="1F4D78"/>
          <w:sz w:val="21"/>
          <w:shd w:fill="EEF1F4"/>
        </w:rPr>
        <w:t>blank</w:t>
      </w:r>
    </w:p>
    <w:p>
      <w:pPr>
        <w:numPr>
          <w:ilvl w:val="0"/>
          <w:numId w:val="57"/>
        </w:numPr>
        <w:spacing w:after="80" w:line="300" w:lineRule="auto"/>
      </w:pPr>
      <w:r>
        <w:rPr>
          <w:rFonts w:ascii="Consolas" w:hAnsi="Consolas"/>
          <w:color w:val="1F4D78"/>
          <w:sz w:val="21"/>
          <w:shd w:fill="EEF1F4"/>
        </w:rPr>
        <w:t>technical_standard</w:t>
      </w:r>
    </w:p>
    <w:p>
      <w:pPr>
        <w:numPr>
          <w:ilvl w:val="0"/>
          <w:numId w:val="57"/>
        </w:numPr>
        <w:spacing w:after="80" w:line="300" w:lineRule="auto"/>
      </w:pPr>
      <w:r>
        <w:rPr>
          <w:rFonts w:ascii="Consolas" w:hAnsi="Consolas"/>
          <w:color w:val="1F4D78"/>
          <w:sz w:val="21"/>
          <w:shd w:fill="EEF1F4"/>
        </w:rPr>
        <w:t>unknown</w:t>
      </w:r>
    </w:p>
    <w:p>
      <w:r>
        <w:rPr>
          <w:rFonts w:ascii="Calibri" w:hAnsi="Calibri"/>
          <w:color w:val="222222"/>
        </w:rPr>
        <w:t xml:space="preserve">For </w:t>
      </w:r>
      <w:r>
        <w:rPr>
          <w:rFonts w:ascii="Consolas" w:hAnsi="Consolas"/>
          <w:color w:val="1F4D78"/>
          <w:sz w:val="21"/>
          <w:shd w:fill="EEF1F4"/>
        </w:rPr>
        <w:t>ST001521</w:t>
      </w:r>
      <w:r>
        <w:rPr>
          <w:rFonts w:ascii="Calibri" w:hAnsi="Calibri"/>
          <w:color w:val="222222"/>
        </w:rPr>
        <w:t xml:space="preserve">, rows with local identifiers beginning </w:t>
      </w:r>
      <w:r>
        <w:rPr>
          <w:rFonts w:ascii="Consolas" w:hAnsi="Consolas"/>
          <w:color w:val="1F4D78"/>
          <w:sz w:val="21"/>
          <w:shd w:fill="EEF1F4"/>
        </w:rPr>
        <w:t>QPP</w:t>
      </w:r>
      <w:r>
        <w:rPr>
          <w:rFonts w:ascii="Calibri" w:hAnsi="Calibri"/>
          <w:color w:val="222222"/>
        </w:rPr>
        <w:t xml:space="preserve"> and missing diet, sex, and time are pooled QC candidates supported by the record. The notebook should keep them for assay diagnostics but exclude them from biological PCA and participant counts. Never discard QC rows before confirming their role; their clustering and drift can reveal analytical problems.</w:t>
      </w:r>
    </w:p>
    <w:p>
      <w:r>
        <w:rPr>
          <w:rFonts w:ascii="Calibri" w:hAnsi="Calibri"/>
          <w:color w:val="222222"/>
        </w:rPr>
        <w:t xml:space="preserve">For </w:t>
      </w:r>
      <w:r>
        <w:rPr>
          <w:rFonts w:ascii="Consolas" w:hAnsi="Consolas"/>
          <w:color w:val="1F4D78"/>
          <w:sz w:val="21"/>
          <w:shd w:fill="EEF1F4"/>
        </w:rPr>
        <w:t>ST003348</w:t>
      </w:r>
      <w:r>
        <w:rPr>
          <w:rFonts w:ascii="Calibri" w:hAnsi="Calibri"/>
          <w:color w:val="222222"/>
        </w:rPr>
        <w:t>, identifiers encode an apparent participant and time suffix, but the notebook must derive repeated-measures links using a documented rule and validate the expected 19 by 4 structure. A string pattern is a parsing hypothesis until confirmed against study metadata.</w:t>
      </w:r>
    </w:p>
    <w:p>
      <w:pPr>
        <w:pStyle w:val="Heading2"/>
      </w:pPr>
      <w:r>
        <w:rPr>
          <w:rFonts w:ascii="Calibri" w:hAnsi="Calibri"/>
          <w:color w:val="222222"/>
        </w:rPr>
        <w:t>5. Join the reviewed crosswalk</w:t>
      </w:r>
    </w:p>
    <w:p>
      <w:r>
        <w:rPr>
          <w:rFonts w:ascii="Calibri" w:hAnsi="Calibri"/>
          <w:color w:val="222222"/>
        </w:rPr>
        <w:t>Join within study and analysis first, using the most specific stable keys available. Avoid joining solely on submitted metabolite name because:</w:t>
      </w:r>
    </w:p>
    <w:p>
      <w:pPr>
        <w:numPr>
          <w:ilvl w:val="0"/>
          <w:numId w:val="58"/>
        </w:numPr>
        <w:spacing w:after="80" w:line="300" w:lineRule="auto"/>
      </w:pPr>
      <w:r>
        <w:rPr>
          <w:rFonts w:ascii="Calibri" w:hAnsi="Calibri"/>
          <w:color w:val="222222"/>
        </w:rPr>
        <w:t>The same name may occur in multiple analytical modes.</w:t>
      </w:r>
    </w:p>
    <w:p>
      <w:pPr>
        <w:numPr>
          <w:ilvl w:val="0"/>
          <w:numId w:val="58"/>
        </w:numPr>
        <w:spacing w:after="80" w:line="300" w:lineRule="auto"/>
      </w:pPr>
      <w:r>
        <w:rPr>
          <w:rFonts w:ascii="Calibri" w:hAnsi="Calibri"/>
          <w:color w:val="222222"/>
        </w:rPr>
        <w:t>Different features can map to the same broad RefMet name.</w:t>
      </w:r>
    </w:p>
    <w:p>
      <w:pPr>
        <w:numPr>
          <w:ilvl w:val="0"/>
          <w:numId w:val="58"/>
        </w:numPr>
        <w:spacing w:after="80" w:line="300" w:lineRule="auto"/>
      </w:pPr>
      <w:r>
        <w:rPr>
          <w:rFonts w:ascii="Calibri" w:hAnsi="Calibri"/>
          <w:color w:val="222222"/>
        </w:rPr>
        <w:t>Duplicate labels can create a many-to-many join and inflate rows.</w:t>
      </w:r>
    </w:p>
    <w:p>
      <w:r>
        <w:rPr>
          <w:rFonts w:ascii="Calibri" w:hAnsi="Calibri"/>
          <w:color w:val="222222"/>
        </w:rPr>
        <w:t>After each join, report:</w:t>
      </w:r>
    </w:p>
    <w:p>
      <w:pPr>
        <w:numPr>
          <w:ilvl w:val="0"/>
          <w:numId w:val="59"/>
        </w:numPr>
        <w:spacing w:after="80" w:line="300" w:lineRule="auto"/>
      </w:pPr>
      <w:r>
        <w:rPr>
          <w:rFonts w:ascii="Calibri" w:hAnsi="Calibri"/>
          <w:color w:val="222222"/>
        </w:rPr>
        <w:t>Rows before and after.</w:t>
      </w:r>
    </w:p>
    <w:p>
      <w:pPr>
        <w:numPr>
          <w:ilvl w:val="0"/>
          <w:numId w:val="59"/>
        </w:numPr>
        <w:spacing w:after="80" w:line="300" w:lineRule="auto"/>
      </w:pPr>
      <w:r>
        <w:rPr>
          <w:rFonts w:ascii="Calibri" w:hAnsi="Calibri"/>
          <w:color w:val="222222"/>
        </w:rPr>
        <w:t>Matched, unmatched, and multiply matched source features.</w:t>
      </w:r>
    </w:p>
    <w:p>
      <w:pPr>
        <w:numPr>
          <w:ilvl w:val="0"/>
          <w:numId w:val="59"/>
        </w:numPr>
        <w:spacing w:after="80" w:line="300" w:lineRule="auto"/>
      </w:pPr>
      <w:r>
        <w:rPr>
          <w:rFonts w:ascii="Calibri" w:hAnsi="Calibri"/>
          <w:color w:val="222222"/>
        </w:rPr>
        <w:t>Duplicate join keys.</w:t>
      </w:r>
    </w:p>
    <w:p>
      <w:pPr>
        <w:numPr>
          <w:ilvl w:val="0"/>
          <w:numId w:val="59"/>
        </w:numPr>
        <w:spacing w:after="80" w:line="300" w:lineRule="auto"/>
      </w:pPr>
      <w:r>
        <w:rPr>
          <w:rFonts w:ascii="Calibri" w:hAnsi="Calibri"/>
          <w:color w:val="222222"/>
        </w:rPr>
        <w:t>Counts by mapping status and annotation resolution.</w:t>
      </w:r>
    </w:p>
    <w:p>
      <w:pPr>
        <w:numPr>
          <w:ilvl w:val="0"/>
          <w:numId w:val="59"/>
        </w:numPr>
        <w:spacing w:after="80" w:line="300" w:lineRule="auto"/>
      </w:pPr>
      <w:r>
        <w:rPr>
          <w:rFonts w:ascii="Calibri" w:hAnsi="Calibri"/>
          <w:color w:val="222222"/>
        </w:rPr>
        <w:t>Exclusions and reasons.</w:t>
      </w:r>
    </w:p>
    <w:p>
      <w:r>
        <w:rPr>
          <w:rFonts w:ascii="Calibri" w:hAnsi="Calibri"/>
          <w:color w:val="222222"/>
        </w:rPr>
        <w:t>The learner should be able to trace any harmonized value back to accession, analysis, sample, and original feature.</w:t>
      </w:r>
    </w:p>
    <w:p>
      <w:pPr>
        <w:spacing w:before="100" w:after="120"/>
        <w:ind w:left="259" w:right="115"/>
        <w:shd w:fill="F4F6F9"/>
        <w:pBdr>
          <w:left w:val="single" w:sz="16" w:space="8" w:color="2E74B5"/>
        </w:pBdr>
      </w:pPr>
      <w:r>
        <w:rPr>
          <w:rFonts w:ascii="Calibri" w:hAnsi="Calibri"/>
          <w:b/>
          <w:color w:val="1F4D78"/>
        </w:rPr>
        <w:t>Stop condition:</w:t>
      </w:r>
      <w:r>
        <w:rPr>
          <w:rFonts w:ascii="Calibri" w:hAnsi="Calibri"/>
          <w:color w:val="1F4D78"/>
        </w:rPr>
        <w:t xml:space="preserve"> If a join unexpectedly increases the number of measurement rows, diagnose the key cardinality before continuing. Do not remove duplicates merely to restore the expected size.</w:t>
      </w:r>
    </w:p>
    <w:p>
      <w:pPr>
        <w:pStyle w:val="Heading2"/>
      </w:pPr>
      <w:r>
        <w:rPr>
          <w:rFonts w:ascii="Calibri" w:hAnsi="Calibri"/>
          <w:color w:val="222222"/>
        </w:rPr>
        <w:t>6. Worked example: metabolite overlap as a defined set operation</w:t>
      </w:r>
    </w:p>
    <w:p>
      <w:r>
        <w:rPr>
          <w:rFonts w:ascii="Calibri" w:hAnsi="Calibri"/>
          <w:color w:val="222222"/>
        </w:rPr>
        <w:t>An overlap count is meaningful only after defining the eligible universe and key.</w:t>
      </w:r>
    </w:p>
    <w:p>
      <w:r>
        <w:rPr>
          <w:rFonts w:ascii="Calibri" w:hAnsi="Calibri"/>
          <w:color w:val="222222"/>
        </w:rPr>
        <w:t xml:space="preserve">The current build found </w:t>
      </w:r>
      <w:r>
        <w:rPr>
          <w:rFonts w:ascii="Calibri" w:hAnsi="Calibri"/>
          <w:b/>
          <w:color w:val="222222"/>
        </w:rPr>
        <w:t>153 shared nonblank exact RefMet strings before artifact and eligibility exclusions</w:t>
      </w:r>
      <w:r>
        <w:rPr>
          <w:rFonts w:ascii="Calibri" w:hAnsi="Calibri"/>
          <w:color w:val="222222"/>
        </w:rPr>
        <w:t xml:space="preserve">. Eight </w:t>
      </w:r>
      <w:r>
        <w:rPr>
          <w:rFonts w:ascii="Consolas" w:hAnsi="Consolas"/>
          <w:color w:val="1F4D78"/>
          <w:sz w:val="21"/>
          <w:shd w:fill="EEF1F4"/>
        </w:rPr>
        <w:t>ST003348</w:t>
      </w:r>
      <w:r>
        <w:rPr>
          <w:rFonts w:ascii="Calibri" w:hAnsi="Calibri"/>
          <w:color w:val="222222"/>
        </w:rPr>
        <w:t xml:space="preserve"> isotope-labeled or internal-standard rows mapped to ordinary RefMet labels; excluding those nonbiological rows yielded a </w:t>
      </w:r>
      <w:r>
        <w:rPr>
          <w:rFonts w:ascii="Calibri" w:hAnsi="Calibri"/>
          <w:b/>
          <w:color w:val="222222"/>
        </w:rPr>
        <w:t>conservative biological overlap of 145</w:t>
      </w:r>
      <w:r>
        <w:rPr>
          <w:rFonts w:ascii="Calibri" w:hAnsi="Calibri"/>
          <w:color w:val="222222"/>
        </w:rPr>
        <w:t>. Treat both numbers as versioned audit results: 153 tests the raw string-intersection step, while 145 tests the stated artifact filter. Neither is a shared-response count. The accepted overlap can change when:</w:t>
      </w:r>
    </w:p>
    <w:p>
      <w:pPr>
        <w:numPr>
          <w:ilvl w:val="0"/>
          <w:numId w:val="60"/>
        </w:numPr>
        <w:spacing w:after="80" w:line="300" w:lineRule="auto"/>
      </w:pPr>
      <w:r>
        <w:rPr>
          <w:rFonts w:ascii="Calibri" w:hAnsi="Calibri"/>
          <w:color w:val="222222"/>
        </w:rPr>
        <w:t>Internal standards, contaminants, or artifacts are excluded.</w:t>
      </w:r>
    </w:p>
    <w:p>
      <w:pPr>
        <w:numPr>
          <w:ilvl w:val="0"/>
          <w:numId w:val="60"/>
        </w:numPr>
        <w:spacing w:after="80" w:line="300" w:lineRule="auto"/>
      </w:pPr>
      <w:r>
        <w:rPr>
          <w:rFonts w:ascii="Calibri" w:hAnsi="Calibri"/>
          <w:color w:val="222222"/>
        </w:rPr>
        <w:t>Duplicate features mapping to the same RefMet name are collapsed.</w:t>
      </w:r>
    </w:p>
    <w:p>
      <w:pPr>
        <w:numPr>
          <w:ilvl w:val="0"/>
          <w:numId w:val="60"/>
        </w:numPr>
        <w:spacing w:after="80" w:line="300" w:lineRule="auto"/>
      </w:pPr>
      <w:r>
        <w:rPr>
          <w:rFonts w:ascii="Calibri" w:hAnsi="Calibri"/>
          <w:color w:val="222222"/>
        </w:rPr>
        <w:t>Annotation-resolution rules are applied.</w:t>
      </w:r>
    </w:p>
    <w:p>
      <w:pPr>
        <w:numPr>
          <w:ilvl w:val="0"/>
          <w:numId w:val="60"/>
        </w:numPr>
        <w:spacing w:after="80" w:line="300" w:lineRule="auto"/>
      </w:pPr>
      <w:r>
        <w:rPr>
          <w:rFonts w:ascii="Calibri" w:hAnsi="Calibri"/>
          <w:color w:val="222222"/>
        </w:rPr>
        <w:t>Review-required mappings are removed.</w:t>
      </w:r>
    </w:p>
    <w:p>
      <w:pPr>
        <w:numPr>
          <w:ilvl w:val="0"/>
          <w:numId w:val="60"/>
        </w:numPr>
        <w:spacing w:after="80" w:line="300" w:lineRule="auto"/>
      </w:pPr>
      <w:r>
        <w:rPr>
          <w:rFonts w:ascii="Calibri" w:hAnsi="Calibri"/>
          <w:color w:val="222222"/>
        </w:rPr>
        <w:t>Analysis modes are combined or kept separate.</w:t>
      </w:r>
    </w:p>
    <w:p>
      <w:pPr>
        <w:numPr>
          <w:ilvl w:val="0"/>
          <w:numId w:val="60"/>
        </w:numPr>
        <w:spacing w:after="80" w:line="300" w:lineRule="auto"/>
      </w:pPr>
      <w:r>
        <w:rPr>
          <w:rFonts w:ascii="Calibri" w:hAnsi="Calibri"/>
          <w:color w:val="222222"/>
        </w:rPr>
        <w:t>A repository or RefMet record is revised.</w:t>
      </w:r>
    </w:p>
    <w:p>
      <w:pPr>
        <w:pStyle w:val="Heading3"/>
      </w:pPr>
      <w:r>
        <w:rPr>
          <w:rFonts w:ascii="Calibri" w:hAnsi="Calibri"/>
          <w:color w:val="222222"/>
        </w:rPr>
        <w:t>Required overlap report</w:t>
      </w:r>
    </w:p>
    <w:p>
      <w:r>
        <w:rPr>
          <w:rFonts w:ascii="Calibri" w:hAnsi="Calibri"/>
          <w:color w:val="222222"/>
        </w:rPr>
        <w:t>Report a flow rather than one unexplained number:</w:t>
      </w:r>
    </w:p>
    <w:p>
      <w:pPr>
        <w:numPr>
          <w:ilvl w:val="0"/>
          <w:numId w:val="61"/>
        </w:numPr>
        <w:spacing w:after="80" w:line="300" w:lineRule="auto"/>
      </w:pPr>
      <w:r>
        <w:rPr>
          <w:rFonts w:ascii="Calibri" w:hAnsi="Calibri"/>
          <w:color w:val="222222"/>
        </w:rPr>
        <w:t>Distinct submitted labels in each study.</w:t>
      </w:r>
    </w:p>
    <w:p>
      <w:pPr>
        <w:numPr>
          <w:ilvl w:val="0"/>
          <w:numId w:val="61"/>
        </w:numPr>
        <w:spacing w:after="80" w:line="300" w:lineRule="auto"/>
      </w:pPr>
      <w:r>
        <w:rPr>
          <w:rFonts w:ascii="Calibri" w:hAnsi="Calibri"/>
          <w:color w:val="222222"/>
        </w:rPr>
        <w:t>Nonblank RefMet results.</w:t>
      </w:r>
    </w:p>
    <w:p>
      <w:pPr>
        <w:numPr>
          <w:ilvl w:val="0"/>
          <w:numId w:val="61"/>
        </w:numPr>
        <w:spacing w:after="80" w:line="300" w:lineRule="auto"/>
      </w:pPr>
      <w:r>
        <w:rPr>
          <w:rFonts w:ascii="Calibri" w:hAnsi="Calibri"/>
          <w:color w:val="222222"/>
        </w:rPr>
        <w:t>Reviewed and accepted RefMet mappings.</w:t>
      </w:r>
    </w:p>
    <w:p>
      <w:pPr>
        <w:numPr>
          <w:ilvl w:val="0"/>
          <w:numId w:val="61"/>
        </w:numPr>
        <w:spacing w:after="80" w:line="300" w:lineRule="auto"/>
      </w:pPr>
      <w:r>
        <w:rPr>
          <w:rFonts w:ascii="Calibri" w:hAnsi="Calibri"/>
          <w:color w:val="222222"/>
        </w:rPr>
        <w:t>Eligible mappings after artifact and feature-role rules.</w:t>
      </w:r>
    </w:p>
    <w:p>
      <w:pPr>
        <w:numPr>
          <w:ilvl w:val="0"/>
          <w:numId w:val="61"/>
        </w:numPr>
        <w:spacing w:after="80" w:line="300" w:lineRule="auto"/>
      </w:pPr>
      <w:r>
        <w:rPr>
          <w:rFonts w:ascii="Calibri" w:hAnsi="Calibri"/>
          <w:color w:val="222222"/>
        </w:rPr>
        <w:t>Unique exact-name keys in each study.</w:t>
      </w:r>
    </w:p>
    <w:p>
      <w:pPr>
        <w:numPr>
          <w:ilvl w:val="0"/>
          <w:numId w:val="61"/>
        </w:numPr>
        <w:spacing w:after="80" w:line="300" w:lineRule="auto"/>
      </w:pPr>
      <w:r>
        <w:rPr>
          <w:rFonts w:ascii="Calibri" w:hAnsi="Calibri"/>
          <w:color w:val="222222"/>
        </w:rPr>
        <w:t>Intersection size.</w:t>
      </w:r>
    </w:p>
    <w:p>
      <w:pPr>
        <w:numPr>
          <w:ilvl w:val="0"/>
          <w:numId w:val="61"/>
        </w:numPr>
        <w:spacing w:after="80" w:line="300" w:lineRule="auto"/>
      </w:pPr>
      <w:r>
        <w:rPr>
          <w:rFonts w:ascii="Calibri" w:hAnsi="Calibri"/>
          <w:color w:val="222222"/>
        </w:rPr>
        <w:t>Diet-only and exercise-only sizes.</w:t>
      </w:r>
    </w:p>
    <w:p>
      <w:pPr>
        <w:numPr>
          <w:ilvl w:val="0"/>
          <w:numId w:val="61"/>
        </w:numPr>
        <w:spacing w:after="80" w:line="300" w:lineRule="auto"/>
      </w:pPr>
      <w:r>
        <w:rPr>
          <w:rFonts w:ascii="Calibri" w:hAnsi="Calibri"/>
          <w:color w:val="222222"/>
        </w:rPr>
        <w:t>Duplicate-to-key counts.</w:t>
      </w:r>
    </w:p>
    <w:p>
      <w:pPr>
        <w:numPr>
          <w:ilvl w:val="0"/>
          <w:numId w:val="61"/>
        </w:numPr>
        <w:spacing w:after="80" w:line="300" w:lineRule="auto"/>
      </w:pPr>
      <w:r>
        <w:rPr>
          <w:rFonts w:ascii="Calibri" w:hAnsi="Calibri"/>
          <w:color w:val="222222"/>
        </w:rPr>
        <w:t>Isotope/internal-standard exclusions, expected to reduce 153 to 145 in the audited build.</w:t>
      </w:r>
    </w:p>
    <w:p>
      <w:r>
        <w:rPr>
          <w:rFonts w:ascii="Calibri" w:hAnsi="Calibri"/>
          <w:color w:val="222222"/>
        </w:rPr>
        <w:t xml:space="preserve">Also report the denominator used for percentages. </w:t>
      </w:r>
      <w:r>
        <w:rPr>
          <w:rFonts w:ascii="Consolas" w:hAnsi="Consolas"/>
          <w:color w:val="1F4D78"/>
          <w:sz w:val="21"/>
          <w:shd w:fill="EEF1F4"/>
        </w:rPr>
        <w:t>Intersection / diet set</w:t>
      </w:r>
      <w:r>
        <w:rPr>
          <w:rFonts w:ascii="Calibri" w:hAnsi="Calibri"/>
          <w:color w:val="222222"/>
        </w:rPr>
        <w:t xml:space="preserve">, </w:t>
      </w:r>
      <w:r>
        <w:rPr>
          <w:rFonts w:ascii="Consolas" w:hAnsi="Consolas"/>
          <w:color w:val="1F4D78"/>
          <w:sz w:val="21"/>
          <w:shd w:fill="EEF1F4"/>
        </w:rPr>
        <w:t>intersection / exercise set</w:t>
      </w:r>
      <w:r>
        <w:rPr>
          <w:rFonts w:ascii="Calibri" w:hAnsi="Calibri"/>
          <w:color w:val="222222"/>
        </w:rPr>
        <w:t>, and Jaccard similarity answer different questions.</w:t>
      </w:r>
    </w:p>
    <w:p>
      <w:pPr>
        <w:pStyle w:val="Heading3"/>
      </w:pPr>
      <w:r>
        <w:rPr>
          <w:rFonts w:ascii="Calibri" w:hAnsi="Calibri"/>
          <w:color w:val="222222"/>
        </w:rPr>
        <w:t>What overlap does and does not mean</w:t>
      </w:r>
    </w:p>
    <w:p>
      <w:r>
        <w:rPr>
          <w:rFonts w:ascii="Calibri" w:hAnsi="Calibri"/>
          <w:color w:val="222222"/>
        </w:rPr>
        <w:t>A shared standardized name shows that both studies reported an eligible feature under the selected key. It does not show:</w:t>
      </w:r>
    </w:p>
    <w:p>
      <w:pPr>
        <w:numPr>
          <w:ilvl w:val="0"/>
          <w:numId w:val="62"/>
        </w:numPr>
        <w:spacing w:after="80" w:line="300" w:lineRule="auto"/>
      </w:pPr>
      <w:r>
        <w:rPr>
          <w:rFonts w:ascii="Calibri" w:hAnsi="Calibri"/>
          <w:color w:val="222222"/>
        </w:rPr>
        <w:t>Equal concentration.</w:t>
      </w:r>
    </w:p>
    <w:p>
      <w:pPr>
        <w:numPr>
          <w:ilvl w:val="0"/>
          <w:numId w:val="62"/>
        </w:numPr>
        <w:spacing w:after="80" w:line="300" w:lineRule="auto"/>
      </w:pPr>
      <w:r>
        <w:rPr>
          <w:rFonts w:ascii="Calibri" w:hAnsi="Calibri"/>
          <w:color w:val="222222"/>
        </w:rPr>
        <w:t>Equal detectability or coverage.</w:t>
      </w:r>
    </w:p>
    <w:p>
      <w:pPr>
        <w:numPr>
          <w:ilvl w:val="0"/>
          <w:numId w:val="62"/>
        </w:numPr>
        <w:spacing w:after="80" w:line="300" w:lineRule="auto"/>
      </w:pPr>
      <w:r>
        <w:rPr>
          <w:rFonts w:ascii="Calibri" w:hAnsi="Calibri"/>
          <w:color w:val="222222"/>
        </w:rPr>
        <w:t>Equal identification confidence.</w:t>
      </w:r>
    </w:p>
    <w:p>
      <w:pPr>
        <w:numPr>
          <w:ilvl w:val="0"/>
          <w:numId w:val="62"/>
        </w:numPr>
        <w:spacing w:after="80" w:line="300" w:lineRule="auto"/>
      </w:pPr>
      <w:r>
        <w:rPr>
          <w:rFonts w:ascii="Calibri" w:hAnsi="Calibri"/>
          <w:color w:val="222222"/>
        </w:rPr>
        <w:t>Equal structural resolution.</w:t>
      </w:r>
    </w:p>
    <w:p>
      <w:pPr>
        <w:numPr>
          <w:ilvl w:val="0"/>
          <w:numId w:val="62"/>
        </w:numPr>
        <w:spacing w:after="80" w:line="300" w:lineRule="auto"/>
      </w:pPr>
      <w:r>
        <w:rPr>
          <w:rFonts w:ascii="Calibri" w:hAnsi="Calibri"/>
          <w:color w:val="222222"/>
        </w:rPr>
        <w:t>A shared intervention response.</w:t>
      </w:r>
    </w:p>
    <w:p>
      <w:pPr>
        <w:numPr>
          <w:ilvl w:val="0"/>
          <w:numId w:val="62"/>
        </w:numPr>
        <w:spacing w:after="80" w:line="300" w:lineRule="auto"/>
      </w:pPr>
      <w:r>
        <w:rPr>
          <w:rFonts w:ascii="Calibri" w:hAnsi="Calibri"/>
          <w:color w:val="222222"/>
        </w:rPr>
        <w:t>A pathway effect.</w:t>
      </w:r>
    </w:p>
    <w:p>
      <w:r>
        <w:rPr>
          <w:rFonts w:ascii="Calibri" w:hAnsi="Calibri"/>
          <w:color w:val="222222"/>
        </w:rPr>
        <w:t>Absence from one study can reflect biological absence, platform coverage, annotation, filtering, ionization, detection limit, or reporting choices.</w:t>
      </w:r>
    </w:p>
    <w:p>
      <w:pPr>
        <w:pStyle w:val="Heading2"/>
      </w:pPr>
      <w:r>
        <w:rPr>
          <w:rFonts w:ascii="Calibri" w:hAnsi="Calibri"/>
          <w:color w:val="222222"/>
        </w:rPr>
        <w:t>7. Class-level summaries</w:t>
      </w:r>
    </w:p>
    <w:p>
      <w:r>
        <w:rPr>
          <w:rFonts w:ascii="Calibri" w:hAnsi="Calibri"/>
          <w:color w:val="222222"/>
        </w:rPr>
        <w:t>RefMet classifications can support a broad view of the reviewed shared-name set. Use counts or proportions of eligible unique names, not pooled peak areas. State how unclassified records and multi-mapped features are handled.</w:t>
      </w:r>
    </w:p>
    <w:p>
      <w:r>
        <w:rPr>
          <w:rFonts w:ascii="Calibri" w:hAnsi="Calibri"/>
          <w:color w:val="222222"/>
        </w:rPr>
        <w:t>A defensible summary might say:</w:t>
      </w:r>
    </w:p>
    <w:p>
      <w:pPr>
        <w:spacing w:before="100" w:after="120"/>
        <w:ind w:left="259" w:right="115"/>
        <w:shd w:fill="F4F6F9"/>
        <w:pBdr>
          <w:left w:val="single" w:sz="16" w:space="8" w:color="2E74B5"/>
        </w:pBdr>
      </w:pPr>
      <w:r>
        <w:rPr>
          <w:rFonts w:ascii="Calibri" w:hAnsi="Calibri"/>
          <w:color w:val="1F4D78"/>
        </w:rPr>
        <w:t>The 145-name conservative overlap has RefMet class annotations for all 145 names. Amino acids and peptides, fatty acids, and fatty esters are the three largest classes in this shared-name set. These counts describe nomenclature coverage of the overlap and should not be interpreted as class abundance in plasma or serum.</w:t>
      </w:r>
    </w:p>
    <w:p>
      <w:pPr>
        <w:pStyle w:val="Heading3"/>
      </w:pPr>
      <w:r>
        <w:rPr>
          <w:rFonts w:ascii="Calibri" w:hAnsi="Calibri"/>
          <w:color w:val="222222"/>
        </w:rPr>
        <w:t>Accessible description of the class-summary figure</w:t>
      </w:r>
    </w:p>
    <w:p>
      <w:r>
        <w:rPr>
          <w:rFonts w:ascii="Calibri" w:hAnsi="Calibri"/>
          <w:color w:val="222222"/>
        </w:rPr>
        <w:t xml:space="preserve">One horizontal bar chart shows the 12 most frequent RefMet main classes among the 145 conservative shared names. The leading bars are amino acids and peptides (37), fatty acids (25), fatty esters (15), purines (11), bile acids (8), and pyridine alkaloids (7); the remaining six displayed classes have four or fewer names each. The x-axis is </w:t>
      </w:r>
      <w:r>
        <w:rPr>
          <w:rFonts w:ascii="Consolas" w:hAnsi="Consolas"/>
          <w:color w:val="1F4D78"/>
          <w:sz w:val="21"/>
          <w:shd w:fill="EEF1F4"/>
        </w:rPr>
        <w:t>Conservative shared RefMet names</w:t>
      </w:r>
      <w:r>
        <w:rPr>
          <w:rFonts w:ascii="Calibri" w:hAnsi="Calibri"/>
          <w:color w:val="222222"/>
        </w:rPr>
        <w:t>. Bars are counts of standardized names, not metabolite concentrations or biological class abundance, and 24 names in less frequent classes are not shown in this top-12 view.</w:t>
      </w:r>
    </w:p>
    <w:p>
      <w:pPr>
        <w:pStyle w:val="Heading2"/>
      </w:pPr>
      <w:r>
        <w:rPr>
          <w:rFonts w:ascii="Calibri" w:hAnsi="Calibri"/>
          <w:color w:val="222222"/>
        </w:rPr>
        <w:t>8. Principal component analysis: within each study</w:t>
      </w:r>
    </w:p>
    <w:p>
      <w:r>
        <w:rPr>
          <w:rFonts w:ascii="Calibri" w:hAnsi="Calibri"/>
          <w:color w:val="222222"/>
        </w:rPr>
        <w:t>PCA summarizes directions of variation in a numeric matrix. It is sensitive to scale, skew, missingness, outliers, preprocessing, and feature selection. The notebook should create separate PCA models for each study or compatible analysis block.</w:t>
      </w:r>
    </w:p>
    <w:p>
      <w:pPr>
        <w:pStyle w:val="Heading3"/>
      </w:pPr>
      <w:r>
        <w:rPr>
          <w:rFonts w:ascii="Calibri" w:hAnsi="Calibri"/>
          <w:color w:val="222222"/>
        </w:rPr>
        <w:t>Pre-PCA audit</w:t>
      </w:r>
    </w:p>
    <w:p>
      <w:r>
        <w:rPr>
          <w:rFonts w:ascii="Calibri" w:hAnsi="Calibri"/>
          <w:color w:val="222222"/>
        </w:rPr>
        <w:t>For each PCA, record:</w:t>
      </w:r>
    </w:p>
    <w:p>
      <w:pPr>
        <w:numPr>
          <w:ilvl w:val="0"/>
          <w:numId w:val="63"/>
        </w:numPr>
        <w:spacing w:after="80" w:line="300" w:lineRule="auto"/>
      </w:pPr>
      <w:r>
        <w:rPr>
          <w:rFonts w:ascii="Calibri" w:hAnsi="Calibri"/>
          <w:color w:val="222222"/>
        </w:rPr>
        <w:t>Included study, analysis modes, samples, and features.</w:t>
      </w:r>
    </w:p>
    <w:p>
      <w:pPr>
        <w:numPr>
          <w:ilvl w:val="0"/>
          <w:numId w:val="63"/>
        </w:numPr>
        <w:spacing w:after="80" w:line="300" w:lineRule="auto"/>
      </w:pPr>
      <w:r>
        <w:rPr>
          <w:rFonts w:ascii="Calibri" w:hAnsi="Calibri"/>
          <w:color w:val="222222"/>
        </w:rPr>
        <w:t>Biological versus QC sample roles.</w:t>
      </w:r>
    </w:p>
    <w:p>
      <w:pPr>
        <w:numPr>
          <w:ilvl w:val="0"/>
          <w:numId w:val="63"/>
        </w:numPr>
        <w:spacing w:after="80" w:line="300" w:lineRule="auto"/>
      </w:pPr>
      <w:r>
        <w:rPr>
          <w:rFonts w:ascii="Calibri" w:hAnsi="Calibri"/>
          <w:color w:val="222222"/>
        </w:rPr>
        <w:t>Missingness threshold and handling.</w:t>
      </w:r>
    </w:p>
    <w:p>
      <w:pPr>
        <w:numPr>
          <w:ilvl w:val="0"/>
          <w:numId w:val="63"/>
        </w:numPr>
        <w:spacing w:after="80" w:line="300" w:lineRule="auto"/>
      </w:pPr>
      <w:r>
        <w:rPr>
          <w:rFonts w:ascii="Calibri" w:hAnsi="Calibri"/>
          <w:color w:val="222222"/>
        </w:rPr>
        <w:t>Zero and near-zero variance removal.</w:t>
      </w:r>
    </w:p>
    <w:p>
      <w:pPr>
        <w:numPr>
          <w:ilvl w:val="0"/>
          <w:numId w:val="63"/>
        </w:numPr>
        <w:spacing w:after="80" w:line="300" w:lineRule="auto"/>
      </w:pPr>
      <w:r>
        <w:rPr>
          <w:rFonts w:ascii="Calibri" w:hAnsi="Calibri"/>
          <w:color w:val="222222"/>
        </w:rPr>
        <w:t>Transformation, centering, and scaling.</w:t>
      </w:r>
    </w:p>
    <w:p>
      <w:pPr>
        <w:numPr>
          <w:ilvl w:val="0"/>
          <w:numId w:val="63"/>
        </w:numPr>
        <w:spacing w:after="80" w:line="300" w:lineRule="auto"/>
      </w:pPr>
      <w:r>
        <w:rPr>
          <w:rFonts w:ascii="Calibri" w:hAnsi="Calibri"/>
          <w:color w:val="222222"/>
        </w:rPr>
        <w:t>Treatment of duplicate RefMet mappings.</w:t>
      </w:r>
    </w:p>
    <w:p>
      <w:pPr>
        <w:numPr>
          <w:ilvl w:val="0"/>
          <w:numId w:val="63"/>
        </w:numPr>
        <w:spacing w:after="80" w:line="300" w:lineRule="auto"/>
      </w:pPr>
      <w:r>
        <w:rPr>
          <w:rFonts w:ascii="Calibri" w:hAnsi="Calibri"/>
          <w:color w:val="222222"/>
        </w:rPr>
        <w:t>Explained variance for displayed components.</w:t>
      </w:r>
    </w:p>
    <w:p>
      <w:r>
        <w:rPr>
          <w:rFonts w:ascii="Calibri" w:hAnsi="Calibri"/>
          <w:color w:val="222222"/>
        </w:rPr>
        <w:t>Use transformations only when compatible with the measurement scale and documented. Do not add an arbitrary pseudocount without recording its value and evaluating sensitivity. Fit imputation and scaling rules within the analyzed study; a combined fit across studies can transmit study-specific scale information.</w:t>
      </w:r>
    </w:p>
    <w:p>
      <w:pPr>
        <w:pStyle w:val="Heading3"/>
      </w:pPr>
      <w:r>
        <w:rPr>
          <w:rFonts w:ascii="Calibri" w:hAnsi="Calibri"/>
          <w:color w:val="222222"/>
        </w:rPr>
        <w:t>Diet-study PCA</w:t>
      </w:r>
    </w:p>
    <w:p>
      <w:r>
        <w:rPr>
          <w:rFonts w:ascii="Calibri" w:hAnsi="Calibri"/>
          <w:color w:val="222222"/>
        </w:rPr>
        <w:t>Color or facet the biological samples by diet and shape them by timepoint, while keeping the concurrent antibiotic/PEG intervention visible in the caption or an annotated time axis. Display pooled QC samples separately if they are used diagnostically. A visible time pattern is not automatically a diet effect.</w:t>
      </w:r>
    </w:p>
    <w:p>
      <w:r>
        <w:rPr>
          <w:rFonts w:ascii="Calibri" w:hAnsi="Calibri"/>
          <w:color w:val="222222"/>
        </w:rPr>
        <w:t>Questions to ask:</w:t>
      </w:r>
    </w:p>
    <w:p>
      <w:pPr>
        <w:numPr>
          <w:ilvl w:val="0"/>
          <w:numId w:val="64"/>
        </w:numPr>
        <w:spacing w:after="80" w:line="300" w:lineRule="auto"/>
      </w:pPr>
      <w:r>
        <w:rPr>
          <w:rFonts w:ascii="Calibri" w:hAnsi="Calibri"/>
          <w:color w:val="222222"/>
        </w:rPr>
        <w:t>Do pooled QC samples cluster more tightly than biological samples?</w:t>
      </w:r>
    </w:p>
    <w:p>
      <w:pPr>
        <w:numPr>
          <w:ilvl w:val="0"/>
          <w:numId w:val="64"/>
        </w:numPr>
        <w:spacing w:after="80" w:line="300" w:lineRule="auto"/>
      </w:pPr>
      <w:r>
        <w:rPr>
          <w:rFonts w:ascii="Calibri" w:hAnsi="Calibri"/>
          <w:color w:val="222222"/>
        </w:rPr>
        <w:t>Are extreme points associated with missingness or a specific analytical mode?</w:t>
      </w:r>
    </w:p>
    <w:p>
      <w:pPr>
        <w:numPr>
          <w:ilvl w:val="0"/>
          <w:numId w:val="64"/>
        </w:numPr>
        <w:spacing w:after="80" w:line="300" w:lineRule="auto"/>
      </w:pPr>
      <w:r>
        <w:rPr>
          <w:rFonts w:ascii="Calibri" w:hAnsi="Calibri"/>
          <w:color w:val="222222"/>
        </w:rPr>
        <w:t>Is variation aligned with time, diet, sex, participant, or batch metadata?</w:t>
      </w:r>
    </w:p>
    <w:p>
      <w:pPr>
        <w:numPr>
          <w:ilvl w:val="0"/>
          <w:numId w:val="64"/>
        </w:numPr>
        <w:spacing w:after="80" w:line="300" w:lineRule="auto"/>
      </w:pPr>
      <w:r>
        <w:rPr>
          <w:rFonts w:ascii="Calibri" w:hAnsi="Calibri"/>
          <w:color w:val="222222"/>
        </w:rPr>
        <w:t>Does the pattern change after reasonable sensitivity checks?</w:t>
      </w:r>
    </w:p>
    <w:p>
      <w:pPr>
        <w:numPr>
          <w:ilvl w:val="0"/>
          <w:numId w:val="64"/>
        </w:numPr>
        <w:spacing w:after="80" w:line="300" w:lineRule="auto"/>
      </w:pPr>
      <w:r>
        <w:rPr>
          <w:rFonts w:ascii="Calibri" w:hAnsi="Calibri"/>
          <w:color w:val="222222"/>
        </w:rPr>
        <w:t>Can diet be separated from setting and assignment differences for all groups? Not without additional assumptions.</w:t>
      </w:r>
    </w:p>
    <w:p>
      <w:pPr>
        <w:pStyle w:val="Heading3"/>
      </w:pPr>
      <w:r>
        <w:rPr>
          <w:rFonts w:ascii="Calibri" w:hAnsi="Calibri"/>
          <w:color w:val="222222"/>
        </w:rPr>
        <w:t>Exercise-study PCA</w:t>
      </w:r>
    </w:p>
    <w:p>
      <w:r>
        <w:rPr>
          <w:rFonts w:ascii="Calibri" w:hAnsi="Calibri"/>
          <w:color w:val="222222"/>
        </w:rPr>
        <w:t xml:space="preserve">Color samples by </w:t>
      </w:r>
      <w:r>
        <w:rPr>
          <w:rFonts w:ascii="Consolas" w:hAnsi="Consolas"/>
          <w:color w:val="1F4D78"/>
          <w:sz w:val="21"/>
          <w:shd w:fill="EEF1F4"/>
        </w:rPr>
        <w:t>REST</w:t>
      </w:r>
      <w:r>
        <w:rPr>
          <w:rFonts w:ascii="Calibri" w:hAnsi="Calibri"/>
          <w:color w:val="222222"/>
        </w:rPr>
        <w:t xml:space="preserve">, </w:t>
      </w:r>
      <w:r>
        <w:rPr>
          <w:rFonts w:ascii="Consolas" w:hAnsi="Consolas"/>
          <w:color w:val="1F4D78"/>
          <w:sz w:val="21"/>
          <w:shd w:fill="EEF1F4"/>
        </w:rPr>
        <w:t>STAT</w:t>
      </w:r>
      <w:r>
        <w:rPr>
          <w:rFonts w:ascii="Calibri" w:hAnsi="Calibri"/>
          <w:color w:val="222222"/>
        </w:rPr>
        <w:t xml:space="preserve">, </w:t>
      </w:r>
      <w:r>
        <w:rPr>
          <w:rFonts w:ascii="Consolas" w:hAnsi="Consolas"/>
          <w:color w:val="1F4D78"/>
          <w:sz w:val="21"/>
          <w:shd w:fill="EEF1F4"/>
        </w:rPr>
        <w:t>REC3</w:t>
      </w:r>
      <w:r>
        <w:rPr>
          <w:rFonts w:ascii="Calibri" w:hAnsi="Calibri"/>
          <w:color w:val="222222"/>
        </w:rPr>
        <w:t xml:space="preserve">, and </w:t>
      </w:r>
      <w:r>
        <w:rPr>
          <w:rFonts w:ascii="Consolas" w:hAnsi="Consolas"/>
          <w:color w:val="1F4D78"/>
          <w:sz w:val="21"/>
          <w:shd w:fill="EEF1F4"/>
        </w:rPr>
        <w:t>REC22</w:t>
      </w:r>
      <w:r>
        <w:rPr>
          <w:rFonts w:ascii="Calibri" w:hAnsi="Calibri"/>
          <w:color w:val="222222"/>
        </w:rPr>
        <w:t>, and connect repeated observations from the same athlete only after participant linkage is validated. The four labels describe an acute and recovery trajectory; they are not interchangeable with diet-study days.</w:t>
      </w:r>
    </w:p>
    <w:p>
      <w:r>
        <w:rPr>
          <w:rFonts w:ascii="Calibri" w:hAnsi="Calibri"/>
          <w:color w:val="222222"/>
        </w:rPr>
        <w:t>Questions to ask:</w:t>
      </w:r>
    </w:p>
    <w:p>
      <w:pPr>
        <w:numPr>
          <w:ilvl w:val="0"/>
          <w:numId w:val="65"/>
        </w:numPr>
        <w:spacing w:after="80" w:line="300" w:lineRule="auto"/>
      </w:pPr>
      <w:r>
        <w:rPr>
          <w:rFonts w:ascii="Calibri" w:hAnsi="Calibri"/>
          <w:color w:val="222222"/>
        </w:rPr>
        <w:t>Is any separation ordered along the known recovery sequence?</w:t>
      </w:r>
    </w:p>
    <w:p>
      <w:pPr>
        <w:numPr>
          <w:ilvl w:val="0"/>
          <w:numId w:val="65"/>
        </w:numPr>
        <w:spacing w:after="80" w:line="300" w:lineRule="auto"/>
      </w:pPr>
      <w:r>
        <w:rPr>
          <w:rFonts w:ascii="Calibri" w:hAnsi="Calibri"/>
          <w:color w:val="222222"/>
        </w:rPr>
        <w:t>Are trajectories consistent across athletes or driven by a subset?</w:t>
      </w:r>
    </w:p>
    <w:p>
      <w:pPr>
        <w:numPr>
          <w:ilvl w:val="0"/>
          <w:numId w:val="65"/>
        </w:numPr>
        <w:spacing w:after="80" w:line="300" w:lineRule="auto"/>
      </w:pPr>
      <w:r>
        <w:rPr>
          <w:rFonts w:ascii="Calibri" w:hAnsi="Calibri"/>
          <w:color w:val="222222"/>
        </w:rPr>
        <w:t>Do positive- and negative-ion analysis blocks behave differently?</w:t>
      </w:r>
    </w:p>
    <w:p>
      <w:pPr>
        <w:numPr>
          <w:ilvl w:val="0"/>
          <w:numId w:val="65"/>
        </w:numPr>
        <w:spacing w:after="80" w:line="300" w:lineRule="auto"/>
      </w:pPr>
      <w:r>
        <w:rPr>
          <w:rFonts w:ascii="Calibri" w:hAnsi="Calibri"/>
          <w:color w:val="222222"/>
        </w:rPr>
        <w:t>Could collection clock time, fasting status, or processing contribute?</w:t>
      </w:r>
    </w:p>
    <w:p>
      <w:pPr>
        <w:pStyle w:val="Heading3"/>
      </w:pPr>
      <w:r>
        <w:rPr>
          <w:rFonts w:ascii="Calibri" w:hAnsi="Calibri"/>
          <w:color w:val="222222"/>
        </w:rPr>
        <w:t>Why this module omits a combined PCA</w:t>
      </w:r>
    </w:p>
    <w:p>
      <w:r>
        <w:rPr>
          <w:rFonts w:ascii="Calibri" w:hAnsi="Calibri"/>
          <w:color w:val="222222"/>
        </w:rPr>
        <w:t>Study identity is perfectly associated with diet-versus-exercise context and also differs in matrix, platform implementation, units, laboratory, population, and protocol. A PCA of the stacked raw matrices would primarily encode those inseparable study-of-origin differences. This module therefore omits that plot and teaches the confounding problem through the metadata audit plus two independent within-study PCA figures whose numeric axes are not compared.</w:t>
      </w:r>
    </w:p>
    <w:p>
      <w:pPr>
        <w:pStyle w:val="Heading3"/>
      </w:pPr>
      <w:r>
        <w:rPr>
          <w:rFonts w:ascii="Calibri" w:hAnsi="Calibri"/>
          <w:color w:val="222222"/>
        </w:rPr>
        <w:t>Accessible descriptions of the PCA figures</w:t>
      </w:r>
    </w:p>
    <w:p>
      <w:r>
        <w:rPr>
          <w:rFonts w:ascii="Calibri" w:hAnsi="Calibri"/>
          <w:color w:val="222222"/>
        </w:rPr>
        <w:t xml:space="preserve">The diet figure is titled </w:t>
      </w:r>
      <w:r>
        <w:rPr>
          <w:rFonts w:ascii="Consolas" w:hAnsi="Consolas"/>
          <w:color w:val="1F4D78"/>
          <w:sz w:val="21"/>
          <w:shd w:fill="EEF1F4"/>
        </w:rPr>
        <w:t>ST001521 / AN002534: within-study PCA</w:t>
      </w:r>
      <w:r>
        <w:rPr>
          <w:rFonts w:ascii="Calibri" w:hAnsi="Calibri"/>
          <w:color w:val="222222"/>
        </w:rPr>
        <w:t xml:space="preserve"> and contains 150 biological plasma samples; the 10 pooled QPP samples are excluded. Color represents Western, Vegan, or Modulen, and marker shape represents Baseline, Day 5, Day 9, Day 12, or Day 15. PC1 explains 34.4% and PC2 explains 11.6% of variance.</w:t>
      </w:r>
    </w:p>
    <w:p>
      <w:r>
        <w:rPr>
          <w:rFonts w:ascii="Calibri" w:hAnsi="Calibri"/>
          <w:color w:val="222222"/>
        </w:rPr>
        <w:t xml:space="preserve">The exercise figure is titled </w:t>
      </w:r>
      <w:r>
        <w:rPr>
          <w:rFonts w:ascii="Consolas" w:hAnsi="Consolas"/>
          <w:color w:val="1F4D78"/>
          <w:sz w:val="21"/>
          <w:shd w:fill="EEF1F4"/>
        </w:rPr>
        <w:t>ST003348 / AN005483: within-study PCA</w:t>
      </w:r>
      <w:r>
        <w:rPr>
          <w:rFonts w:ascii="Calibri" w:hAnsi="Calibri"/>
          <w:color w:val="222222"/>
        </w:rPr>
        <w:t xml:space="preserve"> and contains 76 serum samples. Color represents Rest, Immediate post, 3 h recovery, or 22 h recovery; the plot does not draw participant-trajectory lines. PC1 explains 16.1% and PC2 explains 8.4% of variance. The two PCA models have independent coordinate systems, so point distances and axis values must not be compared between figures.</w:t>
      </w:r>
    </w:p>
    <w:p>
      <w:pPr>
        <w:pStyle w:val="Heading2"/>
      </w:pPr>
      <w:r>
        <w:rPr>
          <w:rFonts w:ascii="Calibri" w:hAnsi="Calibri"/>
          <w:color w:val="222222"/>
        </w:rPr>
        <w:t>9. Hands-on notebook activity</w:t>
      </w:r>
    </w:p>
    <w:p>
      <w:pPr>
        <w:pStyle w:val="Heading3"/>
      </w:pPr>
      <w:r>
        <w:rPr>
          <w:rFonts w:ascii="Calibri" w:hAnsi="Calibri"/>
          <w:color w:val="222222"/>
        </w:rPr>
        <w:t>Part A - Retrieval audit</w:t>
      </w:r>
    </w:p>
    <w:p>
      <w:pPr>
        <w:numPr>
          <w:ilvl w:val="0"/>
          <w:numId w:val="66"/>
        </w:numPr>
        <w:spacing w:after="80" w:line="300" w:lineRule="auto"/>
      </w:pPr>
      <w:r>
        <w:rPr>
          <w:rFonts w:ascii="Calibri" w:hAnsi="Calibri"/>
          <w:color w:val="222222"/>
        </w:rPr>
        <w:t xml:space="preserve">Review </w:t>
      </w:r>
      <w:r>
        <w:rPr>
          <w:rFonts w:ascii="Consolas" w:hAnsi="Consolas"/>
          <w:color w:val="1F4D78"/>
          <w:sz w:val="21"/>
          <w:shd w:fill="EEF1F4"/>
        </w:rPr>
        <w:t>NB-L1</w:t>
      </w:r>
      <w:r>
        <w:rPr>
          <w:rFonts w:ascii="Calibri" w:hAnsi="Calibri"/>
          <w:color w:val="222222"/>
        </w:rPr>
        <w:t xml:space="preserve"> and run the </w:t>
      </w:r>
      <w:r>
        <w:rPr>
          <w:rFonts w:ascii="Consolas" w:hAnsi="Consolas"/>
          <w:color w:val="1F4D78"/>
          <w:sz w:val="21"/>
          <w:shd w:fill="EEF1F4"/>
        </w:rPr>
        <w:t>NB-L2</w:t>
      </w:r>
      <w:r>
        <w:rPr>
          <w:rFonts w:ascii="Calibri" w:hAnsi="Calibri"/>
          <w:color w:val="222222"/>
        </w:rPr>
        <w:t xml:space="preserve"> retrieval cells if they have not already been executed in this fresh kernel.</w:t>
      </w:r>
    </w:p>
    <w:p>
      <w:pPr>
        <w:numPr>
          <w:ilvl w:val="0"/>
          <w:numId w:val="66"/>
        </w:numPr>
        <w:spacing w:after="80" w:line="300" w:lineRule="auto"/>
      </w:pPr>
      <w:r>
        <w:rPr>
          <w:rFonts w:ascii="Calibri" w:hAnsi="Calibri"/>
          <w:color w:val="222222"/>
        </w:rPr>
        <w:t>Confirm both locked accessions in the output.</w:t>
      </w:r>
    </w:p>
    <w:p>
      <w:pPr>
        <w:numPr>
          <w:ilvl w:val="0"/>
          <w:numId w:val="66"/>
        </w:numPr>
        <w:spacing w:after="80" w:line="300" w:lineRule="auto"/>
      </w:pPr>
      <w:r>
        <w:rPr>
          <w:rFonts w:ascii="Calibri" w:hAnsi="Calibri"/>
          <w:color w:val="222222"/>
        </w:rPr>
        <w:t>Record live or cached status for each endpoint.</w:t>
      </w:r>
    </w:p>
    <w:p>
      <w:pPr>
        <w:numPr>
          <w:ilvl w:val="0"/>
          <w:numId w:val="66"/>
        </w:numPr>
        <w:spacing w:after="80" w:line="300" w:lineRule="auto"/>
      </w:pPr>
      <w:r>
        <w:rPr>
          <w:rFonts w:ascii="Calibri" w:hAnsi="Calibri"/>
          <w:color w:val="222222"/>
        </w:rPr>
        <w:t>Compare the structural audit with the expected checks above.</w:t>
      </w:r>
    </w:p>
    <w:p>
      <w:pPr>
        <w:numPr>
          <w:ilvl w:val="0"/>
          <w:numId w:val="66"/>
        </w:numPr>
        <w:spacing w:after="80" w:line="300" w:lineRule="auto"/>
      </w:pPr>
      <w:r>
        <w:rPr>
          <w:rFonts w:ascii="Calibri" w:hAnsi="Calibri"/>
          <w:color w:val="222222"/>
        </w:rPr>
        <w:t>Investigate any discrepancy before continuing.</w:t>
      </w:r>
    </w:p>
    <w:p>
      <w:pPr>
        <w:pStyle w:val="Heading3"/>
      </w:pPr>
      <w:r>
        <w:rPr>
          <w:rFonts w:ascii="Calibri" w:hAnsi="Calibri"/>
          <w:color w:val="222222"/>
        </w:rPr>
        <w:t>Part B - Sample-role and time audit</w:t>
      </w:r>
    </w:p>
    <w:p>
      <w:pPr>
        <w:numPr>
          <w:ilvl w:val="0"/>
          <w:numId w:val="67"/>
        </w:numPr>
        <w:spacing w:after="80" w:line="300" w:lineRule="auto"/>
      </w:pPr>
      <w:r>
        <w:rPr>
          <w:rFonts w:ascii="Calibri" w:hAnsi="Calibri"/>
          <w:color w:val="222222"/>
        </w:rPr>
        <w:t xml:space="preserve">In </w:t>
      </w:r>
      <w:r>
        <w:rPr>
          <w:rFonts w:ascii="Consolas" w:hAnsi="Consolas"/>
          <w:color w:val="1F4D78"/>
          <w:sz w:val="21"/>
          <w:shd w:fill="EEF1F4"/>
        </w:rPr>
        <w:t>NB-L2</w:t>
      </w:r>
      <w:r>
        <w:rPr>
          <w:rFonts w:ascii="Calibri" w:hAnsi="Calibri"/>
          <w:color w:val="222222"/>
        </w:rPr>
        <w:t xml:space="preserve">, identify the 10 </w:t>
      </w:r>
      <w:r>
        <w:rPr>
          <w:rFonts w:ascii="Consolas" w:hAnsi="Consolas"/>
          <w:color w:val="1F4D78"/>
          <w:sz w:val="21"/>
          <w:shd w:fill="EEF1F4"/>
        </w:rPr>
        <w:t>QPP...</w:t>
      </w:r>
      <w:r>
        <w:rPr>
          <w:rFonts w:ascii="Calibri" w:hAnsi="Calibri"/>
          <w:color w:val="222222"/>
        </w:rPr>
        <w:t xml:space="preserve"> rows in </w:t>
      </w:r>
      <w:r>
        <w:rPr>
          <w:rFonts w:ascii="Consolas" w:hAnsi="Consolas"/>
          <w:color w:val="1F4D78"/>
          <w:sz w:val="21"/>
          <w:shd w:fill="EEF1F4"/>
        </w:rPr>
        <w:t>ST001521</w:t>
      </w:r>
      <w:r>
        <w:rPr>
          <w:rFonts w:ascii="Calibri" w:hAnsi="Calibri"/>
          <w:color w:val="222222"/>
        </w:rPr>
        <w:t xml:space="preserve"> and verify that they are not counted as participants.</w:t>
      </w:r>
    </w:p>
    <w:p>
      <w:pPr>
        <w:numPr>
          <w:ilvl w:val="0"/>
          <w:numId w:val="67"/>
        </w:numPr>
        <w:spacing w:after="80" w:line="300" w:lineRule="auto"/>
      </w:pPr>
      <w:r>
        <w:rPr>
          <w:rFonts w:ascii="Calibri" w:hAnsi="Calibri"/>
          <w:color w:val="222222"/>
        </w:rPr>
        <w:t>Create explicit physiological labels for the exercise study: pre-exercise, immediate post-exercise, 3-hour recovery, and 22-hour recovery.</w:t>
      </w:r>
    </w:p>
    <w:p>
      <w:pPr>
        <w:numPr>
          <w:ilvl w:val="0"/>
          <w:numId w:val="67"/>
        </w:numPr>
        <w:spacing w:after="80" w:line="300" w:lineRule="auto"/>
      </w:pPr>
      <w:r>
        <w:rPr>
          <w:rFonts w:ascii="Calibri" w:hAnsi="Calibri"/>
          <w:color w:val="222222"/>
        </w:rPr>
        <w:t>Preserve the diet-study days and annotate the antibiotic/PEG interval rather than mapping them to the exercise labels.</w:t>
      </w:r>
    </w:p>
    <w:p>
      <w:pPr>
        <w:numPr>
          <w:ilvl w:val="0"/>
          <w:numId w:val="67"/>
        </w:numPr>
        <w:spacing w:after="80" w:line="300" w:lineRule="auto"/>
      </w:pPr>
      <w:r>
        <w:rPr>
          <w:rFonts w:ascii="Calibri" w:hAnsi="Calibri"/>
          <w:color w:val="222222"/>
        </w:rPr>
        <w:t>Record plasma versus serum as a partial compatibility decision.</w:t>
      </w:r>
    </w:p>
    <w:p>
      <w:pPr>
        <w:pStyle w:val="Heading3"/>
      </w:pPr>
      <w:r>
        <w:rPr>
          <w:rFonts w:ascii="Calibri" w:hAnsi="Calibri"/>
          <w:color w:val="222222"/>
        </w:rPr>
        <w:t>Part C - Crosswalk and overlap</w:t>
      </w:r>
    </w:p>
    <w:p>
      <w:pPr>
        <w:numPr>
          <w:ilvl w:val="0"/>
          <w:numId w:val="68"/>
        </w:numPr>
        <w:spacing w:after="80" w:line="300" w:lineRule="auto"/>
      </w:pPr>
      <w:r>
        <w:rPr>
          <w:rFonts w:ascii="Calibri" w:hAnsi="Calibri"/>
          <w:color w:val="222222"/>
        </w:rPr>
        <w:t xml:space="preserve">In </w:t>
      </w:r>
      <w:r>
        <w:rPr>
          <w:rFonts w:ascii="Consolas" w:hAnsi="Consolas"/>
          <w:color w:val="1F4D78"/>
          <w:sz w:val="21"/>
          <w:shd w:fill="EEF1F4"/>
        </w:rPr>
        <w:t>NB-L3-CROSSWALK</w:t>
      </w:r>
      <w:r>
        <w:rPr>
          <w:rFonts w:ascii="Calibri" w:hAnsi="Calibri"/>
          <w:color w:val="222222"/>
        </w:rPr>
        <w:t>, join the reviewed crosswalk using accession, analysis, and source-feature keys.</w:t>
      </w:r>
    </w:p>
    <w:p>
      <w:pPr>
        <w:numPr>
          <w:ilvl w:val="0"/>
          <w:numId w:val="68"/>
        </w:numPr>
        <w:spacing w:after="80" w:line="300" w:lineRule="auto"/>
      </w:pPr>
      <w:r>
        <w:rPr>
          <w:rFonts w:ascii="Calibri" w:hAnsi="Calibri"/>
          <w:color w:val="222222"/>
        </w:rPr>
        <w:t>Inspect the join-cardinality report.</w:t>
      </w:r>
    </w:p>
    <w:p>
      <w:pPr>
        <w:numPr>
          <w:ilvl w:val="0"/>
          <w:numId w:val="68"/>
        </w:numPr>
        <w:spacing w:after="80" w:line="300" w:lineRule="auto"/>
      </w:pPr>
      <w:r>
        <w:rPr>
          <w:rFonts w:ascii="Calibri" w:hAnsi="Calibri"/>
          <w:color w:val="222222"/>
        </w:rPr>
        <w:t>Reproduce the intermediate 153 shared nonblank exact RefMet strings if the same retrieval and preliminary rules are in use.</w:t>
      </w:r>
    </w:p>
    <w:p>
      <w:pPr>
        <w:numPr>
          <w:ilvl w:val="0"/>
          <w:numId w:val="68"/>
        </w:numPr>
        <w:spacing w:after="80" w:line="300" w:lineRule="auto"/>
      </w:pPr>
      <w:r>
        <w:rPr>
          <w:rFonts w:ascii="Calibri" w:hAnsi="Calibri"/>
          <w:color w:val="222222"/>
        </w:rPr>
        <w:t xml:space="preserve">Apply the nonbiological artifact rule and verify that eight </w:t>
      </w:r>
      <w:r>
        <w:rPr>
          <w:rFonts w:ascii="Consolas" w:hAnsi="Consolas"/>
          <w:color w:val="1F4D78"/>
          <w:sz w:val="21"/>
          <w:shd w:fill="EEF1F4"/>
        </w:rPr>
        <w:t>ST003348</w:t>
      </w:r>
      <w:r>
        <w:rPr>
          <w:rFonts w:ascii="Calibri" w:hAnsi="Calibri"/>
          <w:color w:val="222222"/>
        </w:rPr>
        <w:t xml:space="preserve"> isotope/internal-standard rows are excluded, producing 145 conservative biological overlaps in the audited build.</w:t>
      </w:r>
    </w:p>
    <w:p>
      <w:pPr>
        <w:numPr>
          <w:ilvl w:val="0"/>
          <w:numId w:val="68"/>
        </w:numPr>
        <w:spacing w:after="80" w:line="300" w:lineRule="auto"/>
      </w:pPr>
      <w:r>
        <w:rPr>
          <w:rFonts w:ascii="Calibri" w:hAnsi="Calibri"/>
          <w:color w:val="222222"/>
        </w:rPr>
        <w:t>Apply any additional mapping-status and annotation-resolution eligibility rules and record every exclusion count.</w:t>
      </w:r>
    </w:p>
    <w:p>
      <w:pPr>
        <w:numPr>
          <w:ilvl w:val="0"/>
          <w:numId w:val="68"/>
        </w:numPr>
        <w:spacing w:after="80" w:line="300" w:lineRule="auto"/>
      </w:pPr>
      <w:r>
        <w:rPr>
          <w:rFonts w:ascii="Calibri" w:hAnsi="Calibri"/>
          <w:color w:val="222222"/>
        </w:rPr>
        <w:t xml:space="preserve">In </w:t>
      </w:r>
      <w:r>
        <w:rPr>
          <w:rFonts w:ascii="Consolas" w:hAnsi="Consolas"/>
          <w:color w:val="1F4D78"/>
          <w:sz w:val="21"/>
          <w:shd w:fill="EEF1F4"/>
        </w:rPr>
        <w:t>NB-L4-CLASS</w:t>
      </w:r>
      <w:r>
        <w:rPr>
          <w:rFonts w:ascii="Calibri" w:hAnsi="Calibri"/>
          <w:color w:val="222222"/>
        </w:rPr>
        <w:t>, produce the set summary and class-count figure.</w:t>
      </w:r>
    </w:p>
    <w:p>
      <w:r>
        <w:rPr>
          <w:rFonts w:ascii="Calibri" w:hAnsi="Calibri"/>
          <w:color w:val="222222"/>
        </w:rPr>
        <w:t>If 153 and then 145 are not reproduced, do not tune filters merely to make them appear. Check versions, retrieved analyses, missing-value definitions, isotope/internal-standard rules, duplicate collapse, and crosswalk state; document the reason for any legitimate difference.</w:t>
      </w:r>
    </w:p>
    <w:p>
      <w:pPr>
        <w:pStyle w:val="Heading3"/>
      </w:pPr>
      <w:r>
        <w:rPr>
          <w:rFonts w:ascii="Calibri" w:hAnsi="Calibri"/>
          <w:color w:val="222222"/>
        </w:rPr>
        <w:t>Part D - PCA and sensitivity</w:t>
      </w:r>
    </w:p>
    <w:p>
      <w:pPr>
        <w:numPr>
          <w:ilvl w:val="0"/>
          <w:numId w:val="69"/>
        </w:numPr>
        <w:spacing w:after="80" w:line="300" w:lineRule="auto"/>
      </w:pPr>
      <w:r>
        <w:rPr>
          <w:rFonts w:ascii="Calibri" w:hAnsi="Calibri"/>
          <w:color w:val="222222"/>
        </w:rPr>
        <w:t xml:space="preserve">Run </w:t>
      </w:r>
      <w:r>
        <w:rPr>
          <w:rFonts w:ascii="Consolas" w:hAnsi="Consolas"/>
          <w:color w:val="1F4D78"/>
          <w:sz w:val="21"/>
          <w:shd w:fill="EEF1F4"/>
        </w:rPr>
        <w:t>NB-L4-PCA-DIET</w:t>
      </w:r>
      <w:r>
        <w:rPr>
          <w:rFonts w:ascii="Calibri" w:hAnsi="Calibri"/>
          <w:color w:val="222222"/>
        </w:rPr>
        <w:t xml:space="preserve"> and </w:t>
      </w:r>
      <w:r>
        <w:rPr>
          <w:rFonts w:ascii="Consolas" w:hAnsi="Consolas"/>
          <w:color w:val="1F4D78"/>
          <w:sz w:val="21"/>
          <w:shd w:fill="EEF1F4"/>
        </w:rPr>
        <w:t>NB-L4-PCA-EXERCISE</w:t>
      </w:r>
      <w:r>
        <w:rPr>
          <w:rFonts w:ascii="Calibri" w:hAnsi="Calibri"/>
          <w:color w:val="222222"/>
        </w:rPr>
        <w:t xml:space="preserve"> separately.</w:t>
      </w:r>
    </w:p>
    <w:p>
      <w:pPr>
        <w:numPr>
          <w:ilvl w:val="0"/>
          <w:numId w:val="69"/>
        </w:numPr>
        <w:spacing w:after="80" w:line="300" w:lineRule="auto"/>
      </w:pPr>
      <w:r>
        <w:rPr>
          <w:rFonts w:ascii="Calibri" w:hAnsi="Calibri"/>
          <w:color w:val="222222"/>
        </w:rPr>
        <w:t>Confirm QC samples are excluded from biological inference but available for assay diagnostics.</w:t>
      </w:r>
    </w:p>
    <w:p>
      <w:pPr>
        <w:numPr>
          <w:ilvl w:val="0"/>
          <w:numId w:val="69"/>
        </w:numPr>
        <w:spacing w:after="80" w:line="300" w:lineRule="auto"/>
      </w:pPr>
      <w:r>
        <w:rPr>
          <w:rFonts w:ascii="Calibri" w:hAnsi="Calibri"/>
          <w:color w:val="222222"/>
        </w:rPr>
        <w:t>State the preprocessing choices in plain language.</w:t>
      </w:r>
    </w:p>
    <w:p>
      <w:pPr>
        <w:numPr>
          <w:ilvl w:val="0"/>
          <w:numId w:val="69"/>
        </w:numPr>
        <w:spacing w:after="80" w:line="300" w:lineRule="auto"/>
      </w:pPr>
      <w:r>
        <w:rPr>
          <w:rFonts w:ascii="Calibri" w:hAnsi="Calibri"/>
          <w:color w:val="222222"/>
        </w:rPr>
        <w:t>Repeat one reasonable sensitivity analysis, such as changing the missingness threshold or analyzing ion modes separately.</w:t>
      </w:r>
    </w:p>
    <w:p>
      <w:pPr>
        <w:numPr>
          <w:ilvl w:val="0"/>
          <w:numId w:val="69"/>
        </w:numPr>
        <w:spacing w:after="80" w:line="300" w:lineRule="auto"/>
      </w:pPr>
      <w:r>
        <w:rPr>
          <w:rFonts w:ascii="Calibri" w:hAnsi="Calibri"/>
          <w:color w:val="222222"/>
        </w:rPr>
        <w:t>Compare which observations persist and which change.</w:t>
      </w:r>
    </w:p>
    <w:p>
      <w:pPr>
        <w:pStyle w:val="Heading3"/>
      </w:pPr>
      <w:r>
        <w:rPr>
          <w:rFonts w:ascii="Calibri" w:hAnsi="Calibri"/>
          <w:color w:val="222222"/>
        </w:rPr>
        <w:t>Part E - Write a bounded interpretation</w:t>
      </w:r>
    </w:p>
    <w:p>
      <w:r>
        <w:rPr>
          <w:rFonts w:ascii="Calibri" w:hAnsi="Calibri"/>
          <w:color w:val="222222"/>
        </w:rPr>
        <w:t>Use this four-sentence scaffold:</w:t>
      </w:r>
    </w:p>
    <w:p>
      <w:pPr>
        <w:numPr>
          <w:ilvl w:val="0"/>
          <w:numId w:val="70"/>
        </w:numPr>
        <w:spacing w:after="80" w:line="300" w:lineRule="auto"/>
      </w:pPr>
      <w:r>
        <w:rPr>
          <w:rFonts w:ascii="Calibri" w:hAnsi="Calibri"/>
          <w:b/>
          <w:color w:val="222222"/>
        </w:rPr>
        <w:t>Observation:</w:t>
      </w:r>
      <w:r>
        <w:rPr>
          <w:rFonts w:ascii="Calibri" w:hAnsi="Calibri"/>
          <w:color w:val="222222"/>
        </w:rPr>
        <w:t xml:space="preserve"> "Within </w:t>
      </w:r>
      <w:r>
        <w:rPr>
          <w:rFonts w:ascii="Consolas" w:hAnsi="Consolas"/>
          <w:color w:val="1F4D78"/>
          <w:sz w:val="21"/>
          <w:shd w:fill="EEF1F4"/>
        </w:rPr>
        <w:t>ST...</w:t>
      </w:r>
      <w:r>
        <w:rPr>
          <w:rFonts w:ascii="Calibri" w:hAnsi="Calibri"/>
          <w:color w:val="222222"/>
        </w:rPr>
        <w:t>, the exploratory output shows..."</w:t>
      </w:r>
    </w:p>
    <w:p>
      <w:pPr>
        <w:numPr>
          <w:ilvl w:val="0"/>
          <w:numId w:val="70"/>
        </w:numPr>
        <w:spacing w:after="80" w:line="300" w:lineRule="auto"/>
      </w:pPr>
      <w:r>
        <w:rPr>
          <w:rFonts w:ascii="Calibri" w:hAnsi="Calibri"/>
          <w:b/>
          <w:color w:val="222222"/>
        </w:rPr>
        <w:t>Context:</w:t>
      </w:r>
      <w:r>
        <w:rPr>
          <w:rFonts w:ascii="Calibri" w:hAnsi="Calibri"/>
          <w:color w:val="222222"/>
        </w:rPr>
        <w:t xml:space="preserve"> "The relevant design and phenotype metadata indicate..."</w:t>
      </w:r>
    </w:p>
    <w:p>
      <w:pPr>
        <w:numPr>
          <w:ilvl w:val="0"/>
          <w:numId w:val="70"/>
        </w:numPr>
        <w:spacing w:after="80" w:line="300" w:lineRule="auto"/>
      </w:pPr>
      <w:r>
        <w:rPr>
          <w:rFonts w:ascii="Calibri" w:hAnsi="Calibri"/>
          <w:b/>
          <w:color w:val="222222"/>
        </w:rPr>
        <w:t>Alternative explanations:</w:t>
      </w:r>
      <w:r>
        <w:rPr>
          <w:rFonts w:ascii="Calibri" w:hAnsi="Calibri"/>
          <w:color w:val="222222"/>
        </w:rPr>
        <w:t xml:space="preserve"> "This pattern could also reflect..."</w:t>
      </w:r>
    </w:p>
    <w:p>
      <w:pPr>
        <w:numPr>
          <w:ilvl w:val="0"/>
          <w:numId w:val="70"/>
        </w:numPr>
        <w:spacing w:after="80" w:line="300" w:lineRule="auto"/>
      </w:pPr>
      <w:r>
        <w:rPr>
          <w:rFonts w:ascii="Calibri" w:hAnsi="Calibri"/>
          <w:b/>
          <w:color w:val="222222"/>
        </w:rPr>
        <w:t>Boundary:</w:t>
      </w:r>
      <w:r>
        <w:rPr>
          <w:rFonts w:ascii="Calibri" w:hAnsi="Calibri"/>
          <w:color w:val="222222"/>
        </w:rPr>
        <w:t xml:space="preserve"> "These data do not establish..."</w:t>
      </w:r>
    </w:p>
    <w:p>
      <w:r>
        <w:rPr>
          <w:rFonts w:ascii="Calibri" w:hAnsi="Calibri"/>
          <w:color w:val="222222"/>
        </w:rPr>
        <w:t xml:space="preserve">Avoid the verbs </w:t>
      </w:r>
      <w:r>
        <w:rPr>
          <w:rFonts w:ascii="Consolas" w:hAnsi="Consolas"/>
          <w:color w:val="1F4D78"/>
          <w:sz w:val="21"/>
          <w:shd w:fill="EEF1F4"/>
        </w:rPr>
        <w:t>proves</w:t>
      </w:r>
      <w:r>
        <w:rPr>
          <w:rFonts w:ascii="Calibri" w:hAnsi="Calibri"/>
          <w:color w:val="222222"/>
        </w:rPr>
        <w:t xml:space="preserve">, </w:t>
      </w:r>
      <w:r>
        <w:rPr>
          <w:rFonts w:ascii="Consolas" w:hAnsi="Consolas"/>
          <w:color w:val="1F4D78"/>
          <w:sz w:val="21"/>
          <w:shd w:fill="EEF1F4"/>
        </w:rPr>
        <w:t>causes</w:t>
      </w:r>
      <w:r>
        <w:rPr>
          <w:rFonts w:ascii="Calibri" w:hAnsi="Calibri"/>
          <w:color w:val="222222"/>
        </w:rPr>
        <w:t xml:space="preserve">, </w:t>
      </w:r>
      <w:r>
        <w:rPr>
          <w:rFonts w:ascii="Consolas" w:hAnsi="Consolas"/>
          <w:color w:val="1F4D78"/>
          <w:sz w:val="21"/>
          <w:shd w:fill="EEF1F4"/>
        </w:rPr>
        <w:t>confirms</w:t>
      </w:r>
      <w:r>
        <w:rPr>
          <w:rFonts w:ascii="Calibri" w:hAnsi="Calibri"/>
          <w:color w:val="222222"/>
        </w:rPr>
        <w:t xml:space="preserve">, or </w:t>
      </w:r>
      <w:r>
        <w:rPr>
          <w:rFonts w:ascii="Consolas" w:hAnsi="Consolas"/>
          <w:color w:val="1F4D78"/>
          <w:sz w:val="21"/>
          <w:shd w:fill="EEF1F4"/>
        </w:rPr>
        <w:t>demonstrates</w:t>
      </w:r>
      <w:r>
        <w:rPr>
          <w:rFonts w:ascii="Calibri" w:hAnsi="Calibri"/>
          <w:color w:val="222222"/>
        </w:rPr>
        <w:t xml:space="preserve"> unless the design and analysis truly support them.</w:t>
      </w:r>
    </w:p>
    <w:p>
      <w:pPr>
        <w:pStyle w:val="Heading2"/>
      </w:pPr>
      <w:r>
        <w:rPr>
          <w:rFonts w:ascii="Calibri" w:hAnsi="Calibri"/>
          <w:color w:val="222222"/>
        </w:rPr>
        <w:t>10. Optional extension: MetENP</w:t>
      </w:r>
    </w:p>
    <w:p>
      <w:r>
        <w:rPr>
          <w:rFonts w:ascii="Calibri" w:hAnsi="Calibri"/>
          <w:color w:val="222222"/>
        </w:rPr>
        <w:t>MetENP can be introduced as an optional pathway and enrichment resource supported through CFDE. Export only reviewed identifiers in a format the tool documents, retain the background universe, and record tool and database versions. Pathway output inherits all upstream identification and coverage limitations. It is hypothesis-generating, not validation of a diet-versus-exercise mechanism.</w:t>
      </w:r>
    </w:p>
    <w:p>
      <w:pPr>
        <w:pStyle w:val="Heading2"/>
      </w:pPr>
      <w:r>
        <w:rPr>
          <w:rFonts w:ascii="Calibri" w:hAnsi="Calibri"/>
          <w:color w:val="222222"/>
        </w:rPr>
        <w:t>11. Interpretation challenge</w:t>
      </w:r>
    </w:p>
    <w:p>
      <w:r>
        <w:rPr>
          <w:rFonts w:ascii="Calibri" w:hAnsi="Calibri"/>
          <w:color w:val="222222"/>
        </w:rPr>
        <w:t xml:space="preserve">For each statement, mark </w:t>
      </w:r>
      <w:r>
        <w:rPr>
          <w:rFonts w:ascii="Consolas" w:hAnsi="Consolas"/>
          <w:color w:val="1F4D78"/>
          <w:sz w:val="21"/>
          <w:shd w:fill="EEF1F4"/>
        </w:rPr>
        <w:t>supported</w:t>
      </w:r>
      <w:r>
        <w:rPr>
          <w:rFonts w:ascii="Calibri" w:hAnsi="Calibri"/>
          <w:color w:val="222222"/>
        </w:rPr>
        <w:t xml:space="preserve">, </w:t>
      </w:r>
      <w:r>
        <w:rPr>
          <w:rFonts w:ascii="Consolas" w:hAnsi="Consolas"/>
          <w:color w:val="1F4D78"/>
          <w:sz w:val="21"/>
          <w:shd w:fill="EEF1F4"/>
        </w:rPr>
        <w:t>partially supported</w:t>
      </w:r>
      <w:r>
        <w:rPr>
          <w:rFonts w:ascii="Calibri" w:hAnsi="Calibri"/>
          <w:color w:val="222222"/>
        </w:rPr>
        <w:t xml:space="preserve">, or </w:t>
      </w:r>
      <w:r>
        <w:rPr>
          <w:rFonts w:ascii="Consolas" w:hAnsi="Consolas"/>
          <w:color w:val="1F4D78"/>
          <w:sz w:val="21"/>
          <w:shd w:fill="EEF1F4"/>
        </w:rPr>
        <w:t>unsupported</w:t>
      </w:r>
      <w:r>
        <w:rPr>
          <w:rFonts w:ascii="Calibri" w:hAnsi="Calibri"/>
          <w:color w:val="222222"/>
        </w:rPr>
        <w:t>, then revise it.</w:t>
      </w:r>
    </w:p>
    <w:p>
      <w:pPr>
        <w:numPr>
          <w:ilvl w:val="0"/>
          <w:numId w:val="71"/>
        </w:numPr>
        <w:spacing w:after="80" w:line="300" w:lineRule="auto"/>
      </w:pPr>
      <w:r>
        <w:rPr>
          <w:rFonts w:ascii="Calibri" w:hAnsi="Calibri"/>
          <w:color w:val="222222"/>
        </w:rPr>
        <w:t>"The studies share 153 biologically identical metabolites."</w:t>
      </w:r>
    </w:p>
    <w:p>
      <w:pPr>
        <w:numPr>
          <w:ilvl w:val="0"/>
          <w:numId w:val="71"/>
        </w:numPr>
        <w:spacing w:after="80" w:line="300" w:lineRule="auto"/>
      </w:pPr>
      <w:r>
        <w:rPr>
          <w:rFonts w:ascii="Calibri" w:hAnsi="Calibri"/>
          <w:color w:val="222222"/>
        </w:rPr>
        <w:t>"The diet study contains 160 participants."</w:t>
      </w:r>
    </w:p>
    <w:p>
      <w:pPr>
        <w:numPr>
          <w:ilvl w:val="0"/>
          <w:numId w:val="71"/>
        </w:numPr>
        <w:spacing w:after="80" w:line="300" w:lineRule="auto"/>
      </w:pPr>
      <w:r>
        <w:rPr>
          <w:rFonts w:ascii="Calibri" w:hAnsi="Calibri"/>
          <w:color w:val="222222"/>
        </w:rPr>
        <w:t>"The exercise samples are blood, so they are the same matrix as diet plasma."</w:t>
      </w:r>
    </w:p>
    <w:p>
      <w:pPr>
        <w:numPr>
          <w:ilvl w:val="0"/>
          <w:numId w:val="71"/>
        </w:numPr>
        <w:spacing w:after="80" w:line="300" w:lineRule="auto"/>
      </w:pPr>
      <w:r>
        <w:rPr>
          <w:rFonts w:ascii="Calibri" w:hAnsi="Calibri"/>
          <w:color w:val="222222"/>
        </w:rPr>
        <w:t>"PCA separates exercise timepoints, proving the race walk caused every measured change."</w:t>
      </w:r>
    </w:p>
    <w:p>
      <w:pPr>
        <w:numPr>
          <w:ilvl w:val="0"/>
          <w:numId w:val="71"/>
        </w:numPr>
        <w:spacing w:after="80" w:line="300" w:lineRule="auto"/>
      </w:pPr>
      <w:r>
        <w:rPr>
          <w:rFonts w:ascii="Calibri" w:hAnsi="Calibri"/>
          <w:color w:val="222222"/>
        </w:rPr>
        <w:t>"An apparent class difference may reflect assay coverage as well as biology."</w:t>
      </w:r>
    </w:p>
    <w:p>
      <w:r>
        <w:rPr>
          <w:rFonts w:ascii="Calibri" w:hAnsi="Calibri"/>
          <w:color w:val="222222"/>
        </w:rPr>
        <w:t>Suggested revisions are in the answer key.</w:t>
      </w:r>
    </w:p>
    <w:p>
      <w:pPr>
        <w:pStyle w:val="Heading2"/>
      </w:pPr>
      <w:r>
        <w:rPr>
          <w:rFonts w:ascii="Calibri" w:hAnsi="Calibri"/>
          <w:color w:val="222222"/>
        </w:rPr>
        <w:t>12. Interpretation guardrails</w:t>
      </w:r>
    </w:p>
    <w:p>
      <w:pPr>
        <w:numPr>
          <w:ilvl w:val="0"/>
          <w:numId w:val="72"/>
        </w:numPr>
        <w:spacing w:after="80" w:line="300" w:lineRule="auto"/>
      </w:pPr>
      <w:r>
        <w:rPr>
          <w:rFonts w:ascii="Calibri" w:hAnsi="Calibri"/>
          <w:color w:val="222222"/>
        </w:rPr>
        <w:t>Exclude pooled QC samples from biological sample counts and participant-level inference.</w:t>
      </w:r>
    </w:p>
    <w:p>
      <w:pPr>
        <w:numPr>
          <w:ilvl w:val="0"/>
          <w:numId w:val="72"/>
        </w:numPr>
        <w:spacing w:after="80" w:line="300" w:lineRule="auto"/>
      </w:pPr>
      <w:r>
        <w:rPr>
          <w:rFonts w:ascii="Calibri" w:hAnsi="Calibri"/>
          <w:color w:val="222222"/>
        </w:rPr>
        <w:t>Preserve plasma versus serum; do not call both simply blood in the analysis matrix.</w:t>
      </w:r>
    </w:p>
    <w:p>
      <w:pPr>
        <w:numPr>
          <w:ilvl w:val="0"/>
          <w:numId w:val="72"/>
        </w:numPr>
        <w:spacing w:after="80" w:line="300" w:lineRule="auto"/>
      </w:pPr>
      <w:r>
        <w:rPr>
          <w:rFonts w:ascii="Calibri" w:hAnsi="Calibri"/>
          <w:color w:val="222222"/>
        </w:rPr>
        <w:t>Diet-study time includes microbiota-depletion procedures; it is not a pure duration-of-diet axis.</w:t>
      </w:r>
    </w:p>
    <w:p>
      <w:pPr>
        <w:numPr>
          <w:ilvl w:val="0"/>
          <w:numId w:val="72"/>
        </w:numPr>
        <w:spacing w:after="80" w:line="300" w:lineRule="auto"/>
      </w:pPr>
      <w:r>
        <w:rPr>
          <w:rFonts w:ascii="Calibri" w:hAnsi="Calibri"/>
          <w:color w:val="222222"/>
        </w:rPr>
        <w:t>Analyze repeated measures with participant structure; do not treat 150 or 76 rows as independent people.</w:t>
      </w:r>
    </w:p>
    <w:p>
      <w:pPr>
        <w:numPr>
          <w:ilvl w:val="0"/>
          <w:numId w:val="72"/>
        </w:numPr>
        <w:spacing w:after="80" w:line="300" w:lineRule="auto"/>
      </w:pPr>
      <w:r>
        <w:rPr>
          <w:rFonts w:ascii="Calibri" w:hAnsi="Calibri"/>
          <w:color w:val="222222"/>
        </w:rPr>
        <w:t>A raw exact-name overlap is an intermediate audit value until artifacts, ambiguity, and duplicates are addressed.</w:t>
      </w:r>
    </w:p>
    <w:p>
      <w:pPr>
        <w:numPr>
          <w:ilvl w:val="0"/>
          <w:numId w:val="72"/>
        </w:numPr>
        <w:spacing w:after="80" w:line="300" w:lineRule="auto"/>
      </w:pPr>
      <w:r>
        <w:rPr>
          <w:rFonts w:ascii="Calibri" w:hAnsi="Calibri"/>
          <w:color w:val="222222"/>
        </w:rPr>
        <w:t>PCA is exploratory and does not assign causes to components.</w:t>
      </w:r>
    </w:p>
    <w:p>
      <w:pPr>
        <w:numPr>
          <w:ilvl w:val="0"/>
          <w:numId w:val="72"/>
        </w:numPr>
        <w:spacing w:after="80" w:line="300" w:lineRule="auto"/>
      </w:pPr>
      <w:r>
        <w:rPr>
          <w:rFonts w:ascii="Calibri" w:hAnsi="Calibri"/>
          <w:color w:val="222222"/>
        </w:rPr>
        <w:t>Do not compare coordinates or loadings from separately fit PCAs as if they shared a coordinate system.</w:t>
      </w:r>
    </w:p>
    <w:p>
      <w:pPr>
        <w:numPr>
          <w:ilvl w:val="0"/>
          <w:numId w:val="72"/>
        </w:numPr>
        <w:spacing w:after="80" w:line="300" w:lineRule="auto"/>
      </w:pPr>
      <w:r>
        <w:rPr>
          <w:rFonts w:ascii="Calibri" w:hAnsi="Calibri"/>
          <w:color w:val="222222"/>
        </w:rPr>
        <w:t>Do not quantitatively pool the two studies in this module.</w:t>
      </w:r>
    </w:p>
    <w:p>
      <w:pPr>
        <w:numPr>
          <w:ilvl w:val="0"/>
          <w:numId w:val="72"/>
        </w:numPr>
        <w:spacing w:after="80" w:line="300" w:lineRule="auto"/>
      </w:pPr>
      <w:r>
        <w:rPr>
          <w:rFonts w:ascii="Calibri" w:hAnsi="Calibri"/>
          <w:color w:val="222222"/>
        </w:rPr>
        <w:t>Report sensitivity to preprocessing and missingness choices.</w:t>
      </w:r>
    </w:p>
    <w:p>
      <w:pPr>
        <w:numPr>
          <w:ilvl w:val="0"/>
          <w:numId w:val="72"/>
        </w:numPr>
        <w:spacing w:after="80" w:line="300" w:lineRule="auto"/>
      </w:pPr>
      <w:r>
        <w:rPr>
          <w:rFonts w:ascii="Calibri" w:hAnsi="Calibri"/>
          <w:color w:val="222222"/>
        </w:rPr>
        <w:t>Phrase class summaries as coverage of reported eligible names, not class concentration.</w:t>
      </w:r>
    </w:p>
    <w:p>
      <w:pPr>
        <w:pStyle w:val="Heading2"/>
      </w:pPr>
      <w:r>
        <w:rPr>
          <w:rFonts w:ascii="Calibri" w:hAnsi="Calibri"/>
          <w:color w:val="222222"/>
        </w:rPr>
        <w:t>13. Knowledge check</w:t>
      </w:r>
    </w:p>
    <w:p>
      <w:r>
        <w:rPr>
          <w:rFonts w:ascii="Calibri" w:hAnsi="Calibri"/>
          <w:b/>
          <w:color w:val="222222"/>
        </w:rPr>
        <w:t>KC4-01.</w:t>
      </w:r>
      <w:r>
        <w:rPr>
          <w:rFonts w:ascii="Calibri" w:hAnsi="Calibri"/>
          <w:color w:val="222222"/>
        </w:rPr>
        <w:t xml:space="preserve"> Why should the </w:t>
      </w:r>
      <w:r>
        <w:rPr>
          <w:rFonts w:ascii="Consolas" w:hAnsi="Consolas"/>
          <w:color w:val="1F4D78"/>
          <w:sz w:val="21"/>
          <w:shd w:fill="EEF1F4"/>
        </w:rPr>
        <w:t>QPP...</w:t>
      </w:r>
      <w:r>
        <w:rPr>
          <w:rFonts w:ascii="Calibri" w:hAnsi="Calibri"/>
          <w:color w:val="222222"/>
        </w:rPr>
        <w:t xml:space="preserve"> rows in </w:t>
      </w:r>
      <w:r>
        <w:rPr>
          <w:rFonts w:ascii="Consolas" w:hAnsi="Consolas"/>
          <w:color w:val="1F4D78"/>
          <w:sz w:val="21"/>
          <w:shd w:fill="EEF1F4"/>
        </w:rPr>
        <w:t>ST001521</w:t>
      </w:r>
      <w:r>
        <w:rPr>
          <w:rFonts w:ascii="Calibri" w:hAnsi="Calibri"/>
          <w:color w:val="222222"/>
        </w:rPr>
        <w:t xml:space="preserve"> not be included in biological PCA?</w:t>
      </w:r>
    </w:p>
    <w:p>
      <w:r>
        <w:rPr>
          <w:rFonts w:ascii="Calibri" w:hAnsi="Calibri"/>
          <w:color w:val="222222"/>
        </w:rPr>
        <w:t>A. They are pooled quality-control samples rather than participant-timepoint observations.</w:t>
      </w:r>
    </w:p>
    <w:p>
      <w:r>
        <w:rPr>
          <w:rFonts w:ascii="Calibri" w:hAnsi="Calibri"/>
          <w:color w:val="222222"/>
        </w:rPr>
        <w:t>B. PCA cannot use plasma.</w:t>
      </w:r>
    </w:p>
    <w:p>
      <w:r>
        <w:rPr>
          <w:rFonts w:ascii="Calibri" w:hAnsi="Calibri"/>
          <w:color w:val="222222"/>
        </w:rPr>
        <w:t>C. Their identifiers contain letters.</w:t>
      </w:r>
    </w:p>
    <w:p>
      <w:r>
        <w:rPr>
          <w:rFonts w:ascii="Calibri" w:hAnsi="Calibri"/>
          <w:color w:val="222222"/>
        </w:rPr>
        <w:t>D. Quality-control samples must always be deleted from the repository.</w:t>
      </w:r>
    </w:p>
    <w:p>
      <w:r>
        <w:rPr>
          <w:rFonts w:ascii="Calibri" w:hAnsi="Calibri"/>
          <w:b/>
          <w:color w:val="222222"/>
        </w:rPr>
        <w:t>KC4-02.</w:t>
      </w:r>
      <w:r>
        <w:rPr>
          <w:rFonts w:ascii="Calibri" w:hAnsi="Calibri"/>
          <w:color w:val="222222"/>
        </w:rPr>
        <w:t xml:space="preserve"> What does the intermediate overlap of 153 represent?</w:t>
      </w:r>
    </w:p>
    <w:p>
      <w:r>
        <w:rPr>
          <w:rFonts w:ascii="Calibri" w:hAnsi="Calibri"/>
          <w:color w:val="222222"/>
        </w:rPr>
        <w:t>A. 153 metabolites proven to respond to both diet and exercise.</w:t>
      </w:r>
    </w:p>
    <w:p>
      <w:r>
        <w:rPr>
          <w:rFonts w:ascii="Calibri" w:hAnsi="Calibri"/>
          <w:color w:val="222222"/>
        </w:rPr>
        <w:t>B. 153 shared nonblank exact RefMet strings before artifact and eligibility exclusions under a specific build.</w:t>
      </w:r>
    </w:p>
    <w:p>
      <w:r>
        <w:rPr>
          <w:rFonts w:ascii="Calibri" w:hAnsi="Calibri"/>
          <w:color w:val="222222"/>
        </w:rPr>
        <w:t>C. 153 directly comparable concentrations.</w:t>
      </w:r>
    </w:p>
    <w:p>
      <w:r>
        <w:rPr>
          <w:rFonts w:ascii="Calibri" w:hAnsi="Calibri"/>
          <w:color w:val="222222"/>
        </w:rPr>
        <w:t>D. A permanent repository constant.</w:t>
      </w:r>
    </w:p>
    <w:p>
      <w:r>
        <w:rPr>
          <w:rFonts w:ascii="Calibri" w:hAnsi="Calibri"/>
          <w:b/>
          <w:color w:val="222222"/>
        </w:rPr>
        <w:t>KC4-03.</w:t>
      </w:r>
      <w:r>
        <w:rPr>
          <w:rFonts w:ascii="Calibri" w:hAnsi="Calibri"/>
          <w:color w:val="222222"/>
        </w:rPr>
        <w:t xml:space="preserve"> Which PCA interpretation is defensible?</w:t>
      </w:r>
    </w:p>
    <w:p>
      <w:r>
        <w:rPr>
          <w:rFonts w:ascii="Calibri" w:hAnsi="Calibri"/>
          <w:color w:val="222222"/>
        </w:rPr>
        <w:t>A. A separate within-study PCA is an exploratory view whose pattern must be interpreted with preprocessing, repeated measures, and design context.</w:t>
      </w:r>
    </w:p>
    <w:p>
      <w:r>
        <w:rPr>
          <w:rFonts w:ascii="Calibri" w:hAnsi="Calibri"/>
          <w:color w:val="222222"/>
        </w:rPr>
        <w:t>B. Separation between the two studies proves a diet-versus-exercise mechanism.</w:t>
      </w:r>
    </w:p>
    <w:p>
      <w:r>
        <w:rPr>
          <w:rFonts w:ascii="Calibri" w:hAnsi="Calibri"/>
          <w:color w:val="222222"/>
        </w:rPr>
        <w:t>C. Scaling removes plasma-versus-serum differences.</w:t>
      </w:r>
    </w:p>
    <w:p>
      <w:r>
        <w:rPr>
          <w:rFonts w:ascii="Calibri" w:hAnsi="Calibri"/>
          <w:color w:val="222222"/>
        </w:rPr>
        <w:t>D. PCA automatically corrects batch effects.</w:t>
      </w:r>
    </w:p>
    <w:p>
      <w:pPr>
        <w:pStyle w:val="Heading2"/>
      </w:pPr>
      <w:r>
        <w:rPr>
          <w:rFonts w:ascii="Calibri" w:hAnsi="Calibri"/>
          <w:color w:val="222222"/>
        </w:rPr>
        <w:t>Take-home message</w:t>
      </w:r>
    </w:p>
    <w:p>
      <w:r>
        <w:rPr>
          <w:rFonts w:ascii="Calibri" w:hAnsi="Calibri"/>
          <w:color w:val="222222"/>
        </w:rPr>
        <w:t>The analysis is a chain of evidence: retrieve, validate, classify sample roles, join with audited keys, define eligibility, summarize, test sensitivity, and interpret within design boundaries. A reproducible number is not necessarily a biologically interpretable effect; the metadata determine which claims the number can support.</w:t>
      </w:r>
    </w:p>
    <w:p>
      <w:pPr>
        <w:pStyle w:val="Heading2"/>
      </w:pPr>
      <w:r>
        <w:rPr>
          <w:rFonts w:ascii="Calibri" w:hAnsi="Calibri"/>
          <w:color w:val="222222"/>
        </w:rPr>
        <w:t>Primary sources and first-party documentation</w:t>
      </w:r>
    </w:p>
    <w:p>
      <w:pPr>
        <w:numPr>
          <w:ilvl w:val="0"/>
          <w:numId w:val="73"/>
        </w:numPr>
        <w:spacing w:after="40" w:line="264" w:lineRule="auto"/>
      </w:pPr>
      <w:r>
        <w:rPr>
          <w:rFonts w:ascii="Calibri" w:hAnsi="Calibri"/>
          <w:color w:val="222222"/>
        </w:rPr>
        <w:t xml:space="preserve">Metabolomics Workbench. </w:t>
      </w:r>
      <w:hyperlink r:id="rId27">
        <w:r>
          <w:rPr>
            <w:rFonts w:ascii="Calibri" w:hAnsi="Calibri"/>
            <w:color w:val="2E74B5"/>
            <w:u w:val="single"/>
            <w:sz w:val="22"/>
          </w:rPr>
          <w:t>`ST001521` study record</w:t>
        </w:r>
      </w:hyperlink>
      <w:r>
        <w:rPr>
          <w:rFonts w:ascii="Calibri" w:hAnsi="Calibri"/>
          <w:color w:val="222222"/>
        </w:rPr>
        <w:t xml:space="preserve"> and </w:t>
      </w:r>
      <w:hyperlink r:id="rId28">
        <w:r>
          <w:rPr>
            <w:rFonts w:ascii="Calibri" w:hAnsi="Calibri"/>
            <w:color w:val="2E74B5"/>
            <w:u w:val="single"/>
            <w:sz w:val="22"/>
          </w:rPr>
          <w:t>REST summary</w:t>
        </w:r>
      </w:hyperlink>
      <w:r>
        <w:rPr>
          <w:rFonts w:ascii="Calibri" w:hAnsi="Calibri"/>
          <w:color w:val="222222"/>
        </w:rPr>
        <w:t>. Accessed August 10, 2026.</w:t>
      </w:r>
    </w:p>
    <w:p>
      <w:pPr>
        <w:numPr>
          <w:ilvl w:val="0"/>
          <w:numId w:val="73"/>
        </w:numPr>
        <w:spacing w:after="40" w:line="264" w:lineRule="auto"/>
      </w:pPr>
      <w:r>
        <w:rPr>
          <w:rFonts w:ascii="Calibri" w:hAnsi="Calibri"/>
          <w:color w:val="222222"/>
        </w:rPr>
        <w:t xml:space="preserve">Metabolomics Workbench. </w:t>
      </w:r>
      <w:hyperlink r:id="rId29">
        <w:r>
          <w:rPr>
            <w:rFonts w:ascii="Calibri" w:hAnsi="Calibri"/>
            <w:color w:val="2E74B5"/>
            <w:u w:val="single"/>
            <w:sz w:val="22"/>
          </w:rPr>
          <w:t>`ST003348` study record</w:t>
        </w:r>
      </w:hyperlink>
      <w:r>
        <w:rPr>
          <w:rFonts w:ascii="Calibri" w:hAnsi="Calibri"/>
          <w:color w:val="222222"/>
        </w:rPr>
        <w:t xml:space="preserve"> and </w:t>
      </w:r>
      <w:hyperlink r:id="rId30">
        <w:r>
          <w:rPr>
            <w:rFonts w:ascii="Calibri" w:hAnsi="Calibri"/>
            <w:color w:val="2E74B5"/>
            <w:u w:val="single"/>
            <w:sz w:val="22"/>
          </w:rPr>
          <w:t>REST summary</w:t>
        </w:r>
      </w:hyperlink>
      <w:r>
        <w:rPr>
          <w:rFonts w:ascii="Calibri" w:hAnsi="Calibri"/>
          <w:color w:val="222222"/>
        </w:rPr>
        <w:t>. Accessed August 10, 2026.</w:t>
      </w:r>
    </w:p>
    <w:p>
      <w:pPr>
        <w:numPr>
          <w:ilvl w:val="0"/>
          <w:numId w:val="73"/>
        </w:numPr>
        <w:spacing w:after="40" w:line="264" w:lineRule="auto"/>
      </w:pPr>
      <w:r>
        <w:rPr>
          <w:rFonts w:ascii="Calibri" w:hAnsi="Calibri"/>
          <w:color w:val="222222"/>
        </w:rPr>
        <w:t xml:space="preserve">Metabolomics Workbench. </w:t>
      </w:r>
      <w:hyperlink r:id="rId11">
        <w:r>
          <w:rPr>
            <w:rFonts w:ascii="Calibri" w:hAnsi="Calibri"/>
            <w:color w:val="2E74B5"/>
            <w:u w:val="single"/>
            <w:sz w:val="22"/>
          </w:rPr>
          <w:t>REST Service, version 1.2</w:t>
        </w:r>
      </w:hyperlink>
      <w:r>
        <w:rPr>
          <w:rFonts w:ascii="Calibri" w:hAnsi="Calibri"/>
          <w:color w:val="222222"/>
        </w:rPr>
        <w:t>. Updated July 22, 2025; accessed August 10, 2026.</w:t>
      </w:r>
    </w:p>
    <w:p>
      <w:pPr>
        <w:numPr>
          <w:ilvl w:val="0"/>
          <w:numId w:val="73"/>
        </w:numPr>
        <w:spacing w:after="40" w:line="264" w:lineRule="auto"/>
      </w:pPr>
      <w:r>
        <w:rPr>
          <w:rFonts w:ascii="Calibri" w:hAnsi="Calibri"/>
          <w:color w:val="222222"/>
        </w:rPr>
        <w:t xml:space="preserve">Metabolomics Workbench. </w:t>
      </w:r>
      <w:hyperlink r:id="rId23">
        <w:r>
          <w:rPr>
            <w:rFonts w:ascii="Calibri" w:hAnsi="Calibri"/>
            <w:color w:val="2E74B5"/>
            <w:u w:val="single"/>
            <w:sz w:val="22"/>
          </w:rPr>
          <w:t>RefMet database</w:t>
        </w:r>
      </w:hyperlink>
      <w:r>
        <w:rPr>
          <w:rFonts w:ascii="Calibri" w:hAnsi="Calibri"/>
          <w:color w:val="222222"/>
        </w:rPr>
        <w:t>. Accessed August 10, 2026.</w:t>
      </w:r>
    </w:p>
    <w:p>
      <w:pPr>
        <w:numPr>
          <w:ilvl w:val="0"/>
          <w:numId w:val="73"/>
        </w:numPr>
        <w:spacing w:after="40" w:line="264" w:lineRule="auto"/>
      </w:pPr>
      <w:r>
        <w:rPr>
          <w:rFonts w:ascii="Calibri" w:hAnsi="Calibri"/>
          <w:color w:val="222222"/>
        </w:rPr>
        <w:t xml:space="preserve">Jolliffe IT, Cadima J. </w:t>
      </w:r>
      <w:hyperlink r:id="rId31">
        <w:r>
          <w:rPr>
            <w:rFonts w:ascii="Calibri" w:hAnsi="Calibri"/>
            <w:color w:val="2E74B5"/>
            <w:u w:val="single"/>
            <w:sz w:val="22"/>
          </w:rPr>
          <w:t>Principal component analysis: a review and recent developments</w:t>
        </w:r>
      </w:hyperlink>
      <w:r>
        <w:rPr>
          <w:rFonts w:ascii="Calibri" w:hAnsi="Calibri"/>
          <w:color w:val="222222"/>
        </w:rPr>
        <w:t xml:space="preserve">. </w:t>
      </w:r>
      <w:r>
        <w:rPr>
          <w:rFonts w:ascii="Calibri" w:hAnsi="Calibri"/>
          <w:i/>
          <w:color w:val="222222"/>
        </w:rPr>
        <w:t>Philosophical Transactions of the Royal Society A</w:t>
      </w:r>
      <w:r>
        <w:rPr>
          <w:rFonts w:ascii="Calibri" w:hAnsi="Calibri"/>
          <w:color w:val="222222"/>
        </w:rPr>
        <w:t>. 2016;374:20150202.</w:t>
      </w:r>
    </w:p>
    <w:p>
      <w:pPr>
        <w:numPr>
          <w:ilvl w:val="0"/>
          <w:numId w:val="73"/>
        </w:numPr>
        <w:spacing w:after="40" w:line="264" w:lineRule="auto"/>
      </w:pPr>
      <w:r>
        <w:rPr>
          <w:rFonts w:ascii="Calibri" w:hAnsi="Calibri"/>
          <w:color w:val="222222"/>
        </w:rPr>
        <w:t xml:space="preserve">Metabolomics Workbench. </w:t>
      </w:r>
      <w:hyperlink r:id="rId32">
        <w:r>
          <w:rPr>
            <w:rFonts w:ascii="Calibri" w:hAnsi="Calibri"/>
            <w:color w:val="2E74B5"/>
            <w:u w:val="single"/>
            <w:sz w:val="22"/>
          </w:rPr>
          <w:t>MetENP demonstration and documentation</w:t>
        </w:r>
      </w:hyperlink>
      <w:r>
        <w:rPr>
          <w:rFonts w:ascii="Calibri" w:hAnsi="Calibri"/>
          <w:color w:val="222222"/>
        </w:rPr>
        <w:t>. Accessed August 10, 2026.</w:t>
      </w:r>
    </w:p>
    <w:p>
      <w:pPr>
        <w:pStyle w:val="Heading1"/>
        <w:pageBreakBefore/>
      </w:pPr>
      <w:r>
        <w:rPr>
          <w:rFonts w:ascii="Calibri" w:hAnsi="Calibri"/>
          <w:color w:val="222222"/>
        </w:rPr>
        <w:t>Lesson 5 - Access patterns and transfer to additional resources</w:t>
      </w:r>
    </w:p>
    <w:p>
      <w:r>
        <w:rPr>
          <w:rFonts w:ascii="Calibri" w:hAnsi="Calibri"/>
          <w:b/>
          <w:color w:val="222222"/>
        </w:rPr>
        <w:t>Estimated time:</w:t>
      </w:r>
      <w:r>
        <w:rPr>
          <w:rFonts w:ascii="Calibri" w:hAnsi="Calibri"/>
          <w:color w:val="222222"/>
        </w:rPr>
        <w:t xml:space="preserve"> 15 minutes</w:t>
      </w:r>
    </w:p>
    <w:p>
      <w:r>
        <w:rPr>
          <w:rFonts w:ascii="Calibri" w:hAnsi="Calibri"/>
          <w:b/>
          <w:color w:val="222222"/>
        </w:rPr>
        <w:t>Bloom levels:</w:t>
      </w:r>
      <w:r>
        <w:rPr>
          <w:rFonts w:ascii="Calibri" w:hAnsi="Calibri"/>
          <w:color w:val="222222"/>
        </w:rPr>
        <w:t xml:space="preserve"> Evaluate, create</w:t>
      </w:r>
    </w:p>
    <w:p>
      <w:r>
        <w:rPr>
          <w:rFonts w:ascii="Calibri" w:hAnsi="Calibri"/>
          <w:b/>
          <w:color w:val="222222"/>
        </w:rPr>
        <w:t>Module objective addressed:</w:t>
      </w:r>
      <w:r>
        <w:rPr>
          <w:rFonts w:ascii="Calibri" w:hAnsi="Calibri"/>
          <w:color w:val="222222"/>
        </w:rPr>
        <w:t xml:space="preserve"> LO5</w:t>
      </w:r>
    </w:p>
    <w:p>
      <w:pPr>
        <w:pStyle w:val="Heading2"/>
      </w:pPr>
      <w:r>
        <w:rPr>
          <w:rFonts w:ascii="Calibri" w:hAnsi="Calibri"/>
          <w:color w:val="222222"/>
        </w:rPr>
        <w:t>Learning objectives</w:t>
      </w:r>
    </w:p>
    <w:p>
      <w:r>
        <w:rPr>
          <w:rFonts w:ascii="Calibri" w:hAnsi="Calibri"/>
          <w:color w:val="222222"/>
        </w:rPr>
        <w:t>By the end of this lesson, you will be able to:</w:t>
      </w:r>
    </w:p>
    <w:p>
      <w:pPr>
        <w:numPr>
          <w:ilvl w:val="0"/>
          <w:numId w:val="74"/>
        </w:numPr>
        <w:spacing w:after="80" w:line="300" w:lineRule="auto"/>
      </w:pPr>
      <w:r>
        <w:rPr>
          <w:rFonts w:ascii="Calibri" w:hAnsi="Calibri"/>
          <w:color w:val="222222"/>
        </w:rPr>
        <w:t>Determine the current access pattern of a specific dataset and intended action using dated first-party evidence.</w:t>
      </w:r>
    </w:p>
    <w:p>
      <w:pPr>
        <w:numPr>
          <w:ilvl w:val="0"/>
          <w:numId w:val="74"/>
        </w:numPr>
        <w:spacing w:after="80" w:line="300" w:lineRule="auto"/>
      </w:pPr>
      <w:r>
        <w:rPr>
          <w:rFonts w:ascii="Calibri" w:hAnsi="Calibri"/>
          <w:color w:val="222222"/>
        </w:rPr>
        <w:t>Identify which parts of the Metabo-Diet workflow transfer unchanged and which must be redesigned.</w:t>
      </w:r>
    </w:p>
    <w:p>
      <w:pPr>
        <w:numPr>
          <w:ilvl w:val="0"/>
          <w:numId w:val="74"/>
        </w:numPr>
        <w:spacing w:after="80" w:line="300" w:lineRule="auto"/>
      </w:pPr>
      <w:r>
        <w:rPr>
          <w:rFonts w:ascii="Calibri" w:hAnsi="Calibri"/>
          <w:color w:val="222222"/>
        </w:rPr>
        <w:t>Draft a compliant analysis architecture for open, agreement-gated, or controlled-compute data.</w:t>
      </w:r>
    </w:p>
    <w:p>
      <w:pPr>
        <w:numPr>
          <w:ilvl w:val="0"/>
          <w:numId w:val="74"/>
        </w:numPr>
        <w:spacing w:after="80" w:line="300" w:lineRule="auto"/>
      </w:pPr>
      <w:r>
        <w:rPr>
          <w:rFonts w:ascii="Calibri" w:hAnsi="Calibri"/>
          <w:color w:val="222222"/>
        </w:rPr>
        <w:t>Produce a go, revise, wait, or stop decision with unresolved requirements stated explicitly.</w:t>
      </w:r>
    </w:p>
    <w:p>
      <w:pPr>
        <w:pStyle w:val="Heading2"/>
      </w:pPr>
      <w:r>
        <w:rPr>
          <w:rFonts w:ascii="Calibri" w:hAnsi="Calibri"/>
          <w:color w:val="222222"/>
        </w:rPr>
        <w:t>Lesson map</w:t>
      </w:r>
    </w:p>
    <w:tbl>
      <w:tblPr>
        <w:tblStyle w:val="TableGrid"/>
        <w:tblW w:type="dxa" w:w="9360"/>
        <w:jc w:val="left"/>
        <w:tblLayout w:type="fixed"/>
        <w:tblLook w:firstColumn="1" w:firstRow="1" w:lastColumn="0" w:lastRow="0" w:noHBand="0" w:noVBand="1" w:val="04A0"/>
        <w:tblInd w:w="120" w:type="dxa"/>
      </w:tblPr>
      <w:tblGrid>
        <w:gridCol w:w="6799"/>
        <w:gridCol w:w="2561"/>
      </w:tblGrid>
      <w:tr>
        <w:trPr>
          <w:cantSplit w:val="true"/>
          <w:tblHeader w:val="true"/>
        </w:trPr>
        <w:tc>
          <w:tcPr>
            <w:tcW w:type="dxa" w:w="6799"/>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Activity</w:t>
            </w:r>
          </w:p>
        </w:tc>
        <w:tc>
          <w:tcPr>
            <w:tcW w:type="dxa" w:w="256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Minutes</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Revisit access as a dataset property</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Worked transfer cases</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Transfer checklist</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Knowledge check</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b/>
                <w:color w:val="222222"/>
                <w:sz w:val="18"/>
              </w:rPr>
              <w:t>Instructional subtotal, excluding posttest</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b/>
                <w:color w:val="222222"/>
                <w:sz w:val="18"/>
              </w:rPr>
              <w:t>15</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Posttest, additional assessment time</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8</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b/>
                <w:color w:val="222222"/>
                <w:sz w:val="18"/>
              </w:rPr>
              <w:t>Learner time with posttest</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b/>
                <w:color w:val="222222"/>
                <w:sz w:val="18"/>
              </w:rPr>
              <w:t>23</w:t>
            </w:r>
          </w:p>
        </w:tc>
      </w:tr>
    </w:tbl>
    <w:p>
      <w:pPr>
        <w:spacing w:before="0" w:after="40"/>
      </w:pPr>
    </w:p>
    <w:p>
      <w:pPr>
        <w:spacing w:before="100" w:after="120"/>
        <w:ind w:left="259" w:right="115"/>
        <w:shd w:fill="F4F6F9"/>
        <w:pBdr>
          <w:left w:val="single" w:sz="16" w:space="8" w:color="2E74B5"/>
        </w:pBdr>
      </w:pPr>
      <w:r>
        <w:rPr>
          <w:rFonts w:ascii="Calibri" w:hAnsi="Calibri"/>
          <w:b/>
          <w:color w:val="1F4D78"/>
        </w:rPr>
        <w:t>Notebook connection - `NB-L5`.</w:t>
      </w:r>
      <w:r>
        <w:rPr>
          <w:rFonts w:ascii="Calibri" w:hAnsi="Calibri"/>
          <w:color w:val="1F4D78"/>
        </w:rPr>
        <w:t xml:space="preserve"> Open </w:t>
      </w:r>
      <w:r>
        <w:rPr>
          <w:rFonts w:ascii="Calibri" w:hAnsi="Calibri"/>
          <w:b/>
          <w:color w:val="1F4D78"/>
        </w:rPr>
        <w:t>Lesson 5 - Access patterns and transfer (`NB-L5`)</w:t>
      </w:r>
      <w:r>
        <w:rPr>
          <w:rFonts w:ascii="Calibri" w:hAnsi="Calibri"/>
          <w:color w:val="1F4D78"/>
        </w:rPr>
        <w:t xml:space="preserve"> in </w:t>
      </w:r>
      <w:r>
        <w:rPr>
          <w:rFonts w:ascii="Consolas" w:hAnsi="Consolas"/>
          <w:color w:val="1F4D78"/>
          <w:sz w:val="21"/>
          <w:shd w:fill="EEF1F4"/>
        </w:rPr>
        <w:t>module/notebooks/metabo_diet_harmonization.ipynb</w:t>
      </w:r>
      <w:r>
        <w:rPr>
          <w:rFonts w:ascii="Calibri" w:hAnsi="Calibri"/>
          <w:color w:val="1F4D78"/>
        </w:rPr>
        <w:t xml:space="preserve">. Review the source log, replace every value in the transfer-decision learner-edit cell with dated evidence for your exact target, choose </w:t>
      </w:r>
      <w:r>
        <w:rPr>
          <w:rFonts w:ascii="Consolas" w:hAnsi="Consolas"/>
          <w:color w:val="1F4D78"/>
          <w:sz w:val="21"/>
          <w:shd w:fill="EEF1F4"/>
        </w:rPr>
        <w:t>GO</w:t>
      </w:r>
      <w:r>
        <w:rPr>
          <w:rFonts w:ascii="Calibri" w:hAnsi="Calibri"/>
          <w:color w:val="1F4D78"/>
        </w:rPr>
        <w:t xml:space="preserve">, </w:t>
      </w:r>
      <w:r>
        <w:rPr>
          <w:rFonts w:ascii="Consolas" w:hAnsi="Consolas"/>
          <w:color w:val="1F4D78"/>
          <w:sz w:val="21"/>
          <w:shd w:fill="EEF1F4"/>
        </w:rPr>
        <w:t>REVISE</w:t>
      </w:r>
      <w:r>
        <w:rPr>
          <w:rFonts w:ascii="Calibri" w:hAnsi="Calibri"/>
          <w:color w:val="1F4D78"/>
        </w:rPr>
        <w:t xml:space="preserve">, </w:t>
      </w:r>
      <w:r>
        <w:rPr>
          <w:rFonts w:ascii="Consolas" w:hAnsi="Consolas"/>
          <w:color w:val="1F4D78"/>
          <w:sz w:val="21"/>
          <w:shd w:fill="EEF1F4"/>
        </w:rPr>
        <w:t>WAIT</w:t>
      </w:r>
      <w:r>
        <w:rPr>
          <w:rFonts w:ascii="Calibri" w:hAnsi="Calibri"/>
          <w:color w:val="1F4D78"/>
        </w:rPr>
        <w:t xml:space="preserve">, or </w:t>
      </w:r>
      <w:r>
        <w:rPr>
          <w:rFonts w:ascii="Consolas" w:hAnsi="Consolas"/>
          <w:color w:val="1F4D78"/>
          <w:sz w:val="21"/>
          <w:shd w:fill="EEF1F4"/>
        </w:rPr>
        <w:t>STOP</w:t>
      </w:r>
      <w:r>
        <w:rPr>
          <w:rFonts w:ascii="Calibri" w:hAnsi="Calibri"/>
          <w:color w:val="1F4D78"/>
        </w:rPr>
        <w:t xml:space="preserve">, and run </w:t>
      </w:r>
      <w:r>
        <w:rPr>
          <w:rFonts w:ascii="Consolas" w:hAnsi="Consolas"/>
          <w:color w:val="1F4D78"/>
          <w:sz w:val="21"/>
          <w:shd w:fill="EEF1F4"/>
        </w:rPr>
        <w:t>NB-REPRO</w:t>
      </w:r>
      <w:r>
        <w:rPr>
          <w:rFonts w:ascii="Calibri" w:hAnsi="Calibri"/>
          <w:color w:val="1F4D78"/>
        </w:rPr>
        <w:t>. Return here and complete the posttest only after the artifact manifest appears without errors.</w:t>
      </w:r>
    </w:p>
    <w:p>
      <w:pPr>
        <w:pStyle w:val="Heading2"/>
      </w:pPr>
      <w:r>
        <w:rPr>
          <w:rFonts w:ascii="Calibri" w:hAnsi="Calibri"/>
          <w:color w:val="222222"/>
        </w:rPr>
        <w:t>1. Access tier is not a logo</w:t>
      </w:r>
    </w:p>
    <w:p>
      <w:r>
        <w:rPr>
          <w:rFonts w:ascii="Calibri" w:hAnsi="Calibri"/>
          <w:color w:val="222222"/>
        </w:rPr>
        <w:t>In Lesson 1, access was introduced as a planning problem. After completing an open-data workflow, you can now see exactly where access rules affect the analysis.</w:t>
      </w:r>
    </w:p>
    <w:p>
      <w:r>
        <w:rPr>
          <w:rFonts w:ascii="Calibri" w:hAnsi="Calibri"/>
          <w:color w:val="222222"/>
        </w:rPr>
        <w:t>Access is determined by the combination of:</w:t>
      </w:r>
    </w:p>
    <w:p>
      <w:pPr>
        <w:numPr>
          <w:ilvl w:val="0"/>
          <w:numId w:val="75"/>
        </w:numPr>
        <w:spacing w:after="80" w:line="300" w:lineRule="auto"/>
      </w:pPr>
      <w:r>
        <w:rPr>
          <w:rFonts w:ascii="Calibri" w:hAnsi="Calibri"/>
          <w:color w:val="222222"/>
        </w:rPr>
        <w:t>A specific dataset and release.</w:t>
      </w:r>
    </w:p>
    <w:p>
      <w:pPr>
        <w:numPr>
          <w:ilvl w:val="0"/>
          <w:numId w:val="75"/>
        </w:numPr>
        <w:spacing w:after="80" w:line="300" w:lineRule="auto"/>
      </w:pPr>
      <w:r>
        <w:rPr>
          <w:rFonts w:ascii="Calibri" w:hAnsi="Calibri"/>
          <w:color w:val="222222"/>
        </w:rPr>
        <w:t>The requested data level.</w:t>
      </w:r>
    </w:p>
    <w:p>
      <w:pPr>
        <w:numPr>
          <w:ilvl w:val="0"/>
          <w:numId w:val="75"/>
        </w:numPr>
        <w:spacing w:after="80" w:line="300" w:lineRule="auto"/>
      </w:pPr>
      <w:r>
        <w:rPr>
          <w:rFonts w:ascii="Calibri" w:hAnsi="Calibri"/>
          <w:color w:val="222222"/>
        </w:rPr>
        <w:t>Your identity, institution, training, and approvals.</w:t>
      </w:r>
    </w:p>
    <w:p>
      <w:pPr>
        <w:numPr>
          <w:ilvl w:val="0"/>
          <w:numId w:val="75"/>
        </w:numPr>
        <w:spacing w:after="80" w:line="300" w:lineRule="auto"/>
      </w:pPr>
      <w:r>
        <w:rPr>
          <w:rFonts w:ascii="Calibri" w:hAnsi="Calibri"/>
          <w:color w:val="222222"/>
        </w:rPr>
        <w:t>The intended use.</w:t>
      </w:r>
    </w:p>
    <w:p>
      <w:pPr>
        <w:numPr>
          <w:ilvl w:val="0"/>
          <w:numId w:val="75"/>
        </w:numPr>
        <w:spacing w:after="80" w:line="300" w:lineRule="auto"/>
      </w:pPr>
      <w:r>
        <w:rPr>
          <w:rFonts w:ascii="Calibri" w:hAnsi="Calibri"/>
          <w:color w:val="222222"/>
        </w:rPr>
        <w:t>The compute location.</w:t>
      </w:r>
    </w:p>
    <w:p>
      <w:pPr>
        <w:numPr>
          <w:ilvl w:val="0"/>
          <w:numId w:val="75"/>
        </w:numPr>
        <w:spacing w:after="80" w:line="300" w:lineRule="auto"/>
      </w:pPr>
      <w:r>
        <w:rPr>
          <w:rFonts w:ascii="Calibri" w:hAnsi="Calibri"/>
          <w:color w:val="222222"/>
        </w:rPr>
        <w:t>What inputs and outputs may cross the environment boundary.</w:t>
      </w:r>
    </w:p>
    <w:p>
      <w:pPr>
        <w:numPr>
          <w:ilvl w:val="0"/>
          <w:numId w:val="75"/>
        </w:numPr>
        <w:spacing w:after="80" w:line="300" w:lineRule="auto"/>
      </w:pPr>
      <w:r>
        <w:rPr>
          <w:rFonts w:ascii="Calibri" w:hAnsi="Calibri"/>
          <w:color w:val="222222"/>
        </w:rPr>
        <w:t>Current terms and policies.</w:t>
      </w:r>
    </w:p>
    <w:p>
      <w:r>
        <w:rPr>
          <w:rFonts w:ascii="Calibri" w:hAnsi="Calibri"/>
          <w:color w:val="222222"/>
        </w:rPr>
        <w:t>Do not assign a permanent tier to an entire program. Current MoTrPAC documentation, for example, distinguishes public releases that community users can access without an account from restricted or embargoed data that require authentication, a data-use agreement, or other authorization. The access pattern is dataset-dependent. All of Us provides Registered and Controlled Tier collections in a governed Researcher Workbench and restricts external release of participant-level data and small counts under its policies.</w:t>
      </w:r>
    </w:p>
    <w:p>
      <w:r>
        <w:rPr>
          <w:rFonts w:ascii="Calibri" w:hAnsi="Calibri"/>
          <w:color w:val="222222"/>
        </w:rPr>
        <w:t xml:space="preserve">The July 2026 proposal used MoTrPAC as a simplified registration-gated example. This module intentionally updates that framing to match current first-party documentation: </w:t>
      </w:r>
      <w:r>
        <w:rPr>
          <w:rFonts w:ascii="Calibri" w:hAnsi="Calibri"/>
          <w:b/>
          <w:color w:val="222222"/>
        </w:rPr>
        <w:t>verify the exact release and action every time</w:t>
      </w:r>
      <w:r>
        <w:rPr>
          <w:rFonts w:ascii="Calibri" w:hAnsi="Calibri"/>
          <w:color w:val="222222"/>
        </w:rPr>
        <w:t>.</w:t>
      </w:r>
    </w:p>
    <w:p>
      <w:pPr>
        <w:pStyle w:val="Heading2"/>
      </w:pPr>
      <w:r>
        <w:rPr>
          <w:rFonts w:ascii="Calibri" w:hAnsi="Calibri"/>
          <w:color w:val="222222"/>
        </w:rPr>
        <w:t>2. The invariant core and the movable boundary</w:t>
      </w:r>
    </w:p>
    <w:p>
      <w:r>
        <w:rPr>
          <w:rFonts w:ascii="Calibri" w:hAnsi="Calibri"/>
          <w:color w:val="222222"/>
        </w:rPr>
        <w:t>Some harmonization practices transfer across environments:</w:t>
      </w:r>
    </w:p>
    <w:p>
      <w:pPr>
        <w:numPr>
          <w:ilvl w:val="0"/>
          <w:numId w:val="76"/>
        </w:numPr>
        <w:spacing w:after="80" w:line="300" w:lineRule="auto"/>
      </w:pPr>
      <w:r>
        <w:rPr>
          <w:rFonts w:ascii="Calibri" w:hAnsi="Calibri"/>
          <w:color w:val="222222"/>
        </w:rPr>
        <w:t>Define the scientific question and estimand.</w:t>
      </w:r>
    </w:p>
    <w:p>
      <w:pPr>
        <w:numPr>
          <w:ilvl w:val="0"/>
          <w:numId w:val="76"/>
        </w:numPr>
        <w:spacing w:after="80" w:line="300" w:lineRule="auto"/>
      </w:pPr>
      <w:r>
        <w:rPr>
          <w:rFonts w:ascii="Calibri" w:hAnsi="Calibri"/>
          <w:color w:val="222222"/>
        </w:rPr>
        <w:t>Preserve original identifiers and metadata.</w:t>
      </w:r>
    </w:p>
    <w:p>
      <w:pPr>
        <w:numPr>
          <w:ilvl w:val="0"/>
          <w:numId w:val="76"/>
        </w:numPr>
        <w:spacing w:after="80" w:line="300" w:lineRule="auto"/>
      </w:pPr>
      <w:r>
        <w:rPr>
          <w:rFonts w:ascii="Calibri" w:hAnsi="Calibri"/>
          <w:color w:val="222222"/>
        </w:rPr>
        <w:t>Record provenance and decision rules.</w:t>
      </w:r>
    </w:p>
    <w:p>
      <w:pPr>
        <w:numPr>
          <w:ilvl w:val="0"/>
          <w:numId w:val="76"/>
        </w:numPr>
        <w:spacing w:after="80" w:line="300" w:lineRule="auto"/>
      </w:pPr>
      <w:r>
        <w:rPr>
          <w:rFonts w:ascii="Calibri" w:hAnsi="Calibri"/>
          <w:color w:val="222222"/>
        </w:rPr>
        <w:t>Separate naming, specimen, time, and unit compatibility.</w:t>
      </w:r>
    </w:p>
    <w:p>
      <w:pPr>
        <w:numPr>
          <w:ilvl w:val="0"/>
          <w:numId w:val="76"/>
        </w:numPr>
        <w:spacing w:after="80" w:line="300" w:lineRule="auto"/>
      </w:pPr>
      <w:r>
        <w:rPr>
          <w:rFonts w:ascii="Calibri" w:hAnsi="Calibri"/>
          <w:color w:val="222222"/>
        </w:rPr>
        <w:t>Flag unresolved mappings.</w:t>
      </w:r>
    </w:p>
    <w:p>
      <w:pPr>
        <w:numPr>
          <w:ilvl w:val="0"/>
          <w:numId w:val="76"/>
        </w:numPr>
        <w:spacing w:after="80" w:line="300" w:lineRule="auto"/>
      </w:pPr>
      <w:r>
        <w:rPr>
          <w:rFonts w:ascii="Calibri" w:hAnsi="Calibri"/>
          <w:color w:val="222222"/>
        </w:rPr>
        <w:t>Validate join cardinality.</w:t>
      </w:r>
    </w:p>
    <w:p>
      <w:pPr>
        <w:numPr>
          <w:ilvl w:val="0"/>
          <w:numId w:val="76"/>
        </w:numPr>
        <w:spacing w:after="80" w:line="300" w:lineRule="auto"/>
      </w:pPr>
      <w:r>
        <w:rPr>
          <w:rFonts w:ascii="Calibri" w:hAnsi="Calibri"/>
          <w:color w:val="222222"/>
        </w:rPr>
        <w:t>Respect repeated measures.</w:t>
      </w:r>
    </w:p>
    <w:p>
      <w:pPr>
        <w:numPr>
          <w:ilvl w:val="0"/>
          <w:numId w:val="76"/>
        </w:numPr>
        <w:spacing w:after="80" w:line="300" w:lineRule="auto"/>
      </w:pPr>
      <w:r>
        <w:rPr>
          <w:rFonts w:ascii="Calibri" w:hAnsi="Calibri"/>
          <w:color w:val="222222"/>
        </w:rPr>
        <w:t>Bound interpretation by design.</w:t>
      </w:r>
    </w:p>
    <w:p>
      <w:r>
        <w:rPr>
          <w:rFonts w:ascii="Calibri" w:hAnsi="Calibri"/>
          <w:color w:val="222222"/>
        </w:rPr>
        <w:t>Other parts may need redesign:</w:t>
      </w:r>
    </w:p>
    <w:p>
      <w:pPr>
        <w:numPr>
          <w:ilvl w:val="0"/>
          <w:numId w:val="77"/>
        </w:numPr>
        <w:spacing w:after="80" w:line="300" w:lineRule="auto"/>
      </w:pPr>
      <w:r>
        <w:rPr>
          <w:rFonts w:ascii="Calibri" w:hAnsi="Calibri"/>
          <w:color w:val="222222"/>
        </w:rPr>
        <w:t>Authentication and API calls.</w:t>
      </w:r>
    </w:p>
    <w:p>
      <w:pPr>
        <w:numPr>
          <w:ilvl w:val="0"/>
          <w:numId w:val="77"/>
        </w:numPr>
        <w:spacing w:after="80" w:line="300" w:lineRule="auto"/>
      </w:pPr>
      <w:r>
        <w:rPr>
          <w:rFonts w:ascii="Calibri" w:hAnsi="Calibri"/>
          <w:color w:val="222222"/>
        </w:rPr>
        <w:t>Where code executes.</w:t>
      </w:r>
    </w:p>
    <w:p>
      <w:pPr>
        <w:numPr>
          <w:ilvl w:val="0"/>
          <w:numId w:val="77"/>
        </w:numPr>
        <w:spacing w:after="80" w:line="300" w:lineRule="auto"/>
      </w:pPr>
      <w:r>
        <w:rPr>
          <w:rFonts w:ascii="Calibri" w:hAnsi="Calibri"/>
          <w:color w:val="222222"/>
        </w:rPr>
        <w:t>Where raw, derived, and cached data are stored.</w:t>
      </w:r>
    </w:p>
    <w:p>
      <w:pPr>
        <w:numPr>
          <w:ilvl w:val="0"/>
          <w:numId w:val="77"/>
        </w:numPr>
        <w:spacing w:after="80" w:line="300" w:lineRule="auto"/>
      </w:pPr>
      <w:r>
        <w:rPr>
          <w:rFonts w:ascii="Calibri" w:hAnsi="Calibri"/>
          <w:color w:val="222222"/>
        </w:rPr>
        <w:t>Whether external reference resources can be queried from the environment.</w:t>
      </w:r>
    </w:p>
    <w:p>
      <w:pPr>
        <w:numPr>
          <w:ilvl w:val="0"/>
          <w:numId w:val="77"/>
        </w:numPr>
        <w:spacing w:after="80" w:line="300" w:lineRule="auto"/>
      </w:pPr>
      <w:r>
        <w:rPr>
          <w:rFonts w:ascii="Calibri" w:hAnsi="Calibri"/>
          <w:color w:val="222222"/>
        </w:rPr>
        <w:t>Whether data can be joined across resources.</w:t>
      </w:r>
    </w:p>
    <w:p>
      <w:pPr>
        <w:numPr>
          <w:ilvl w:val="0"/>
          <w:numId w:val="77"/>
        </w:numPr>
        <w:spacing w:after="80" w:line="300" w:lineRule="auto"/>
      </w:pPr>
      <w:r>
        <w:rPr>
          <w:rFonts w:ascii="Calibri" w:hAnsi="Calibri"/>
          <w:color w:val="222222"/>
        </w:rPr>
        <w:t>Whether row-level outputs, logs, plots, models, or counts can be exported.</w:t>
      </w:r>
    </w:p>
    <w:p>
      <w:pPr>
        <w:numPr>
          <w:ilvl w:val="0"/>
          <w:numId w:val="77"/>
        </w:numPr>
        <w:spacing w:after="80" w:line="300" w:lineRule="auto"/>
      </w:pPr>
      <w:r>
        <w:rPr>
          <w:rFonts w:ascii="Calibri" w:hAnsi="Calibri"/>
          <w:color w:val="222222"/>
        </w:rPr>
        <w:t>Who reviews an export and what disclosure thresholds apply.</w:t>
      </w:r>
    </w:p>
    <w:p>
      <w:pPr>
        <w:numPr>
          <w:ilvl w:val="0"/>
          <w:numId w:val="77"/>
        </w:numPr>
        <w:spacing w:after="80" w:line="300" w:lineRule="auto"/>
      </w:pPr>
      <w:r>
        <w:rPr>
          <w:rFonts w:ascii="Calibri" w:hAnsi="Calibri"/>
          <w:color w:val="222222"/>
        </w:rPr>
        <w:t>How collaborators receive access.</w:t>
      </w:r>
    </w:p>
    <w:p>
      <w:r>
        <w:rPr>
          <w:rFonts w:ascii="Calibri" w:hAnsi="Calibri"/>
          <w:color w:val="222222"/>
        </w:rPr>
        <w:t xml:space="preserve">Think of the workflow as portable </w:t>
      </w:r>
      <w:r>
        <w:rPr>
          <w:rFonts w:ascii="Calibri" w:hAnsi="Calibri"/>
          <w:b/>
          <w:color w:val="222222"/>
        </w:rPr>
        <w:t>logic</w:t>
      </w:r>
      <w:r>
        <w:rPr>
          <w:rFonts w:ascii="Calibri" w:hAnsi="Calibri"/>
          <w:color w:val="222222"/>
        </w:rPr>
        <w:t xml:space="preserve">, not necessarily portable </w:t>
      </w:r>
      <w:r>
        <w:rPr>
          <w:rFonts w:ascii="Calibri" w:hAnsi="Calibri"/>
          <w:b/>
          <w:color w:val="222222"/>
        </w:rPr>
        <w:t>data</w:t>
      </w:r>
      <w:r>
        <w:rPr>
          <w:rFonts w:ascii="Calibri" w:hAnsi="Calibri"/>
          <w:color w:val="222222"/>
        </w:rPr>
        <w:t>.</w:t>
      </w:r>
    </w:p>
    <w:p>
      <w:pPr>
        <w:pStyle w:val="Heading2"/>
      </w:pPr>
      <w:r>
        <w:rPr>
          <w:rFonts w:ascii="Calibri" w:hAnsi="Calibri"/>
          <w:color w:val="222222"/>
        </w:rPr>
        <w:t>3. Worked transfer case A: a MoTrPAC dataset</w:t>
      </w:r>
    </w:p>
    <w:p>
      <w:pPr>
        <w:pStyle w:val="Heading3"/>
      </w:pPr>
      <w:r>
        <w:rPr>
          <w:rFonts w:ascii="Calibri" w:hAnsi="Calibri"/>
          <w:color w:val="222222"/>
        </w:rPr>
        <w:t>Scenario</w:t>
      </w:r>
    </w:p>
    <w:p>
      <w:r>
        <w:rPr>
          <w:rFonts w:ascii="Calibri" w:hAnsi="Calibri"/>
          <w:color w:val="222222"/>
        </w:rPr>
        <w:t>You find a MoTrPAC metabolomics release that may complement the exercise case study.</w:t>
      </w:r>
    </w:p>
    <w:p>
      <w:pPr>
        <w:pStyle w:val="Heading3"/>
      </w:pPr>
      <w:r>
        <w:rPr>
          <w:rFonts w:ascii="Calibri" w:hAnsi="Calibri"/>
          <w:color w:val="222222"/>
        </w:rPr>
        <w:t>Verification sequence</w:t>
      </w:r>
    </w:p>
    <w:p>
      <w:pPr>
        <w:numPr>
          <w:ilvl w:val="0"/>
          <w:numId w:val="78"/>
        </w:numPr>
        <w:spacing w:after="80" w:line="300" w:lineRule="auto"/>
      </w:pPr>
      <w:r>
        <w:rPr>
          <w:rFonts w:ascii="Calibri" w:hAnsi="Calibri"/>
          <w:color w:val="222222"/>
        </w:rPr>
        <w:t>Identify the exact collection, study, release, assay level, and files.</w:t>
      </w:r>
    </w:p>
    <w:p>
      <w:pPr>
        <w:numPr>
          <w:ilvl w:val="0"/>
          <w:numId w:val="78"/>
        </w:numPr>
        <w:spacing w:after="80" w:line="300" w:lineRule="auto"/>
      </w:pPr>
      <w:r>
        <w:rPr>
          <w:rFonts w:ascii="Calibri" w:hAnsi="Calibri"/>
          <w:color w:val="222222"/>
        </w:rPr>
        <w:t>Open current MoTrPAC Data Hub and Knowledge Center documentation.</w:t>
      </w:r>
    </w:p>
    <w:p>
      <w:pPr>
        <w:numPr>
          <w:ilvl w:val="0"/>
          <w:numId w:val="78"/>
        </w:numPr>
        <w:spacing w:after="80" w:line="300" w:lineRule="auto"/>
      </w:pPr>
      <w:r>
        <w:rPr>
          <w:rFonts w:ascii="Calibri" w:hAnsi="Calibri"/>
          <w:color w:val="222222"/>
        </w:rPr>
        <w:t>Test whether the desired public file can be browsed or downloaded without an account.</w:t>
      </w:r>
    </w:p>
    <w:p>
      <w:pPr>
        <w:numPr>
          <w:ilvl w:val="0"/>
          <w:numId w:val="78"/>
        </w:numPr>
        <w:spacing w:after="80" w:line="300" w:lineRule="auto"/>
      </w:pPr>
      <w:r>
        <w:rPr>
          <w:rFonts w:ascii="Calibri" w:hAnsi="Calibri"/>
          <w:color w:val="222222"/>
        </w:rPr>
        <w:t>If the file is restricted or embargoed, document authentication, DUA, publication, confidentiality, and review requirements.</w:t>
      </w:r>
    </w:p>
    <w:p>
      <w:pPr>
        <w:numPr>
          <w:ilvl w:val="0"/>
          <w:numId w:val="78"/>
        </w:numPr>
        <w:spacing w:after="80" w:line="300" w:lineRule="auto"/>
      </w:pPr>
      <w:r>
        <w:rPr>
          <w:rFonts w:ascii="Calibri" w:hAnsi="Calibri"/>
          <w:color w:val="222222"/>
        </w:rPr>
        <w:t>Record the evidence URL, page version if available, date, and result.</w:t>
      </w:r>
    </w:p>
    <w:p>
      <w:pPr>
        <w:pStyle w:val="Heading3"/>
      </w:pPr>
      <w:r>
        <w:rPr>
          <w:rFonts w:ascii="Calibri" w:hAnsi="Calibri"/>
          <w:color w:val="222222"/>
        </w:rPr>
        <w:t>Architecture decision</w:t>
      </w:r>
    </w:p>
    <w:p>
      <w:pPr>
        <w:numPr>
          <w:ilvl w:val="0"/>
          <w:numId w:val="79"/>
        </w:numPr>
        <w:spacing w:after="80" w:line="300" w:lineRule="auto"/>
      </w:pPr>
      <w:r>
        <w:rPr>
          <w:rFonts w:ascii="Calibri" w:hAnsi="Calibri"/>
          <w:b/>
          <w:color w:val="222222"/>
        </w:rPr>
        <w:t>Public file:</w:t>
      </w:r>
      <w:r>
        <w:rPr>
          <w:rFonts w:ascii="Calibri" w:hAnsi="Calibri"/>
          <w:color w:val="222222"/>
        </w:rPr>
        <w:t xml:space="preserve"> The local or Colab-style workflow may remain possible, subject to license, size, and terms. Replace the MW-specific retrieval adapter while retaining provenance and crosswalk logic.</w:t>
      </w:r>
    </w:p>
    <w:p>
      <w:pPr>
        <w:numPr>
          <w:ilvl w:val="0"/>
          <w:numId w:val="79"/>
        </w:numPr>
        <w:spacing w:after="80" w:line="300" w:lineRule="auto"/>
      </w:pPr>
      <w:r>
        <w:rPr>
          <w:rFonts w:ascii="Calibri" w:hAnsi="Calibri"/>
          <w:b/>
          <w:color w:val="222222"/>
        </w:rPr>
        <w:t>Restricted file:</w:t>
      </w:r>
      <w:r>
        <w:rPr>
          <w:rFonts w:ascii="Calibri" w:hAnsi="Calibri"/>
          <w:color w:val="222222"/>
        </w:rPr>
        <w:t xml:space="preserve"> Obtain authorization before access. Store and analyze only in permitted locations; do not add restricted content to the module cache. Adapt collaboration and output review to the DUA.</w:t>
      </w:r>
    </w:p>
    <w:p>
      <w:pPr>
        <w:numPr>
          <w:ilvl w:val="0"/>
          <w:numId w:val="79"/>
        </w:numPr>
        <w:spacing w:after="80" w:line="300" w:lineRule="auto"/>
      </w:pPr>
      <w:r>
        <w:rPr>
          <w:rFonts w:ascii="Calibri" w:hAnsi="Calibri"/>
          <w:b/>
          <w:color w:val="222222"/>
        </w:rPr>
        <w:t>Unclear status:</w:t>
      </w:r>
      <w:r>
        <w:rPr>
          <w:rFonts w:ascii="Calibri" w:hAnsi="Calibri"/>
          <w:color w:val="222222"/>
        </w:rPr>
        <w:t xml:space="preserve"> Pause data retrieval and ask the program help desk. Continue with public metadata or synthetic schema only.</w:t>
      </w:r>
    </w:p>
    <w:p>
      <w:pPr>
        <w:pStyle w:val="Heading3"/>
      </w:pPr>
      <w:r>
        <w:rPr>
          <w:rFonts w:ascii="Calibri" w:hAnsi="Calibri"/>
          <w:color w:val="222222"/>
        </w:rPr>
        <w:t>Scientific decision</w:t>
      </w:r>
    </w:p>
    <w:p>
      <w:r>
        <w:rPr>
          <w:rFonts w:ascii="Calibri" w:hAnsi="Calibri"/>
          <w:color w:val="222222"/>
        </w:rPr>
        <w:t xml:space="preserve">MoTrPAC's detailed exercise design can improve phenotype context, but repository membership does not make its measurements quantitatively compatible with </w:t>
      </w:r>
      <w:r>
        <w:rPr>
          <w:rFonts w:ascii="Consolas" w:hAnsi="Consolas"/>
          <w:color w:val="1F4D78"/>
          <w:sz w:val="21"/>
          <w:shd w:fill="EEF1F4"/>
        </w:rPr>
        <w:t>ST003348</w:t>
      </w:r>
      <w:r>
        <w:rPr>
          <w:rFonts w:ascii="Calibri" w:hAnsi="Calibri"/>
          <w:color w:val="222222"/>
        </w:rPr>
        <w:t>. Repeat the full platform, specimen, time, and unit assessment.</w:t>
      </w:r>
    </w:p>
    <w:p>
      <w:pPr>
        <w:pStyle w:val="Heading2"/>
      </w:pPr>
      <w:r>
        <w:rPr>
          <w:rFonts w:ascii="Calibri" w:hAnsi="Calibri"/>
          <w:color w:val="222222"/>
        </w:rPr>
        <w:t>4. Worked transfer case B: Nutrition for Precision Health in All of Us</w:t>
      </w:r>
    </w:p>
    <w:p>
      <w:pPr>
        <w:pStyle w:val="Heading3"/>
      </w:pPr>
      <w:r>
        <w:rPr>
          <w:rFonts w:ascii="Calibri" w:hAnsi="Calibri"/>
          <w:color w:val="222222"/>
        </w:rPr>
        <w:t>Scenario</w:t>
      </w:r>
    </w:p>
    <w:p>
      <w:r>
        <w:rPr>
          <w:rFonts w:ascii="Calibri" w:hAnsi="Calibri"/>
          <w:color w:val="222222"/>
        </w:rPr>
        <w:t>You want to adapt the diet harmonization workflow to NPH data stored in the All of Us Researcher Workbench.</w:t>
      </w:r>
    </w:p>
    <w:p>
      <w:pPr>
        <w:pStyle w:val="Heading3"/>
      </w:pPr>
      <w:r>
        <w:rPr>
          <w:rFonts w:ascii="Calibri" w:hAnsi="Calibri"/>
          <w:color w:val="222222"/>
        </w:rPr>
        <w:t>Verification sequence</w:t>
      </w:r>
    </w:p>
    <w:p>
      <w:pPr>
        <w:numPr>
          <w:ilvl w:val="0"/>
          <w:numId w:val="80"/>
        </w:numPr>
        <w:spacing w:after="80" w:line="300" w:lineRule="auto"/>
      </w:pPr>
      <w:r>
        <w:rPr>
          <w:rFonts w:ascii="Calibri" w:hAnsi="Calibri"/>
          <w:color w:val="222222"/>
        </w:rPr>
        <w:t>Confirm that the desired NPH data type and release are available.</w:t>
      </w:r>
    </w:p>
    <w:p>
      <w:pPr>
        <w:numPr>
          <w:ilvl w:val="0"/>
          <w:numId w:val="80"/>
        </w:numPr>
        <w:spacing w:after="80" w:line="300" w:lineRule="auto"/>
      </w:pPr>
      <w:r>
        <w:rPr>
          <w:rFonts w:ascii="Calibri" w:hAnsi="Calibri"/>
          <w:color w:val="222222"/>
        </w:rPr>
        <w:t>Determine whether the required collection is Registered or Controlled Tier.</w:t>
      </w:r>
    </w:p>
    <w:p>
      <w:pPr>
        <w:numPr>
          <w:ilvl w:val="0"/>
          <w:numId w:val="80"/>
        </w:numPr>
        <w:spacing w:after="80" w:line="300" w:lineRule="auto"/>
      </w:pPr>
      <w:r>
        <w:rPr>
          <w:rFonts w:ascii="Calibri" w:hAnsi="Calibri"/>
          <w:color w:val="222222"/>
        </w:rPr>
        <w:t>Verify current institutional, researcher, identity, training, workspace, and project requirements.</w:t>
      </w:r>
    </w:p>
    <w:p>
      <w:pPr>
        <w:numPr>
          <w:ilvl w:val="0"/>
          <w:numId w:val="80"/>
        </w:numPr>
        <w:spacing w:after="80" w:line="300" w:lineRule="auto"/>
      </w:pPr>
      <w:r>
        <w:rPr>
          <w:rFonts w:ascii="Calibri" w:hAnsi="Calibri"/>
          <w:color w:val="222222"/>
        </w:rPr>
        <w:t>Review the Data User Code of Conduct and Data and Statistics Dissemination Policy.</w:t>
      </w:r>
    </w:p>
    <w:p>
      <w:pPr>
        <w:numPr>
          <w:ilvl w:val="0"/>
          <w:numId w:val="80"/>
        </w:numPr>
        <w:spacing w:after="80" w:line="300" w:lineRule="auto"/>
      </w:pPr>
      <w:r>
        <w:rPr>
          <w:rFonts w:ascii="Calibri" w:hAnsi="Calibri"/>
          <w:color w:val="222222"/>
        </w:rPr>
        <w:t>Determine what participant-level data, code outputs, counts, plots, models, or aggregate results may leave the Workbench.</w:t>
      </w:r>
    </w:p>
    <w:p>
      <w:pPr>
        <w:pStyle w:val="Heading3"/>
      </w:pPr>
      <w:r>
        <w:rPr>
          <w:rFonts w:ascii="Calibri" w:hAnsi="Calibri"/>
          <w:color w:val="222222"/>
        </w:rPr>
        <w:t>Architecture decision</w:t>
      </w:r>
    </w:p>
    <w:p>
      <w:r>
        <w:rPr>
          <w:rFonts w:ascii="Calibri" w:hAnsi="Calibri"/>
          <w:color w:val="222222"/>
        </w:rPr>
        <w:t xml:space="preserve">The safe default is to move approved code and public reference mappings </w:t>
      </w:r>
      <w:r>
        <w:rPr>
          <w:rFonts w:ascii="Calibri" w:hAnsi="Calibri"/>
          <w:b/>
          <w:color w:val="222222"/>
        </w:rPr>
        <w:t>into</w:t>
      </w:r>
      <w:r>
        <w:rPr>
          <w:rFonts w:ascii="Calibri" w:hAnsi="Calibri"/>
          <w:color w:val="222222"/>
        </w:rPr>
        <w:t xml:space="preserve"> the governed workspace, run participant-level work there, and export only outputs permitted under current policy. Do not download NPH participant-level data to populate this module's local files or cached fallback. If external RefMet calls are unavailable or inappropriate, import a dated, approved reference table without participant data and record its version.</w:t>
      </w:r>
    </w:p>
    <w:p>
      <w:pPr>
        <w:pStyle w:val="Heading3"/>
      </w:pPr>
      <w:r>
        <w:rPr>
          <w:rFonts w:ascii="Calibri" w:hAnsi="Calibri"/>
          <w:color w:val="222222"/>
        </w:rPr>
        <w:t>Scientific decision</w:t>
      </w:r>
    </w:p>
    <w:p>
      <w:r>
        <w:rPr>
          <w:rFonts w:ascii="Calibri" w:hAnsi="Calibri"/>
          <w:color w:val="222222"/>
        </w:rPr>
        <w:t>NPH's modular diet design and multimodal context may support questions that the small FARMM case cannot. It does not remove the need to define diet period, test-meal timing, specimen, assay, repeated measures, and the intended estimand.</w:t>
      </w:r>
    </w:p>
    <w:p>
      <w:pPr>
        <w:pStyle w:val="Heading2"/>
      </w:pPr>
      <w:r>
        <w:rPr>
          <w:rFonts w:ascii="Calibri" w:hAnsi="Calibri"/>
          <w:color w:val="222222"/>
        </w:rPr>
        <w:t>5. Accessible description of the transfer diagram</w:t>
      </w:r>
    </w:p>
    <w:p>
      <w:r>
        <w:rPr>
          <w:rFonts w:ascii="Calibri" w:hAnsi="Calibri"/>
          <w:color w:val="222222"/>
        </w:rPr>
        <w:t xml:space="preserve">The diagram has a central box labeled </w:t>
      </w:r>
      <w:r>
        <w:rPr>
          <w:rFonts w:ascii="Consolas" w:hAnsi="Consolas"/>
          <w:color w:val="1F4D78"/>
          <w:sz w:val="21"/>
          <w:shd w:fill="EEF1F4"/>
        </w:rPr>
        <w:t>portable harmonization logic</w:t>
      </w:r>
      <w:r>
        <w:rPr>
          <w:rFonts w:ascii="Calibri" w:hAnsi="Calibri"/>
          <w:color w:val="222222"/>
        </w:rPr>
        <w:t xml:space="preserve">. Three arrows point to: an open laptop, a sign-in workspace, and a locked cloud workspace. The logic moves to all three. Raw data arrows move freely only into the open laptop; gated data remain in approved storage; controlled participant-level data remain inside the locked cloud. A narrow outbound arrow from the cloud is labeled </w:t>
      </w:r>
      <w:r>
        <w:rPr>
          <w:rFonts w:ascii="Consolas" w:hAnsi="Consolas"/>
          <w:color w:val="1F4D78"/>
          <w:sz w:val="21"/>
          <w:shd w:fill="EEF1F4"/>
        </w:rPr>
        <w:t>policy-permitted reviewed outputs</w:t>
      </w:r>
      <w:r>
        <w:rPr>
          <w:rFonts w:ascii="Calibri" w:hAnsi="Calibri"/>
          <w:color w:val="222222"/>
        </w:rPr>
        <w:t>.</w:t>
      </w:r>
    </w:p>
    <w:p>
      <w:pPr>
        <w:pStyle w:val="Heading2"/>
      </w:pPr>
      <w:r>
        <w:rPr>
          <w:rFonts w:ascii="Calibri" w:hAnsi="Calibri"/>
          <w:color w:val="222222"/>
        </w:rPr>
        <w:t>6. Hands-on activity: make a transfer decision</w:t>
      </w:r>
    </w:p>
    <w:p>
      <w:r>
        <w:rPr>
          <w:rFonts w:ascii="Calibri" w:hAnsi="Calibri"/>
          <w:color w:val="222222"/>
        </w:rPr>
        <w:t xml:space="preserve">Use </w:t>
      </w:r>
      <w:r>
        <w:rPr>
          <w:rFonts w:ascii="Consolas" w:hAnsi="Consolas"/>
          <w:color w:val="1F4D78"/>
          <w:sz w:val="21"/>
          <w:shd w:fill="EEF1F4"/>
        </w:rPr>
        <w:t>module/templates/access_tier_transfer_checklist_learner.md</w:t>
      </w:r>
      <w:r>
        <w:rPr>
          <w:rFonts w:ascii="Calibri" w:hAnsi="Calibri"/>
          <w:color w:val="222222"/>
        </w:rPr>
        <w:t xml:space="preserve"> for a resource of your choice. You may use a specific MoTrPAC release, an NPH/All of Us collection, another Metabolomics Workbench accession, MetaboLights, or a consortium repository relevant to your work.</w:t>
      </w:r>
    </w:p>
    <w:p>
      <w:pPr>
        <w:pStyle w:val="Heading3"/>
      </w:pPr>
      <w:r>
        <w:rPr>
          <w:rFonts w:ascii="Calibri" w:hAnsi="Calibri"/>
          <w:color w:val="222222"/>
        </w:rPr>
        <w:t>Required evidence</w:t>
      </w:r>
    </w:p>
    <w:p>
      <w:pPr>
        <w:numPr>
          <w:ilvl w:val="0"/>
          <w:numId w:val="81"/>
        </w:numPr>
        <w:spacing w:after="80" w:line="300" w:lineRule="auto"/>
      </w:pPr>
      <w:r>
        <w:rPr>
          <w:rFonts w:ascii="Calibri" w:hAnsi="Calibri"/>
          <w:color w:val="222222"/>
        </w:rPr>
        <w:t>Exact resource, dataset, and version or release.</w:t>
      </w:r>
    </w:p>
    <w:p>
      <w:pPr>
        <w:numPr>
          <w:ilvl w:val="0"/>
          <w:numId w:val="81"/>
        </w:numPr>
        <w:spacing w:after="80" w:line="300" w:lineRule="auto"/>
      </w:pPr>
      <w:r>
        <w:rPr>
          <w:rFonts w:ascii="Calibri" w:hAnsi="Calibri"/>
          <w:color w:val="222222"/>
        </w:rPr>
        <w:t>Intended data and action.</w:t>
      </w:r>
    </w:p>
    <w:p>
      <w:pPr>
        <w:numPr>
          <w:ilvl w:val="0"/>
          <w:numId w:val="81"/>
        </w:numPr>
        <w:spacing w:after="80" w:line="300" w:lineRule="auto"/>
      </w:pPr>
      <w:r>
        <w:rPr>
          <w:rFonts w:ascii="Calibri" w:hAnsi="Calibri"/>
          <w:color w:val="222222"/>
        </w:rPr>
        <w:t>First-party access documentation URL and check date.</w:t>
      </w:r>
    </w:p>
    <w:p>
      <w:pPr>
        <w:numPr>
          <w:ilvl w:val="0"/>
          <w:numId w:val="81"/>
        </w:numPr>
        <w:spacing w:after="80" w:line="300" w:lineRule="auto"/>
      </w:pPr>
      <w:r>
        <w:rPr>
          <w:rFonts w:ascii="Calibri" w:hAnsi="Calibri"/>
          <w:color w:val="222222"/>
        </w:rPr>
        <w:t>Account, agreement, institutional, training, or approval requirements.</w:t>
      </w:r>
    </w:p>
    <w:p>
      <w:pPr>
        <w:numPr>
          <w:ilvl w:val="0"/>
          <w:numId w:val="81"/>
        </w:numPr>
        <w:spacing w:after="80" w:line="300" w:lineRule="auto"/>
      </w:pPr>
      <w:r>
        <w:rPr>
          <w:rFonts w:ascii="Calibri" w:hAnsi="Calibri"/>
          <w:color w:val="222222"/>
        </w:rPr>
        <w:t>Permitted compute and storage location.</w:t>
      </w:r>
    </w:p>
    <w:p>
      <w:pPr>
        <w:numPr>
          <w:ilvl w:val="0"/>
          <w:numId w:val="81"/>
        </w:numPr>
        <w:spacing w:after="80" w:line="300" w:lineRule="auto"/>
      </w:pPr>
      <w:r>
        <w:rPr>
          <w:rFonts w:ascii="Calibri" w:hAnsi="Calibri"/>
          <w:color w:val="222222"/>
        </w:rPr>
        <w:t>Input and output movement rules.</w:t>
      </w:r>
    </w:p>
    <w:p>
      <w:pPr>
        <w:numPr>
          <w:ilvl w:val="0"/>
          <w:numId w:val="81"/>
        </w:numPr>
        <w:spacing w:after="80" w:line="300" w:lineRule="auto"/>
      </w:pPr>
      <w:r>
        <w:rPr>
          <w:rFonts w:ascii="Calibri" w:hAnsi="Calibri"/>
          <w:color w:val="222222"/>
        </w:rPr>
        <w:t>Metadata and identifier availability.</w:t>
      </w:r>
    </w:p>
    <w:p>
      <w:pPr>
        <w:numPr>
          <w:ilvl w:val="0"/>
          <w:numId w:val="81"/>
        </w:numPr>
        <w:spacing w:after="80" w:line="300" w:lineRule="auto"/>
      </w:pPr>
      <w:r>
        <w:rPr>
          <w:rFonts w:ascii="Calibri" w:hAnsi="Calibri"/>
          <w:color w:val="222222"/>
        </w:rPr>
        <w:t>Required changes to retrieval, cache, crosswalk, and reporting.</w:t>
      </w:r>
    </w:p>
    <w:p>
      <w:pPr>
        <w:numPr>
          <w:ilvl w:val="0"/>
          <w:numId w:val="81"/>
        </w:numPr>
        <w:spacing w:after="80" w:line="300" w:lineRule="auto"/>
      </w:pPr>
      <w:r>
        <w:rPr>
          <w:rFonts w:ascii="Calibri" w:hAnsi="Calibri"/>
          <w:color w:val="222222"/>
        </w:rPr>
        <w:t>One scientific compatibility risk distinct from access.</w:t>
      </w:r>
    </w:p>
    <w:p>
      <w:pPr>
        <w:pStyle w:val="Heading3"/>
      </w:pPr>
      <w:r>
        <w:rPr>
          <w:rFonts w:ascii="Calibri" w:hAnsi="Calibri"/>
          <w:color w:val="222222"/>
        </w:rPr>
        <w:t>Decision options</w:t>
      </w:r>
    </w:p>
    <w:p>
      <w:pPr>
        <w:numPr>
          <w:ilvl w:val="0"/>
          <w:numId w:val="82"/>
        </w:numPr>
        <w:spacing w:after="80" w:line="300" w:lineRule="auto"/>
      </w:pPr>
      <w:r>
        <w:rPr>
          <w:rFonts w:ascii="Consolas" w:hAnsi="Consolas"/>
          <w:color w:val="1F4D78"/>
          <w:sz w:val="21"/>
          <w:shd w:fill="EEF1F4"/>
        </w:rPr>
        <w:t>GO</w:t>
      </w:r>
      <w:r>
        <w:rPr>
          <w:rFonts w:ascii="Calibri" w:hAnsi="Calibri"/>
          <w:color w:val="222222"/>
        </w:rPr>
        <w:t>: Requirements are verified and the planned workflow is permitted and scientifically appropriate.</w:t>
      </w:r>
    </w:p>
    <w:p>
      <w:pPr>
        <w:numPr>
          <w:ilvl w:val="0"/>
          <w:numId w:val="82"/>
        </w:numPr>
        <w:spacing w:after="80" w:line="300" w:lineRule="auto"/>
      </w:pPr>
      <w:r>
        <w:rPr>
          <w:rFonts w:ascii="Consolas" w:hAnsi="Consolas"/>
          <w:color w:val="1F4D78"/>
          <w:sz w:val="21"/>
          <w:shd w:fill="EEF1F4"/>
        </w:rPr>
        <w:t>REVISE</w:t>
      </w:r>
      <w:r>
        <w:rPr>
          <w:rFonts w:ascii="Calibri" w:hAnsi="Calibri"/>
          <w:color w:val="222222"/>
        </w:rPr>
        <w:t>: The goal is possible, but architecture, scope, output, or analysis must change.</w:t>
      </w:r>
    </w:p>
    <w:p>
      <w:pPr>
        <w:numPr>
          <w:ilvl w:val="0"/>
          <w:numId w:val="82"/>
        </w:numPr>
        <w:spacing w:after="80" w:line="300" w:lineRule="auto"/>
      </w:pPr>
      <w:r>
        <w:rPr>
          <w:rFonts w:ascii="Consolas" w:hAnsi="Consolas"/>
          <w:color w:val="1F4D78"/>
          <w:sz w:val="21"/>
          <w:shd w:fill="EEF1F4"/>
        </w:rPr>
        <w:t>WAIT</w:t>
      </w:r>
      <w:r>
        <w:rPr>
          <w:rFonts w:ascii="Calibri" w:hAnsi="Calibri"/>
          <w:color w:val="222222"/>
        </w:rPr>
        <w:t>: A documented approval, release, or clarification is pending.</w:t>
      </w:r>
    </w:p>
    <w:p>
      <w:pPr>
        <w:numPr>
          <w:ilvl w:val="0"/>
          <w:numId w:val="82"/>
        </w:numPr>
        <w:spacing w:after="80" w:line="300" w:lineRule="auto"/>
      </w:pPr>
      <w:r>
        <w:rPr>
          <w:rFonts w:ascii="Consolas" w:hAnsi="Consolas"/>
          <w:color w:val="1F4D78"/>
          <w:sz w:val="21"/>
          <w:shd w:fill="EEF1F4"/>
        </w:rPr>
        <w:t>STOP</w:t>
      </w:r>
      <w:r>
        <w:rPr>
          <w:rFonts w:ascii="Calibri" w:hAnsi="Calibri"/>
          <w:color w:val="222222"/>
        </w:rPr>
        <w:t>: The planned action is prohibited or cannot answer the scientific question.</w:t>
      </w:r>
    </w:p>
    <w:p>
      <w:r>
        <w:rPr>
          <w:rFonts w:ascii="Calibri" w:hAnsi="Calibri"/>
          <w:color w:val="222222"/>
        </w:rPr>
        <w:t>Write one sentence that distinguishes policy evidence from your interpretation. Example:</w:t>
      </w:r>
    </w:p>
    <w:p>
      <w:pPr>
        <w:spacing w:before="100" w:after="120"/>
        <w:ind w:left="259" w:right="115"/>
        <w:shd w:fill="F4F6F9"/>
        <w:pBdr>
          <w:left w:val="single" w:sz="16" w:space="8" w:color="2E74B5"/>
        </w:pBdr>
      </w:pPr>
      <w:r>
        <w:rPr>
          <w:rFonts w:ascii="Calibri" w:hAnsi="Calibri"/>
          <w:color w:val="1F4D78"/>
        </w:rPr>
        <w:t>The first-party page states that this public release can be downloaded without an account; I infer that the local retrieval step is feasible, but I still need to confirm license and scientific compatibility before reuse.</w:t>
      </w:r>
    </w:p>
    <w:p>
      <w:pPr>
        <w:pStyle w:val="Heading2"/>
      </w:pPr>
      <w:r>
        <w:rPr>
          <w:rFonts w:ascii="Calibri" w:hAnsi="Calibri"/>
          <w:color w:val="222222"/>
        </w:rPr>
        <w:t>7. Final guardrails</w:t>
      </w:r>
    </w:p>
    <w:p>
      <w:pPr>
        <w:numPr>
          <w:ilvl w:val="0"/>
          <w:numId w:val="83"/>
        </w:numPr>
        <w:spacing w:after="80" w:line="300" w:lineRule="auto"/>
      </w:pPr>
      <w:r>
        <w:rPr>
          <w:rFonts w:ascii="Calibri" w:hAnsi="Calibri"/>
          <w:color w:val="222222"/>
        </w:rPr>
        <w:t>Verify current first-party terms; do not rely on this lesson as legal or policy authority.</w:t>
      </w:r>
    </w:p>
    <w:p>
      <w:pPr>
        <w:numPr>
          <w:ilvl w:val="0"/>
          <w:numId w:val="83"/>
        </w:numPr>
        <w:spacing w:after="80" w:line="300" w:lineRule="auto"/>
      </w:pPr>
      <w:r>
        <w:rPr>
          <w:rFonts w:ascii="Calibri" w:hAnsi="Calibri"/>
          <w:color w:val="222222"/>
        </w:rPr>
        <w:t>Dataset landing-page visibility does not prove participant-level download permission.</w:t>
      </w:r>
    </w:p>
    <w:p>
      <w:pPr>
        <w:numPr>
          <w:ilvl w:val="0"/>
          <w:numId w:val="83"/>
        </w:numPr>
        <w:spacing w:after="80" w:line="300" w:lineRule="auto"/>
      </w:pPr>
      <w:r>
        <w:rPr>
          <w:rFonts w:ascii="Calibri" w:hAnsi="Calibri"/>
          <w:color w:val="222222"/>
        </w:rPr>
        <w:t>Public metadata can be useful even when data are restricted, but it does not authorize reconstruction or access.</w:t>
      </w:r>
    </w:p>
    <w:p>
      <w:pPr>
        <w:numPr>
          <w:ilvl w:val="0"/>
          <w:numId w:val="83"/>
        </w:numPr>
        <w:spacing w:after="80" w:line="300" w:lineRule="auto"/>
      </w:pPr>
      <w:r>
        <w:rPr>
          <w:rFonts w:ascii="Calibri" w:hAnsi="Calibri"/>
          <w:color w:val="222222"/>
        </w:rPr>
        <w:t>Do not place credentials, tokens, signed URLs, or controlled data in notebooks, caches, logs, version control, or training artifacts.</w:t>
      </w:r>
    </w:p>
    <w:p>
      <w:pPr>
        <w:numPr>
          <w:ilvl w:val="0"/>
          <w:numId w:val="83"/>
        </w:numPr>
        <w:spacing w:after="80" w:line="300" w:lineRule="auto"/>
      </w:pPr>
      <w:r>
        <w:rPr>
          <w:rFonts w:ascii="Calibri" w:hAnsi="Calibri"/>
          <w:color w:val="222222"/>
        </w:rPr>
        <w:t>Do not evade a governed environment by exporting row-level data, small cells, recoverable embeddings, or model artifacts that policy treats as sensitive.</w:t>
      </w:r>
    </w:p>
    <w:p>
      <w:pPr>
        <w:numPr>
          <w:ilvl w:val="0"/>
          <w:numId w:val="83"/>
        </w:numPr>
        <w:spacing w:after="80" w:line="300" w:lineRule="auto"/>
      </w:pPr>
      <w:r>
        <w:rPr>
          <w:rFonts w:ascii="Calibri" w:hAnsi="Calibri"/>
          <w:color w:val="222222"/>
        </w:rPr>
        <w:t>Access approval does not establish scientific comparability.</w:t>
      </w:r>
    </w:p>
    <w:p>
      <w:pPr>
        <w:numPr>
          <w:ilvl w:val="0"/>
          <w:numId w:val="83"/>
        </w:numPr>
        <w:spacing w:after="80" w:line="300" w:lineRule="auto"/>
      </w:pPr>
      <w:r>
        <w:rPr>
          <w:rFonts w:ascii="Calibri" w:hAnsi="Calibri"/>
          <w:color w:val="222222"/>
        </w:rPr>
        <w:t>If rules conflict or remain unclear, pause the affected data movement and seek the resource's official support channel.</w:t>
      </w:r>
    </w:p>
    <w:p>
      <w:pPr>
        <w:pStyle w:val="Heading2"/>
      </w:pPr>
      <w:r>
        <w:rPr>
          <w:rFonts w:ascii="Calibri" w:hAnsi="Calibri"/>
          <w:color w:val="222222"/>
        </w:rPr>
        <w:t>8. Knowledge check</w:t>
      </w:r>
    </w:p>
    <w:p>
      <w:r>
        <w:rPr>
          <w:rFonts w:ascii="Calibri" w:hAnsi="Calibri"/>
          <w:b/>
          <w:color w:val="222222"/>
        </w:rPr>
        <w:t>KC5-01.</w:t>
      </w:r>
      <w:r>
        <w:rPr>
          <w:rFonts w:ascii="Calibri" w:hAnsi="Calibri"/>
          <w:color w:val="222222"/>
        </w:rPr>
        <w:t xml:space="preserve"> What is the most accurate access description for MoTrPAC?</w:t>
      </w:r>
    </w:p>
    <w:p>
      <w:r>
        <w:rPr>
          <w:rFonts w:ascii="Calibri" w:hAnsi="Calibri"/>
          <w:color w:val="222222"/>
        </w:rPr>
        <w:t>A. Every MoTrPAC dataset requires registration.</w:t>
      </w:r>
    </w:p>
    <w:p>
      <w:r>
        <w:rPr>
          <w:rFonts w:ascii="Calibri" w:hAnsi="Calibri"/>
          <w:color w:val="222222"/>
        </w:rPr>
        <w:t>B. Every MoTrPAC dataset is fully open.</w:t>
      </w:r>
    </w:p>
    <w:p>
      <w:r>
        <w:rPr>
          <w:rFonts w:ascii="Calibri" w:hAnsi="Calibri"/>
          <w:color w:val="222222"/>
        </w:rPr>
        <w:t>C. Access is dataset- and release-dependent; public and restricted paths exist and must be verified.</w:t>
      </w:r>
    </w:p>
    <w:p>
      <w:r>
        <w:rPr>
          <w:rFonts w:ascii="Calibri" w:hAnsi="Calibri"/>
          <w:color w:val="222222"/>
        </w:rPr>
        <w:t>D. MoTrPAC data can be used only inside All of Us.</w:t>
      </w:r>
    </w:p>
    <w:p>
      <w:r>
        <w:rPr>
          <w:rFonts w:ascii="Calibri" w:hAnsi="Calibri"/>
          <w:b/>
          <w:color w:val="222222"/>
        </w:rPr>
        <w:t>KC5-02.</w:t>
      </w:r>
      <w:r>
        <w:rPr>
          <w:rFonts w:ascii="Calibri" w:hAnsi="Calibri"/>
          <w:color w:val="222222"/>
        </w:rPr>
        <w:t xml:space="preserve"> What should move into a controlled-compute environment?</w:t>
      </w:r>
    </w:p>
    <w:p>
      <w:r>
        <w:rPr>
          <w:rFonts w:ascii="Calibri" w:hAnsi="Calibri"/>
          <w:color w:val="222222"/>
        </w:rPr>
        <w:t>A. Approved analysis code and public reference resources that comply with environment policy.</w:t>
      </w:r>
    </w:p>
    <w:p>
      <w:r>
        <w:rPr>
          <w:rFonts w:ascii="Calibri" w:hAnsi="Calibri"/>
          <w:color w:val="222222"/>
        </w:rPr>
        <w:t>B. A public link that silently downloads participant data to a local laptop.</w:t>
      </w:r>
    </w:p>
    <w:p>
      <w:r>
        <w:rPr>
          <w:rFonts w:ascii="Calibri" w:hAnsi="Calibri"/>
          <w:color w:val="222222"/>
        </w:rPr>
        <w:t>C. Shared credentials.</w:t>
      </w:r>
    </w:p>
    <w:p>
      <w:r>
        <w:rPr>
          <w:rFonts w:ascii="Calibri" w:hAnsi="Calibri"/>
          <w:color w:val="222222"/>
        </w:rPr>
        <w:t>D. A module cache populated with participant-level records.</w:t>
      </w:r>
    </w:p>
    <w:p>
      <w:r>
        <w:rPr>
          <w:rFonts w:ascii="Calibri" w:hAnsi="Calibri"/>
          <w:b/>
          <w:color w:val="222222"/>
        </w:rPr>
        <w:t>KC5-03.</w:t>
      </w:r>
      <w:r>
        <w:rPr>
          <w:rFonts w:ascii="Calibri" w:hAnsi="Calibri"/>
          <w:color w:val="222222"/>
        </w:rPr>
        <w:t xml:space="preserve"> A dataset is publicly downloadable and scientifically incompatible with your target estimand. What is the correct decision?</w:t>
      </w:r>
    </w:p>
    <w:p>
      <w:r>
        <w:rPr>
          <w:rFonts w:ascii="Calibri" w:hAnsi="Calibri"/>
          <w:color w:val="222222"/>
        </w:rPr>
        <w:t>A. Pool it because access is open.</w:t>
      </w:r>
    </w:p>
    <w:p>
      <w:r>
        <w:rPr>
          <w:rFonts w:ascii="Calibri" w:hAnsi="Calibri"/>
          <w:color w:val="222222"/>
        </w:rPr>
        <w:t>B. Treat access and scientific compatibility separately; revise or stop the integration.</w:t>
      </w:r>
    </w:p>
    <w:p>
      <w:r>
        <w:rPr>
          <w:rFonts w:ascii="Calibri" w:hAnsi="Calibri"/>
          <w:color w:val="222222"/>
        </w:rPr>
        <w:t>C. Standardize names and ignore the design.</w:t>
      </w:r>
    </w:p>
    <w:p>
      <w:r>
        <w:rPr>
          <w:rFonts w:ascii="Calibri" w:hAnsi="Calibri"/>
          <w:color w:val="222222"/>
        </w:rPr>
        <w:t>D. Call it controlled access.</w:t>
      </w:r>
    </w:p>
    <w:p>
      <w:pPr>
        <w:pStyle w:val="Heading2"/>
      </w:pPr>
      <w:r>
        <w:rPr>
          <w:rFonts w:ascii="Calibri" w:hAnsi="Calibri"/>
          <w:color w:val="222222"/>
        </w:rPr>
        <w:t>9. Posttest and transfer commitment</w:t>
      </w:r>
    </w:p>
    <w:p>
      <w:r>
        <w:rPr>
          <w:rFonts w:ascii="Calibri" w:hAnsi="Calibri"/>
          <w:color w:val="222222"/>
        </w:rPr>
        <w:t xml:space="preserve">Complete </w:t>
      </w:r>
      <w:r>
        <w:rPr>
          <w:rFonts w:ascii="Consolas" w:hAnsi="Consolas"/>
          <w:color w:val="1F4D78"/>
          <w:sz w:val="21"/>
          <w:shd w:fill="EEF1F4"/>
        </w:rPr>
        <w:t>module/assessments/posttest.json</w:t>
      </w:r>
      <w:r>
        <w:rPr>
          <w:rFonts w:ascii="Calibri" w:hAnsi="Calibri"/>
          <w:color w:val="222222"/>
        </w:rPr>
        <w:t xml:space="preserve"> through the delivery platform, then finish this statement:</w:t>
      </w:r>
    </w:p>
    <w:p>
      <w:pPr>
        <w:spacing w:before="100" w:after="120"/>
        <w:ind w:left="259" w:right="115"/>
        <w:shd w:fill="F4F6F9"/>
        <w:pBdr>
          <w:left w:val="single" w:sz="16" w:space="8" w:color="2E74B5"/>
        </w:pBdr>
      </w:pPr>
      <w:r>
        <w:rPr>
          <w:rFonts w:ascii="Calibri" w:hAnsi="Calibri"/>
          <w:color w:val="1F4D78"/>
        </w:rPr>
        <w:t>Within the next month, I will apply the workflow to ________. My first evidence check will be ________, and the first incompatibility I will test is ________.</w:t>
      </w:r>
    </w:p>
    <w:p>
      <w:pPr>
        <w:pStyle w:val="Heading2"/>
      </w:pPr>
      <w:r>
        <w:rPr>
          <w:rFonts w:ascii="Calibri" w:hAnsi="Calibri"/>
          <w:color w:val="222222"/>
        </w:rPr>
        <w:t>Take-home message</w:t>
      </w:r>
    </w:p>
    <w:p>
      <w:r>
        <w:rPr>
          <w:rFonts w:ascii="Calibri" w:hAnsi="Calibri"/>
          <w:color w:val="222222"/>
        </w:rPr>
        <w:t>The harmonization workflow transfers when its logic, provenance, and guardrails are preserved. Access changes the analysis architecture; study design changes the claims. Both must be checked before data move or models run.</w:t>
      </w:r>
    </w:p>
    <w:p>
      <w:pPr>
        <w:pStyle w:val="Heading2"/>
      </w:pPr>
      <w:r>
        <w:rPr>
          <w:rFonts w:ascii="Calibri" w:hAnsi="Calibri"/>
          <w:color w:val="222222"/>
        </w:rPr>
        <w:t>Primary sources and first-party documentation</w:t>
      </w:r>
    </w:p>
    <w:p>
      <w:pPr>
        <w:numPr>
          <w:ilvl w:val="0"/>
          <w:numId w:val="84"/>
        </w:numPr>
        <w:spacing w:after="0" w:line="240" w:lineRule="auto"/>
      </w:pPr>
      <w:r>
        <w:rPr>
          <w:rFonts w:ascii="Calibri" w:hAnsi="Calibri"/>
          <w:color w:val="222222"/>
        </w:rPr>
        <w:t xml:space="preserve">MoTrPAC. </w:t>
      </w:r>
      <w:hyperlink r:id="rId15">
        <w:r>
          <w:rPr>
            <w:rFonts w:ascii="Calibri" w:hAnsi="Calibri"/>
            <w:color w:val="2E74B5"/>
            <w:u w:val="single"/>
            <w:sz w:val="22"/>
          </w:rPr>
          <w:t>Data access FAQ</w:t>
        </w:r>
      </w:hyperlink>
      <w:r>
        <w:rPr>
          <w:rFonts w:ascii="Calibri" w:hAnsi="Calibri"/>
          <w:color w:val="222222"/>
        </w:rPr>
        <w:t>. Accessed August 10, 2026.</w:t>
      </w:r>
    </w:p>
    <w:p>
      <w:pPr>
        <w:numPr>
          <w:ilvl w:val="0"/>
          <w:numId w:val="84"/>
        </w:numPr>
        <w:spacing w:after="0" w:line="240" w:lineRule="auto"/>
      </w:pPr>
      <w:r>
        <w:rPr>
          <w:rFonts w:ascii="Calibri" w:hAnsi="Calibri"/>
          <w:color w:val="222222"/>
        </w:rPr>
        <w:t xml:space="preserve">MoTrPAC. </w:t>
      </w:r>
      <w:hyperlink r:id="rId16">
        <w:r>
          <w:rPr>
            <w:rFonts w:ascii="Calibri" w:hAnsi="Calibri"/>
            <w:color w:val="2E74B5"/>
            <w:u w:val="single"/>
            <w:sz w:val="22"/>
          </w:rPr>
          <w:t>Data Hub access documentation</w:t>
        </w:r>
      </w:hyperlink>
      <w:r>
        <w:rPr>
          <w:rFonts w:ascii="Calibri" w:hAnsi="Calibri"/>
          <w:color w:val="222222"/>
        </w:rPr>
        <w:t xml:space="preserve"> and </w:t>
      </w:r>
      <w:hyperlink r:id="rId33">
        <w:r>
          <w:rPr>
            <w:rFonts w:ascii="Calibri" w:hAnsi="Calibri"/>
            <w:color w:val="2E74B5"/>
            <w:u w:val="single"/>
            <w:sz w:val="22"/>
          </w:rPr>
          <w:t>consortium/restricted onboarding</w:t>
        </w:r>
      </w:hyperlink>
      <w:r>
        <w:rPr>
          <w:rFonts w:ascii="Calibri" w:hAnsi="Calibri"/>
          <w:color w:val="222222"/>
        </w:rPr>
        <w:t>. Accessed August 10, 2026.</w:t>
      </w:r>
    </w:p>
    <w:p>
      <w:pPr>
        <w:numPr>
          <w:ilvl w:val="0"/>
          <w:numId w:val="84"/>
        </w:numPr>
        <w:spacing w:after="0" w:line="240" w:lineRule="auto"/>
      </w:pPr>
      <w:r>
        <w:rPr>
          <w:rFonts w:ascii="Calibri" w:hAnsi="Calibri"/>
          <w:color w:val="222222"/>
        </w:rPr>
        <w:t xml:space="preserve">NIH Common Fund. </w:t>
      </w:r>
      <w:hyperlink r:id="rId17">
        <w:r>
          <w:rPr>
            <w:rFonts w:ascii="Calibri" w:hAnsi="Calibri"/>
            <w:color w:val="2E74B5"/>
            <w:u w:val="single"/>
            <w:sz w:val="22"/>
          </w:rPr>
          <w:t>Nutrition for Precision Health FAQ</w:t>
        </w:r>
      </w:hyperlink>
      <w:r>
        <w:rPr>
          <w:rFonts w:ascii="Calibri" w:hAnsi="Calibri"/>
          <w:color w:val="222222"/>
        </w:rPr>
        <w:t>. Accessed August 10, 2026.</w:t>
      </w:r>
    </w:p>
    <w:p>
      <w:pPr>
        <w:numPr>
          <w:ilvl w:val="0"/>
          <w:numId w:val="84"/>
        </w:numPr>
        <w:spacing w:after="0" w:line="240" w:lineRule="auto"/>
      </w:pPr>
      <w:r>
        <w:rPr>
          <w:rFonts w:ascii="Calibri" w:hAnsi="Calibri"/>
          <w:color w:val="222222"/>
        </w:rPr>
        <w:t xml:space="preserve">All of Us Research Program. </w:t>
      </w:r>
      <w:hyperlink r:id="rId22">
        <w:r>
          <w:rPr>
            <w:rFonts w:ascii="Calibri" w:hAnsi="Calibri"/>
            <w:color w:val="2E74B5"/>
            <w:u w:val="single"/>
            <w:sz w:val="22"/>
          </w:rPr>
          <w:t>Researcher Workbench overview</w:t>
        </w:r>
      </w:hyperlink>
      <w:r>
        <w:rPr>
          <w:rFonts w:ascii="Calibri" w:hAnsi="Calibri"/>
          <w:color w:val="222222"/>
        </w:rPr>
        <w:t>. Accessed August 10, 2026.</w:t>
      </w:r>
    </w:p>
    <w:p>
      <w:pPr>
        <w:numPr>
          <w:ilvl w:val="0"/>
          <w:numId w:val="84"/>
        </w:numPr>
        <w:spacing w:after="0" w:line="240" w:lineRule="auto"/>
      </w:pPr>
      <w:r>
        <w:rPr>
          <w:rFonts w:ascii="Calibri" w:hAnsi="Calibri"/>
          <w:color w:val="222222"/>
        </w:rPr>
        <w:t xml:space="preserve">All of Us Research Program. </w:t>
      </w:r>
      <w:hyperlink r:id="rId34">
        <w:r>
          <w:rPr>
            <w:rFonts w:ascii="Calibri" w:hAnsi="Calibri"/>
            <w:color w:val="2E74B5"/>
            <w:u w:val="single"/>
            <w:sz w:val="22"/>
          </w:rPr>
          <w:t>Policy questions and dissemination guidance</w:t>
        </w:r>
      </w:hyperlink>
      <w:r>
        <w:rPr>
          <w:rFonts w:ascii="Calibri" w:hAnsi="Calibri"/>
          <w:color w:val="222222"/>
        </w:rPr>
        <w:t>. Accessed August 10, 2026.</w:t>
      </w:r>
    </w:p>
    <w:p>
      <w:pPr>
        <w:numPr>
          <w:ilvl w:val="0"/>
          <w:numId w:val="84"/>
        </w:numPr>
        <w:spacing w:after="0" w:line="240" w:lineRule="auto"/>
      </w:pPr>
      <w:r>
        <w:rPr>
          <w:rFonts w:ascii="Calibri" w:hAnsi="Calibri"/>
          <w:color w:val="222222"/>
        </w:rPr>
        <w:t xml:space="preserve">All of Us Research Program. </w:t>
      </w:r>
      <w:hyperlink r:id="rId35">
        <w:r>
          <w:rPr>
            <w:rFonts w:ascii="Calibri" w:hAnsi="Calibri"/>
            <w:color w:val="2E74B5"/>
            <w:u w:val="single"/>
            <w:sz w:val="22"/>
          </w:rPr>
          <w:t>Research project directory and access-tier requirements</w:t>
        </w:r>
      </w:hyperlink>
      <w:r>
        <w:rPr>
          <w:rFonts w:ascii="Calibri" w:hAnsi="Calibri"/>
          <w:color w:val="222222"/>
        </w:rPr>
        <w:t>. Accessed August 10, 2026.</w:t>
      </w:r>
    </w:p>
    <w:p>
      <w:pPr>
        <w:pStyle w:val="Heading1"/>
        <w:pageBreakBefore/>
      </w:pPr>
      <w:r>
        <w:t>Learner posttest</w:t>
      </w:r>
    </w:p>
    <w:p>
      <w:pPr>
        <w:spacing w:after="160"/>
      </w:pPr>
      <w:r>
        <w:rPr>
          <w:rFonts w:ascii="Calibri" w:hAnsi="Calibri"/>
          <w:color w:val="222222"/>
        </w:rPr>
        <w:t>Complete after all five lessons and the notebook. The delivery platform should hide answers and rationales until submission.</w:t>
      </w:r>
    </w:p>
    <w:p>
      <w:pPr>
        <w:spacing w:after="200"/>
      </w:pPr>
      <w:r>
        <w:rPr>
          <w:rFonts w:ascii="Calibri" w:hAnsi="Calibri"/>
          <w:color w:val="222222"/>
        </w:rPr>
        <w:t>Estimated time: 8 minutes</w:t>
      </w:r>
    </w:p>
    <w:p>
      <w:pPr>
        <w:pStyle w:val="Heading2"/>
        <w:keepNext/>
      </w:pPr>
      <w:r>
        <w:rPr>
          <w:rFonts w:ascii="Calibri" w:hAnsi="Calibri"/>
          <w:color w:val="222222"/>
        </w:rPr>
        <w:t>1. The ST001521 factors response contains 160 rows. Which interpretation is supported by the module audit?</w:t>
      </w:r>
    </w:p>
    <w:p>
      <w:pPr>
        <w:keepNext/>
        <w:spacing w:after="60"/>
        <w:ind w:left="547" w:hanging="317"/>
      </w:pPr>
      <w:r>
        <w:rPr>
          <w:rFonts w:ascii="Calibri" w:hAnsi="Calibri"/>
          <w:b/>
          <w:color w:val="1F4D78"/>
        </w:rPr>
        <w:t xml:space="preserve">[ ] A. </w:t>
      </w:r>
      <w:r>
        <w:rPr>
          <w:rFonts w:ascii="Calibri" w:hAnsi="Calibri"/>
          <w:color w:val="222222"/>
        </w:rPr>
        <w:t>There are 160 independent participants.</w:t>
      </w:r>
    </w:p>
    <w:p>
      <w:pPr>
        <w:keepNext/>
        <w:spacing w:after="60"/>
        <w:ind w:left="547" w:hanging="317"/>
      </w:pPr>
      <w:r>
        <w:rPr>
          <w:rFonts w:ascii="Calibri" w:hAnsi="Calibri"/>
          <w:b/>
          <w:color w:val="1F4D78"/>
        </w:rPr>
        <w:t xml:space="preserve">[ ] B. </w:t>
      </w:r>
      <w:r>
        <w:rPr>
          <w:rFonts w:ascii="Calibri" w:hAnsi="Calibri"/>
          <w:color w:val="222222"/>
        </w:rPr>
        <w:t>There are 150 participant-timepoint rows and 10 pooled QPP quality-control rows in the current record.</w:t>
      </w:r>
    </w:p>
    <w:p>
      <w:pPr>
        <w:keepNext/>
        <w:spacing w:after="60"/>
        <w:ind w:left="547" w:hanging="317"/>
      </w:pPr>
      <w:r>
        <w:rPr>
          <w:rFonts w:ascii="Calibri" w:hAnsi="Calibri"/>
          <w:b/>
          <w:color w:val="1F4D78"/>
        </w:rPr>
        <w:t xml:space="preserve">[ ] C. </w:t>
      </w:r>
      <w:r>
        <w:rPr>
          <w:rFonts w:ascii="Calibri" w:hAnsi="Calibri"/>
          <w:color w:val="222222"/>
        </w:rPr>
        <w:t>There are 40 participants measured four times.</w:t>
      </w:r>
    </w:p>
    <w:p>
      <w:pPr>
        <w:keepNext/>
        <w:spacing w:after="60"/>
        <w:ind w:left="547" w:hanging="317"/>
      </w:pPr>
      <w:r>
        <w:rPr>
          <w:rFonts w:ascii="Calibri" w:hAnsi="Calibri"/>
          <w:b/>
          <w:color w:val="1F4D78"/>
        </w:rPr>
        <w:t xml:space="preserve">[ ] D. </w:t>
      </w:r>
      <w:r>
        <w:rPr>
          <w:rFonts w:ascii="Calibri" w:hAnsi="Calibri"/>
          <w:color w:val="222222"/>
        </w:rPr>
        <w:t>The 10 QPP rows should be treated as a fourth diet group.</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2. How should the ST001521 plasma and ST003348 serum specimens be handled?</w:t>
      </w:r>
    </w:p>
    <w:p>
      <w:pPr>
        <w:keepNext/>
        <w:spacing w:after="60"/>
        <w:ind w:left="547" w:hanging="317"/>
      </w:pPr>
      <w:r>
        <w:rPr>
          <w:rFonts w:ascii="Calibri" w:hAnsi="Calibri"/>
          <w:b/>
          <w:color w:val="1F4D78"/>
        </w:rPr>
        <w:t xml:space="preserve">[ ] A. </w:t>
      </w:r>
      <w:r>
        <w:rPr>
          <w:rFonts w:ascii="Calibri" w:hAnsi="Calibri"/>
          <w:color w:val="222222"/>
        </w:rPr>
        <w:t>Rename both blood and pool their peak areas.</w:t>
      </w:r>
    </w:p>
    <w:p>
      <w:pPr>
        <w:keepNext/>
        <w:spacing w:after="60"/>
        <w:ind w:left="547" w:hanging="317"/>
      </w:pPr>
      <w:r>
        <w:rPr>
          <w:rFonts w:ascii="Calibri" w:hAnsi="Calibri"/>
          <w:b/>
          <w:color w:val="1F4D78"/>
        </w:rPr>
        <w:t xml:space="preserve">[ ] B. </w:t>
      </w:r>
      <w:r>
        <w:rPr>
          <w:rFonts w:ascii="Calibri" w:hAnsi="Calibri"/>
          <w:color w:val="222222"/>
        </w:rPr>
        <w:t>Keep exact matrix labels, optionally use a broader blood-derived-fluid category for discovery, and prohibit matrix-equivalent quantitative pooling.</w:t>
      </w:r>
    </w:p>
    <w:p>
      <w:pPr>
        <w:keepNext/>
        <w:spacing w:after="60"/>
        <w:ind w:left="547" w:hanging="317"/>
      </w:pPr>
      <w:r>
        <w:rPr>
          <w:rFonts w:ascii="Calibri" w:hAnsi="Calibri"/>
          <w:b/>
          <w:color w:val="1F4D78"/>
        </w:rPr>
        <w:t xml:space="preserve">[ ] C. </w:t>
      </w:r>
      <w:r>
        <w:rPr>
          <w:rFonts w:ascii="Calibri" w:hAnsi="Calibri"/>
          <w:color w:val="222222"/>
        </w:rPr>
        <w:t>Discard both studies.</w:t>
      </w:r>
    </w:p>
    <w:p>
      <w:pPr>
        <w:keepNext/>
        <w:spacing w:after="60"/>
        <w:ind w:left="547" w:hanging="317"/>
      </w:pPr>
      <w:r>
        <w:rPr>
          <w:rFonts w:ascii="Calibri" w:hAnsi="Calibri"/>
          <w:b/>
          <w:color w:val="1F4D78"/>
        </w:rPr>
        <w:t xml:space="preserve">[ ] D. </w:t>
      </w:r>
      <w:r>
        <w:rPr>
          <w:rFonts w:ascii="Calibri" w:hAnsi="Calibri"/>
          <w:color w:val="222222"/>
        </w:rPr>
        <w:t>Convert serum to plasma using z-scores.</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3. Why should ST001521 Day 9 not be mapped to ST003348 REC3 as a generic post timepoint?</w:t>
      </w:r>
    </w:p>
    <w:p>
      <w:pPr>
        <w:keepNext/>
        <w:spacing w:after="60"/>
        <w:ind w:left="547" w:hanging="317"/>
      </w:pPr>
      <w:r>
        <w:rPr>
          <w:rFonts w:ascii="Calibri" w:hAnsi="Calibri"/>
          <w:b/>
          <w:color w:val="1F4D78"/>
        </w:rPr>
        <w:t xml:space="preserve">[ ] A. </w:t>
      </w:r>
      <w:r>
        <w:rPr>
          <w:rFonts w:ascii="Calibri" w:hAnsi="Calibri"/>
          <w:color w:val="222222"/>
        </w:rPr>
        <w:t>Day 9 is not numeric.</w:t>
      </w:r>
    </w:p>
    <w:p>
      <w:pPr>
        <w:keepNext/>
        <w:spacing w:after="60"/>
        <w:ind w:left="547" w:hanging="317"/>
      </w:pPr>
      <w:r>
        <w:rPr>
          <w:rFonts w:ascii="Calibri" w:hAnsi="Calibri"/>
          <w:b/>
          <w:color w:val="1F4D78"/>
        </w:rPr>
        <w:t xml:space="preserve">[ ] B. </w:t>
      </w:r>
      <w:r>
        <w:rPr>
          <w:rFonts w:ascii="Calibri" w:hAnsi="Calibri"/>
          <w:color w:val="222222"/>
        </w:rPr>
        <w:t>Day 9 belongs to a feeding and antibiotic/PEG protocol, while REC3 is 3 hours after an endurance exercise bout.</w:t>
      </w:r>
    </w:p>
    <w:p>
      <w:pPr>
        <w:keepNext/>
        <w:spacing w:after="60"/>
        <w:ind w:left="547" w:hanging="317"/>
      </w:pPr>
      <w:r>
        <w:rPr>
          <w:rFonts w:ascii="Calibri" w:hAnsi="Calibri"/>
          <w:b/>
          <w:color w:val="1F4D78"/>
        </w:rPr>
        <w:t xml:space="preserve">[ ] C. </w:t>
      </w:r>
      <w:r>
        <w:rPr>
          <w:rFonts w:ascii="Calibri" w:hAnsi="Calibri"/>
          <w:color w:val="222222"/>
        </w:rPr>
        <w:t>REC3 is a quality-control sample.</w:t>
      </w:r>
    </w:p>
    <w:p>
      <w:pPr>
        <w:keepNext/>
        <w:spacing w:after="60"/>
        <w:ind w:left="547" w:hanging="317"/>
      </w:pPr>
      <w:r>
        <w:rPr>
          <w:rFonts w:ascii="Calibri" w:hAnsi="Calibri"/>
          <w:b/>
          <w:color w:val="1F4D78"/>
        </w:rPr>
        <w:t xml:space="preserve">[ ] D. </w:t>
      </w:r>
      <w:r>
        <w:rPr>
          <w:rFonts w:ascii="Calibri" w:hAnsi="Calibri"/>
          <w:color w:val="222222"/>
        </w:rPr>
        <w:t>Metabolomics Workbench prohibits time mapping.</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4. Which statement best describes a direct cross-study diet-versus-exercise quantitative contrast?</w:t>
      </w:r>
    </w:p>
    <w:p>
      <w:pPr>
        <w:keepNext/>
        <w:spacing w:after="60"/>
        <w:ind w:left="547" w:hanging="317"/>
      </w:pPr>
      <w:r>
        <w:rPr>
          <w:rFonts w:ascii="Calibri" w:hAnsi="Calibri"/>
          <w:b/>
          <w:color w:val="1F4D78"/>
        </w:rPr>
        <w:t xml:space="preserve">[ ] A. </w:t>
      </w:r>
      <w:r>
        <w:rPr>
          <w:rFonts w:ascii="Calibri" w:hAnsi="Calibri"/>
          <w:color w:val="222222"/>
        </w:rPr>
        <w:t>It isolates phenotype because both studies use LC-MS.</w:t>
      </w:r>
    </w:p>
    <w:p>
      <w:pPr>
        <w:keepNext/>
        <w:spacing w:after="60"/>
        <w:ind w:left="547" w:hanging="317"/>
      </w:pPr>
      <w:r>
        <w:rPr>
          <w:rFonts w:ascii="Calibri" w:hAnsi="Calibri"/>
          <w:b/>
          <w:color w:val="1F4D78"/>
        </w:rPr>
        <w:t xml:space="preserve">[ ] B. </w:t>
      </w:r>
      <w:r>
        <w:rPr>
          <w:rFonts w:ascii="Calibri" w:hAnsi="Calibri"/>
          <w:color w:val="222222"/>
        </w:rPr>
        <w:t>It is confounded by study, population, matrix, laboratory, platform implementation, time, and protocol, so the module does not use it for causal inference.</w:t>
      </w:r>
    </w:p>
    <w:p>
      <w:pPr>
        <w:keepNext/>
        <w:spacing w:after="60"/>
        <w:ind w:left="547" w:hanging="317"/>
      </w:pPr>
      <w:r>
        <w:rPr>
          <w:rFonts w:ascii="Calibri" w:hAnsi="Calibri"/>
          <w:b/>
          <w:color w:val="1F4D78"/>
        </w:rPr>
        <w:t xml:space="preserve">[ ] C. </w:t>
      </w:r>
      <w:r>
        <w:rPr>
          <w:rFonts w:ascii="Calibri" w:hAnsi="Calibri"/>
          <w:color w:val="222222"/>
        </w:rPr>
        <w:t>It becomes causal after RefMet mapping.</w:t>
      </w:r>
    </w:p>
    <w:p>
      <w:pPr>
        <w:keepNext/>
        <w:spacing w:after="60"/>
        <w:ind w:left="547" w:hanging="317"/>
      </w:pPr>
      <w:r>
        <w:rPr>
          <w:rFonts w:ascii="Calibri" w:hAnsi="Calibri"/>
          <w:b/>
          <w:color w:val="1F4D78"/>
        </w:rPr>
        <w:t xml:space="preserve">[ ] D. </w:t>
      </w:r>
      <w:r>
        <w:rPr>
          <w:rFonts w:ascii="Calibri" w:hAnsi="Calibri"/>
          <w:color w:val="222222"/>
        </w:rPr>
        <w:t>It is valid whenever sample sizes exceed 20.</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5. ST003348 contains isotope/internal-standard labels that map to ordinary RefMet names. What should the biological overlap workflow do?</w:t>
      </w:r>
    </w:p>
    <w:p>
      <w:pPr>
        <w:keepNext/>
        <w:spacing w:after="60"/>
        <w:ind w:left="547" w:hanging="317"/>
      </w:pPr>
      <w:r>
        <w:rPr>
          <w:rFonts w:ascii="Calibri" w:hAnsi="Calibri"/>
          <w:b/>
          <w:color w:val="1F4D78"/>
        </w:rPr>
        <w:t xml:space="preserve">[ ] A. </w:t>
      </w:r>
      <w:r>
        <w:rPr>
          <w:rFonts w:ascii="Calibri" w:hAnsi="Calibri"/>
          <w:color w:val="222222"/>
        </w:rPr>
        <w:t>Count them as endogenous overlaps because RefMet is nonblank.</w:t>
      </w:r>
    </w:p>
    <w:p>
      <w:pPr>
        <w:keepNext/>
        <w:spacing w:after="60"/>
        <w:ind w:left="547" w:hanging="317"/>
      </w:pPr>
      <w:r>
        <w:rPr>
          <w:rFonts w:ascii="Calibri" w:hAnsi="Calibri"/>
          <w:b/>
          <w:color w:val="1F4D78"/>
        </w:rPr>
        <w:t xml:space="preserve">[ ] B. </w:t>
      </w:r>
      <w:r>
        <w:rPr>
          <w:rFonts w:ascii="Calibri" w:hAnsi="Calibri"/>
          <w:color w:val="222222"/>
        </w:rPr>
        <w:t>Preserve the source labels, classify their nonbiological analytical role, and exclude them from biological overlap with a reason.</w:t>
      </w:r>
    </w:p>
    <w:p>
      <w:pPr>
        <w:keepNext/>
        <w:spacing w:after="60"/>
        <w:ind w:left="547" w:hanging="317"/>
      </w:pPr>
      <w:r>
        <w:rPr>
          <w:rFonts w:ascii="Calibri" w:hAnsi="Calibri"/>
          <w:b/>
          <w:color w:val="1F4D78"/>
        </w:rPr>
        <w:t xml:space="preserve">[ ] C. </w:t>
      </w:r>
      <w:r>
        <w:rPr>
          <w:rFonts w:ascii="Calibri" w:hAnsi="Calibri"/>
          <w:color w:val="222222"/>
        </w:rPr>
        <w:t>Delete them without a record.</w:t>
      </w:r>
    </w:p>
    <w:p>
      <w:pPr>
        <w:keepNext/>
        <w:spacing w:after="60"/>
        <w:ind w:left="547" w:hanging="317"/>
      </w:pPr>
      <w:r>
        <w:rPr>
          <w:rFonts w:ascii="Calibri" w:hAnsi="Calibri"/>
          <w:b/>
          <w:color w:val="1F4D78"/>
        </w:rPr>
        <w:t xml:space="preserve">[ ] D. </w:t>
      </w:r>
      <w:r>
        <w:rPr>
          <w:rFonts w:ascii="Calibri" w:hAnsi="Calibri"/>
          <w:color w:val="222222"/>
        </w:rPr>
        <w:t>Use them to calibrate ST001521 automatically.</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6. Two source features in one analysis map to the same RefMet name. What is the reproducible approach?</w:t>
      </w:r>
    </w:p>
    <w:p>
      <w:pPr>
        <w:keepNext/>
        <w:spacing w:after="60"/>
        <w:ind w:left="547" w:hanging="317"/>
      </w:pPr>
      <w:r>
        <w:rPr>
          <w:rFonts w:ascii="Calibri" w:hAnsi="Calibri"/>
          <w:b/>
          <w:color w:val="1F4D78"/>
        </w:rPr>
        <w:t xml:space="preserve">[ ] A. </w:t>
      </w:r>
      <w:r>
        <w:rPr>
          <w:rFonts w:ascii="Calibri" w:hAnsi="Calibri"/>
          <w:color w:val="222222"/>
        </w:rPr>
        <w:t>Average their intensities immediately and discard source IDs.</w:t>
      </w:r>
    </w:p>
    <w:p>
      <w:pPr>
        <w:keepNext/>
        <w:spacing w:after="60"/>
        <w:ind w:left="547" w:hanging="317"/>
      </w:pPr>
      <w:r>
        <w:rPr>
          <w:rFonts w:ascii="Calibri" w:hAnsi="Calibri"/>
          <w:b/>
          <w:color w:val="1F4D78"/>
        </w:rPr>
        <w:t xml:space="preserve">[ ] B. </w:t>
      </w:r>
      <w:r>
        <w:rPr>
          <w:rFonts w:ascii="Calibri" w:hAnsi="Calibri"/>
          <w:color w:val="222222"/>
        </w:rPr>
        <w:t>Keep feature-level rows and provenance, flag the many-to-one mapping, and define a separate collapse rule for any set-level summary.</w:t>
      </w:r>
    </w:p>
    <w:p>
      <w:pPr>
        <w:keepNext/>
        <w:spacing w:after="60"/>
        <w:ind w:left="547" w:hanging="317"/>
      </w:pPr>
      <w:r>
        <w:rPr>
          <w:rFonts w:ascii="Calibri" w:hAnsi="Calibri"/>
          <w:b/>
          <w:color w:val="1F4D78"/>
        </w:rPr>
        <w:t xml:space="preserve">[ ] C. </w:t>
      </w:r>
      <w:r>
        <w:rPr>
          <w:rFonts w:ascii="Calibri" w:hAnsi="Calibri"/>
          <w:color w:val="222222"/>
        </w:rPr>
        <w:t>Choose the feature with the larger mean.</w:t>
      </w:r>
    </w:p>
    <w:p>
      <w:pPr>
        <w:keepNext/>
        <w:spacing w:after="60"/>
        <w:ind w:left="547" w:hanging="317"/>
      </w:pPr>
      <w:r>
        <w:rPr>
          <w:rFonts w:ascii="Calibri" w:hAnsi="Calibri"/>
          <w:b/>
          <w:color w:val="1F4D78"/>
        </w:rPr>
        <w:t xml:space="preserve">[ ] D. </w:t>
      </w:r>
      <w:r>
        <w:rPr>
          <w:rFonts w:ascii="Calibri" w:hAnsi="Calibri"/>
          <w:color w:val="222222"/>
        </w:rPr>
        <w:t>Count the RefMet name twice in the overlap set.</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7. Which overlap report matches the audited module build?</w:t>
      </w:r>
    </w:p>
    <w:p>
      <w:pPr>
        <w:keepNext/>
        <w:spacing w:after="60"/>
        <w:ind w:left="547" w:hanging="317"/>
      </w:pPr>
      <w:r>
        <w:rPr>
          <w:rFonts w:ascii="Calibri" w:hAnsi="Calibri"/>
          <w:b/>
          <w:color w:val="1F4D78"/>
        </w:rPr>
        <w:t xml:space="preserve">[ ] A. </w:t>
      </w:r>
      <w:r>
        <w:rPr>
          <w:rFonts w:ascii="Calibri" w:hAnsi="Calibri"/>
          <w:color w:val="222222"/>
        </w:rPr>
        <w:t>153 proven shared biological responses</w:t>
      </w:r>
    </w:p>
    <w:p>
      <w:pPr>
        <w:keepNext/>
        <w:spacing w:after="60"/>
        <w:ind w:left="547" w:hanging="317"/>
      </w:pPr>
      <w:r>
        <w:rPr>
          <w:rFonts w:ascii="Calibri" w:hAnsi="Calibri"/>
          <w:b/>
          <w:color w:val="1F4D78"/>
        </w:rPr>
        <w:t xml:space="preserve">[ ] B. </w:t>
      </w:r>
      <w:r>
        <w:rPr>
          <w:rFonts w:ascii="Calibri" w:hAnsi="Calibri"/>
          <w:color w:val="222222"/>
        </w:rPr>
        <w:t>153 shared nonblank exact RefMet strings before exclusions; 145 in the conservative biological set after excluding eight ST003348 isotope/internal-standard rows, with all rules versioned</w:t>
      </w:r>
    </w:p>
    <w:p>
      <w:pPr>
        <w:keepNext/>
        <w:spacing w:after="60"/>
        <w:ind w:left="547" w:hanging="317"/>
      </w:pPr>
      <w:r>
        <w:rPr>
          <w:rFonts w:ascii="Calibri" w:hAnsi="Calibri"/>
          <w:b/>
          <w:color w:val="1F4D78"/>
        </w:rPr>
        <w:t xml:space="preserve">[ ] C. </w:t>
      </w:r>
      <w:r>
        <w:rPr>
          <w:rFonts w:ascii="Calibri" w:hAnsi="Calibri"/>
          <w:color w:val="222222"/>
        </w:rPr>
        <w:t>145 directly comparable concentrations</w:t>
      </w:r>
    </w:p>
    <w:p>
      <w:pPr>
        <w:keepNext/>
        <w:spacing w:after="60"/>
        <w:ind w:left="547" w:hanging="317"/>
      </w:pPr>
      <w:r>
        <w:rPr>
          <w:rFonts w:ascii="Calibri" w:hAnsi="Calibri"/>
          <w:b/>
          <w:color w:val="1F4D78"/>
        </w:rPr>
        <w:t xml:space="preserve">[ ] D. </w:t>
      </w:r>
      <w:r>
        <w:rPr>
          <w:rFonts w:ascii="Calibri" w:hAnsi="Calibri"/>
          <w:color w:val="222222"/>
        </w:rPr>
        <w:t>The overlap is undefined because no names can ever be compared</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8. Which PCA plan follows the module guardrails?</w:t>
      </w:r>
    </w:p>
    <w:p>
      <w:pPr>
        <w:keepNext/>
        <w:spacing w:after="60"/>
        <w:ind w:left="547" w:hanging="317"/>
      </w:pPr>
      <w:r>
        <w:rPr>
          <w:rFonts w:ascii="Calibri" w:hAnsi="Calibri"/>
          <w:b/>
          <w:color w:val="1F4D78"/>
        </w:rPr>
        <w:t xml:space="preserve">[ ] A. </w:t>
      </w:r>
      <w:r>
        <w:rPr>
          <w:rFonts w:ascii="Calibri" w:hAnsi="Calibri"/>
          <w:color w:val="222222"/>
        </w:rPr>
        <w:t>Fit separate, documented within-study PCAs; keep repeated measures and sample roles visible; do not stack the uncalibrated raw matrices.</w:t>
      </w:r>
    </w:p>
    <w:p>
      <w:pPr>
        <w:keepNext/>
        <w:spacing w:after="60"/>
        <w:ind w:left="547" w:hanging="317"/>
      </w:pPr>
      <w:r>
        <w:rPr>
          <w:rFonts w:ascii="Calibri" w:hAnsi="Calibri"/>
          <w:b/>
          <w:color w:val="1F4D78"/>
        </w:rPr>
        <w:t xml:space="preserve">[ ] B. </w:t>
      </w:r>
      <w:r>
        <w:rPr>
          <w:rFonts w:ascii="Calibri" w:hAnsi="Calibri"/>
          <w:color w:val="222222"/>
        </w:rPr>
        <w:t>Pool both studies and label the first component diet versus exercise.</w:t>
      </w:r>
    </w:p>
    <w:p>
      <w:pPr>
        <w:keepNext/>
        <w:spacing w:after="60"/>
        <w:ind w:left="547" w:hanging="317"/>
      </w:pPr>
      <w:r>
        <w:rPr>
          <w:rFonts w:ascii="Calibri" w:hAnsi="Calibri"/>
          <w:b/>
          <w:color w:val="1F4D78"/>
        </w:rPr>
        <w:t xml:space="preserve">[ ] C. </w:t>
      </w:r>
      <w:r>
        <w:rPr>
          <w:rFonts w:ascii="Calibri" w:hAnsi="Calibri"/>
          <w:color w:val="222222"/>
        </w:rPr>
        <w:t>Include pooled QPP samples as participants.</w:t>
      </w:r>
    </w:p>
    <w:p>
      <w:pPr>
        <w:keepNext/>
        <w:spacing w:after="60"/>
        <w:ind w:left="547" w:hanging="317"/>
      </w:pPr>
      <w:r>
        <w:rPr>
          <w:rFonts w:ascii="Calibri" w:hAnsi="Calibri"/>
          <w:b/>
          <w:color w:val="1F4D78"/>
        </w:rPr>
        <w:t xml:space="preserve">[ ] D. </w:t>
      </w:r>
      <w:r>
        <w:rPr>
          <w:rFonts w:ascii="Calibri" w:hAnsi="Calibri"/>
          <w:color w:val="222222"/>
        </w:rPr>
        <w:t>Hide preprocessing because PCA is objective.</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9. The live REST request fails and the notebook uses a cached response. What must the analysis report?</w:t>
      </w:r>
    </w:p>
    <w:p>
      <w:pPr>
        <w:keepNext/>
        <w:spacing w:after="60"/>
        <w:ind w:left="547" w:hanging="317"/>
      </w:pPr>
      <w:r>
        <w:rPr>
          <w:rFonts w:ascii="Calibri" w:hAnsi="Calibri"/>
          <w:b/>
          <w:color w:val="1F4D78"/>
        </w:rPr>
        <w:t xml:space="preserve">[ ] A. </w:t>
      </w:r>
      <w:r>
        <w:rPr>
          <w:rFonts w:ascii="Calibri" w:hAnsi="Calibri"/>
          <w:color w:val="222222"/>
        </w:rPr>
        <w:t>Nothing; cache use is invisible to learners.</w:t>
      </w:r>
    </w:p>
    <w:p>
      <w:pPr>
        <w:keepNext/>
        <w:spacing w:after="60"/>
        <w:ind w:left="547" w:hanging="317"/>
      </w:pPr>
      <w:r>
        <w:rPr>
          <w:rFonts w:ascii="Calibri" w:hAnsi="Calibri"/>
          <w:b/>
          <w:color w:val="1F4D78"/>
        </w:rPr>
        <w:t xml:space="preserve">[ ] B. </w:t>
      </w:r>
      <w:r>
        <w:rPr>
          <w:rFonts w:ascii="Calibri" w:hAnsi="Calibri"/>
          <w:color w:val="222222"/>
        </w:rPr>
        <w:t>The failed endpoint/status, cached retrieval time, integrity check, and a visible cached-source flag.</w:t>
      </w:r>
    </w:p>
    <w:p>
      <w:pPr>
        <w:keepNext/>
        <w:spacing w:after="60"/>
        <w:ind w:left="547" w:hanging="317"/>
      </w:pPr>
      <w:r>
        <w:rPr>
          <w:rFonts w:ascii="Calibri" w:hAnsi="Calibri"/>
          <w:b/>
          <w:color w:val="1F4D78"/>
        </w:rPr>
        <w:t xml:space="preserve">[ ] C. </w:t>
      </w:r>
      <w:r>
        <w:rPr>
          <w:rFonts w:ascii="Calibri" w:hAnsi="Calibri"/>
          <w:color w:val="222222"/>
        </w:rPr>
        <w:t>Only the final figure.</w:t>
      </w:r>
    </w:p>
    <w:p>
      <w:pPr>
        <w:keepNext/>
        <w:spacing w:after="60"/>
        <w:ind w:left="547" w:hanging="317"/>
      </w:pPr>
      <w:r>
        <w:rPr>
          <w:rFonts w:ascii="Calibri" w:hAnsi="Calibri"/>
          <w:b/>
          <w:color w:val="1F4D78"/>
        </w:rPr>
        <w:t xml:space="preserve">[ ] D. </w:t>
      </w:r>
      <w:r>
        <w:rPr>
          <w:rFonts w:ascii="Calibri" w:hAnsi="Calibri"/>
          <w:color w:val="222222"/>
        </w:rPr>
        <w:t>A fabricated current access time.</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10. How should MoTrPAC access be described when transferring this workflow?</w:t>
      </w:r>
    </w:p>
    <w:p>
      <w:pPr>
        <w:keepNext/>
        <w:spacing w:after="60"/>
        <w:ind w:left="547" w:hanging="317"/>
      </w:pPr>
      <w:r>
        <w:rPr>
          <w:rFonts w:ascii="Calibri" w:hAnsi="Calibri"/>
          <w:b/>
          <w:color w:val="1F4D78"/>
        </w:rPr>
        <w:t xml:space="preserve">[ ] A. </w:t>
      </w:r>
      <w:r>
        <w:rPr>
          <w:rFonts w:ascii="Calibri" w:hAnsi="Calibri"/>
          <w:color w:val="222222"/>
        </w:rPr>
        <w:t>Uniformly registration-gated</w:t>
      </w:r>
    </w:p>
    <w:p>
      <w:pPr>
        <w:keepNext/>
        <w:spacing w:after="60"/>
        <w:ind w:left="547" w:hanging="317"/>
      </w:pPr>
      <w:r>
        <w:rPr>
          <w:rFonts w:ascii="Calibri" w:hAnsi="Calibri"/>
          <w:b/>
          <w:color w:val="1F4D78"/>
        </w:rPr>
        <w:t xml:space="preserve">[ ] B. </w:t>
      </w:r>
      <w:r>
        <w:rPr>
          <w:rFonts w:ascii="Calibri" w:hAnsi="Calibri"/>
          <w:color w:val="222222"/>
        </w:rPr>
        <w:t>Uniformly unrestricted</w:t>
      </w:r>
    </w:p>
    <w:p>
      <w:pPr>
        <w:keepNext/>
        <w:spacing w:after="60"/>
        <w:ind w:left="547" w:hanging="317"/>
      </w:pPr>
      <w:r>
        <w:rPr>
          <w:rFonts w:ascii="Calibri" w:hAnsi="Calibri"/>
          <w:b/>
          <w:color w:val="1F4D78"/>
        </w:rPr>
        <w:t xml:space="preserve">[ ] C. </w:t>
      </w:r>
      <w:r>
        <w:rPr>
          <w:rFonts w:ascii="Calibri" w:hAnsi="Calibri"/>
          <w:color w:val="222222"/>
        </w:rPr>
        <w:t>Dataset- and release-dependent, with public and restricted paths that require a current first-party check</w:t>
      </w:r>
    </w:p>
    <w:p>
      <w:pPr>
        <w:keepNext/>
        <w:spacing w:after="60"/>
        <w:ind w:left="547" w:hanging="317"/>
      </w:pPr>
      <w:r>
        <w:rPr>
          <w:rFonts w:ascii="Calibri" w:hAnsi="Calibri"/>
          <w:b/>
          <w:color w:val="1F4D78"/>
        </w:rPr>
        <w:t xml:space="preserve">[ ] D. </w:t>
      </w:r>
      <w:r>
        <w:rPr>
          <w:rFonts w:ascii="Calibri" w:hAnsi="Calibri"/>
          <w:color w:val="222222"/>
        </w:rPr>
        <w:t>Available only through the Metabolomics Workbench REST API</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11. What is the appropriate default plan for participant-level NPH data in All of Us?</w:t>
      </w:r>
    </w:p>
    <w:p>
      <w:pPr>
        <w:keepNext/>
        <w:spacing w:after="60"/>
        <w:ind w:left="547" w:hanging="317"/>
      </w:pPr>
      <w:r>
        <w:rPr>
          <w:rFonts w:ascii="Calibri" w:hAnsi="Calibri"/>
          <w:b/>
          <w:color w:val="1F4D78"/>
        </w:rPr>
        <w:t xml:space="preserve">[ ] A. </w:t>
      </w:r>
      <w:r>
        <w:rPr>
          <w:rFonts w:ascii="Calibri" w:hAnsi="Calibri"/>
          <w:color w:val="222222"/>
        </w:rPr>
        <w:t>Copy data to the module's public cache.</w:t>
      </w:r>
    </w:p>
    <w:p>
      <w:pPr>
        <w:keepNext/>
        <w:spacing w:after="60"/>
        <w:ind w:left="547" w:hanging="317"/>
      </w:pPr>
      <w:r>
        <w:rPr>
          <w:rFonts w:ascii="Calibri" w:hAnsi="Calibri"/>
          <w:b/>
          <w:color w:val="1F4D78"/>
        </w:rPr>
        <w:t xml:space="preserve">[ ] B. </w:t>
      </w:r>
      <w:r>
        <w:rPr>
          <w:rFonts w:ascii="Calibri" w:hAnsi="Calibri"/>
          <w:color w:val="222222"/>
        </w:rPr>
        <w:t>Run approved code in the Researcher Workbench, keep governed data there, and export only policy-permitted outputs after checking current requirements.</w:t>
      </w:r>
    </w:p>
    <w:p>
      <w:pPr>
        <w:keepNext/>
        <w:spacing w:after="60"/>
        <w:ind w:left="547" w:hanging="317"/>
      </w:pPr>
      <w:r>
        <w:rPr>
          <w:rFonts w:ascii="Calibri" w:hAnsi="Calibri"/>
          <w:b/>
          <w:color w:val="1F4D78"/>
        </w:rPr>
        <w:t xml:space="preserve">[ ] C. </w:t>
      </w:r>
      <w:r>
        <w:rPr>
          <w:rFonts w:ascii="Calibri" w:hAnsi="Calibri"/>
          <w:color w:val="222222"/>
        </w:rPr>
        <w:t>Share a colleague's credentials.</w:t>
      </w:r>
    </w:p>
    <w:p>
      <w:pPr>
        <w:keepNext/>
        <w:spacing w:after="60"/>
        <w:ind w:left="547" w:hanging="317"/>
      </w:pPr>
      <w:r>
        <w:rPr>
          <w:rFonts w:ascii="Calibri" w:hAnsi="Calibri"/>
          <w:b/>
          <w:color w:val="1F4D78"/>
        </w:rPr>
        <w:t xml:space="preserve">[ ] D. </w:t>
      </w:r>
      <w:r>
        <w:rPr>
          <w:rFonts w:ascii="Calibri" w:hAnsi="Calibri"/>
          <w:color w:val="222222"/>
        </w:rPr>
        <w:t>Assume the MW license applies.</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12. A crosswalk join unexpectedly doubles the number of measurement rows. What should happen next?</w:t>
      </w:r>
    </w:p>
    <w:p>
      <w:pPr>
        <w:keepNext/>
        <w:spacing w:after="60"/>
        <w:ind w:left="547" w:hanging="317"/>
      </w:pPr>
      <w:r>
        <w:rPr>
          <w:rFonts w:ascii="Calibri" w:hAnsi="Calibri"/>
          <w:b/>
          <w:color w:val="1F4D78"/>
        </w:rPr>
        <w:t xml:space="preserve">[ ] A. </w:t>
      </w:r>
      <w:r>
        <w:rPr>
          <w:rFonts w:ascii="Calibri" w:hAnsi="Calibri"/>
          <w:color w:val="222222"/>
        </w:rPr>
        <w:t>Proceed because more rows improve power.</w:t>
      </w:r>
    </w:p>
    <w:p>
      <w:pPr>
        <w:keepNext/>
        <w:spacing w:after="60"/>
        <w:ind w:left="547" w:hanging="317"/>
      </w:pPr>
      <w:r>
        <w:rPr>
          <w:rFonts w:ascii="Calibri" w:hAnsi="Calibri"/>
          <w:b/>
          <w:color w:val="1F4D78"/>
        </w:rPr>
        <w:t xml:space="preserve">[ ] B. </w:t>
      </w:r>
      <w:r>
        <w:rPr>
          <w:rFonts w:ascii="Calibri" w:hAnsi="Calibri"/>
          <w:color w:val="222222"/>
        </w:rPr>
        <w:t>Drop duplicated rows at random.</w:t>
      </w:r>
    </w:p>
    <w:p>
      <w:pPr>
        <w:keepNext/>
        <w:spacing w:after="60"/>
        <w:ind w:left="547" w:hanging="317"/>
      </w:pPr>
      <w:r>
        <w:rPr>
          <w:rFonts w:ascii="Calibri" w:hAnsi="Calibri"/>
          <w:b/>
          <w:color w:val="1F4D78"/>
        </w:rPr>
        <w:t xml:space="preserve">[ ] C. </w:t>
      </w:r>
      <w:r>
        <w:rPr>
          <w:rFonts w:ascii="Calibri" w:hAnsi="Calibri"/>
          <w:color w:val="222222"/>
        </w:rPr>
        <w:t>Stop, inspect key uniqueness and join cardinality, and revise the documented join rule before analysis.</w:t>
      </w:r>
    </w:p>
    <w:p>
      <w:pPr>
        <w:keepNext/>
        <w:spacing w:after="60"/>
        <w:ind w:left="547" w:hanging="317"/>
      </w:pPr>
      <w:r>
        <w:rPr>
          <w:rFonts w:ascii="Calibri" w:hAnsi="Calibri"/>
          <w:b/>
          <w:color w:val="1F4D78"/>
        </w:rPr>
        <w:t xml:space="preserve">[ ] D. </w:t>
      </w:r>
      <w:r>
        <w:rPr>
          <w:rFonts w:ascii="Calibri" w:hAnsi="Calibri"/>
          <w:color w:val="222222"/>
        </w:rPr>
        <w:t>Average all values across both studies.</w:t>
      </w:r>
    </w:p>
    <w:p>
      <w:pPr>
        <w:spacing w:after="160"/>
      </w:pPr>
      <w:r>
        <w:rPr>
          <w:rFonts w:ascii="Calibri" w:hAnsi="Calibri"/>
          <w:i/>
          <w:color w:val="5A6570"/>
          <w:sz w:val="19"/>
        </w:rPr>
        <w:t>Response: ________    Confidence (1-5): ________</w:t>
      </w:r>
    </w:p>
    <w:p>
      <w:r>
        <w:br w:type="page"/>
      </w:r>
    </w:p>
    <w:p>
      <w:pPr>
        <w:pStyle w:val="Heading1"/>
      </w:pPr>
      <w:r>
        <w:rPr>
          <w:rFonts w:ascii="Calibri" w:hAnsi="Calibri"/>
          <w:color w:val="222222"/>
        </w:rPr>
        <w:t>Cohort-comparison worksheet - learner version</w:t>
      </w:r>
    </w:p>
    <w:p>
      <w:r>
        <w:rPr>
          <w:rFonts w:ascii="Calibri" w:hAnsi="Calibri"/>
          <w:b/>
          <w:color w:val="222222"/>
        </w:rPr>
        <w:t>Module:</w:t>
      </w:r>
      <w:r>
        <w:rPr>
          <w:rFonts w:ascii="Calibri" w:hAnsi="Calibri"/>
          <w:color w:val="222222"/>
        </w:rPr>
        <w:t xml:space="preserve"> Metabo-Diet</w:t>
      </w:r>
    </w:p>
    <w:p>
      <w:r>
        <w:rPr>
          <w:rFonts w:ascii="Calibri" w:hAnsi="Calibri"/>
          <w:b/>
          <w:color w:val="222222"/>
        </w:rPr>
        <w:t>Learner:</w:t>
      </w:r>
      <w:r>
        <w:rPr>
          <w:rFonts w:ascii="Calibri" w:hAnsi="Calibri"/>
          <w:color w:val="222222"/>
        </w:rPr>
        <w:t xml:space="preserve"> ____________________</w:t>
      </w:r>
    </w:p>
    <w:p>
      <w:r>
        <w:rPr>
          <w:rFonts w:ascii="Calibri" w:hAnsi="Calibri"/>
          <w:b/>
          <w:color w:val="222222"/>
        </w:rPr>
        <w:t>Date:</w:t>
      </w:r>
      <w:r>
        <w:rPr>
          <w:rFonts w:ascii="Calibri" w:hAnsi="Calibri"/>
          <w:color w:val="222222"/>
        </w:rPr>
        <w:t xml:space="preserve"> ____________________</w:t>
      </w:r>
    </w:p>
    <w:p>
      <w:r>
        <w:rPr>
          <w:rFonts w:ascii="Calibri" w:hAnsi="Calibri"/>
          <w:b/>
          <w:color w:val="222222"/>
        </w:rPr>
        <w:t>Retrieval timezone:</w:t>
      </w:r>
      <w:r>
        <w:rPr>
          <w:rFonts w:ascii="Calibri" w:hAnsi="Calibri"/>
          <w:color w:val="222222"/>
        </w:rPr>
        <w:t xml:space="preserve"> ____________________</w:t>
      </w:r>
    </w:p>
    <w:p>
      <w:pPr>
        <w:pStyle w:val="Heading2"/>
      </w:pPr>
      <w:r>
        <w:rPr>
          <w:rFonts w:ascii="Calibri" w:hAnsi="Calibri"/>
          <w:color w:val="222222"/>
        </w:rPr>
        <w:t>Purpose</w:t>
      </w:r>
    </w:p>
    <w:p>
      <w:r>
        <w:rPr>
          <w:rFonts w:ascii="Calibri" w:hAnsi="Calibri"/>
          <w:color w:val="222222"/>
        </w:rPr>
        <w:t xml:space="preserve">Use this worksheet to compare </w:t>
      </w:r>
      <w:r>
        <w:rPr>
          <w:rFonts w:ascii="Consolas" w:hAnsi="Consolas"/>
          <w:color w:val="1F4D78"/>
          <w:sz w:val="21"/>
          <w:shd w:fill="EEF1F4"/>
        </w:rPr>
        <w:t>DIET_ACCESSION = ST001521</w:t>
      </w:r>
      <w:r>
        <w:rPr>
          <w:rFonts w:ascii="Calibri" w:hAnsi="Calibri"/>
          <w:color w:val="222222"/>
        </w:rPr>
        <w:t xml:space="preserve"> and </w:t>
      </w:r>
      <w:r>
        <w:rPr>
          <w:rFonts w:ascii="Consolas" w:hAnsi="Consolas"/>
          <w:color w:val="1F4D78"/>
          <w:sz w:val="21"/>
          <w:shd w:fill="EEF1F4"/>
        </w:rPr>
        <w:t>EXERCISE_ACCESSION = ST003348</w:t>
      </w:r>
      <w:r>
        <w:rPr>
          <w:rFonts w:ascii="Calibri" w:hAnsi="Calibri"/>
          <w:color w:val="222222"/>
        </w:rPr>
        <w:t xml:space="preserve"> without assuming that a shared label makes records quantitatively exchangeable.</w:t>
      </w:r>
    </w:p>
    <w:p>
      <w:r>
        <w:rPr>
          <w:rFonts w:ascii="Calibri" w:hAnsi="Calibri"/>
          <w:color w:val="222222"/>
        </w:rPr>
        <w:t>Use these codes:</w:t>
      </w:r>
    </w:p>
    <w:p>
      <w:pPr>
        <w:numPr>
          <w:ilvl w:val="0"/>
          <w:numId w:val="85"/>
        </w:numPr>
        <w:spacing w:after="80" w:line="300" w:lineRule="auto"/>
      </w:pPr>
      <w:r>
        <w:rPr>
          <w:rFonts w:ascii="Consolas" w:hAnsi="Consolas"/>
          <w:color w:val="1F4D78"/>
          <w:sz w:val="21"/>
          <w:shd w:fill="EEF1F4"/>
        </w:rPr>
        <w:t>D</w:t>
      </w:r>
      <w:r>
        <w:rPr>
          <w:rFonts w:ascii="Calibri" w:hAnsi="Calibri"/>
          <w:color w:val="222222"/>
        </w:rPr>
        <w:t xml:space="preserve"> - directly comparable for the stated purpose</w:t>
      </w:r>
    </w:p>
    <w:p>
      <w:pPr>
        <w:numPr>
          <w:ilvl w:val="0"/>
          <w:numId w:val="85"/>
        </w:numPr>
        <w:spacing w:after="80" w:line="300" w:lineRule="auto"/>
      </w:pPr>
      <w:r>
        <w:rPr>
          <w:rFonts w:ascii="Consolas" w:hAnsi="Consolas"/>
          <w:color w:val="1F4D78"/>
          <w:sz w:val="21"/>
          <w:shd w:fill="EEF1F4"/>
        </w:rPr>
        <w:t>P</w:t>
      </w:r>
      <w:r>
        <w:rPr>
          <w:rFonts w:ascii="Calibri" w:hAnsi="Calibri"/>
          <w:color w:val="222222"/>
        </w:rPr>
        <w:t xml:space="preserve"> - partially comparable; retain the difference and information loss</w:t>
      </w:r>
    </w:p>
    <w:p>
      <w:pPr>
        <w:numPr>
          <w:ilvl w:val="0"/>
          <w:numId w:val="85"/>
        </w:numPr>
        <w:spacing w:after="80" w:line="300" w:lineRule="auto"/>
      </w:pPr>
      <w:r>
        <w:rPr>
          <w:rFonts w:ascii="Consolas" w:hAnsi="Consolas"/>
          <w:color w:val="1F4D78"/>
          <w:sz w:val="21"/>
          <w:shd w:fill="EEF1F4"/>
        </w:rPr>
        <w:t>N</w:t>
      </w:r>
      <w:r>
        <w:rPr>
          <w:rFonts w:ascii="Calibri" w:hAnsi="Calibri"/>
          <w:color w:val="222222"/>
        </w:rPr>
        <w:t xml:space="preserve"> - not comparable for the stated purpose</w:t>
      </w:r>
    </w:p>
    <w:p>
      <w:pPr>
        <w:numPr>
          <w:ilvl w:val="0"/>
          <w:numId w:val="85"/>
        </w:numPr>
        <w:spacing w:after="80" w:line="300" w:lineRule="auto"/>
      </w:pPr>
      <w:r>
        <w:rPr>
          <w:rFonts w:ascii="Consolas" w:hAnsi="Consolas"/>
          <w:color w:val="1F4D78"/>
          <w:sz w:val="21"/>
          <w:shd w:fill="EEF1F4"/>
        </w:rPr>
        <w:t>U</w:t>
      </w:r>
      <w:r>
        <w:rPr>
          <w:rFonts w:ascii="Calibri" w:hAnsi="Calibri"/>
          <w:color w:val="222222"/>
        </w:rPr>
        <w:t xml:space="preserve"> - not yet assessable from available evidence</w:t>
      </w:r>
    </w:p>
    <w:p>
      <w:pPr>
        <w:numPr>
          <w:ilvl w:val="0"/>
          <w:numId w:val="85"/>
        </w:numPr>
        <w:spacing w:after="80" w:line="300" w:lineRule="auto"/>
      </w:pPr>
      <w:r>
        <w:rPr>
          <w:rFonts w:ascii="Consolas" w:hAnsi="Consolas"/>
          <w:color w:val="1F4D78"/>
          <w:sz w:val="21"/>
          <w:shd w:fill="EEF1F4"/>
        </w:rPr>
        <w:t>NR</w:t>
      </w:r>
      <w:r>
        <w:rPr>
          <w:rFonts w:ascii="Calibri" w:hAnsi="Calibri"/>
          <w:color w:val="222222"/>
        </w:rPr>
        <w:t xml:space="preserve"> - searched but not reported</w:t>
      </w:r>
    </w:p>
    <w:p>
      <w:pPr>
        <w:numPr>
          <w:ilvl w:val="0"/>
          <w:numId w:val="85"/>
        </w:numPr>
        <w:spacing w:after="80" w:line="300" w:lineRule="auto"/>
      </w:pPr>
      <w:r>
        <w:rPr>
          <w:rFonts w:ascii="Consolas" w:hAnsi="Consolas"/>
          <w:color w:val="1F4D78"/>
          <w:sz w:val="21"/>
          <w:shd w:fill="EEF1F4"/>
        </w:rPr>
        <w:t>NA</w:t>
      </w:r>
      <w:r>
        <w:rPr>
          <w:rFonts w:ascii="Calibri" w:hAnsi="Calibri"/>
          <w:color w:val="222222"/>
        </w:rPr>
        <w:t xml:space="preserve"> - not applicable</w:t>
      </w:r>
    </w:p>
    <w:p>
      <w:r>
        <w:rPr>
          <w:rFonts w:ascii="Calibri" w:hAnsi="Calibri"/>
          <w:color w:val="222222"/>
        </w:rPr>
        <w:t>Every factual entry needs a source URL, mwTab block, REST endpoint, publication location, or explicit missingness code.</w:t>
      </w:r>
    </w:p>
    <w:p>
      <w:pPr>
        <w:pStyle w:val="Heading2"/>
      </w:pPr>
      <w:r>
        <w:rPr>
          <w:rFonts w:ascii="Calibri" w:hAnsi="Calibri"/>
          <w:color w:val="222222"/>
        </w:rPr>
        <w:t>1. Comparison purpose and estimand sketch</w:t>
      </w:r>
    </w:p>
    <w:p>
      <w:r>
        <w:rPr>
          <w:rFonts w:ascii="Calibri" w:hAnsi="Calibri"/>
          <w:b/>
          <w:color w:val="222222"/>
        </w:rPr>
        <w:t>Choose one primary purpose:</w:t>
      </w:r>
    </w:p>
    <w:p>
      <w:pPr>
        <w:numPr>
          <w:ilvl w:val="0"/>
          <w:numId w:val="86"/>
        </w:numPr>
        <w:spacing w:after="80" w:line="300" w:lineRule="auto"/>
      </w:pPr>
      <w:r>
        <w:rPr>
          <w:rFonts w:ascii="Calibri" w:hAnsi="Calibri"/>
          <w:color w:val="222222"/>
        </w:rPr>
        <w:t>[ ] Metadata inventory</w:t>
      </w:r>
    </w:p>
    <w:p>
      <w:pPr>
        <w:numPr>
          <w:ilvl w:val="0"/>
          <w:numId w:val="86"/>
        </w:numPr>
        <w:spacing w:after="80" w:line="300" w:lineRule="auto"/>
      </w:pPr>
      <w:r>
        <w:rPr>
          <w:rFonts w:ascii="Calibri" w:hAnsi="Calibri"/>
          <w:color w:val="222222"/>
        </w:rPr>
        <w:t>[ ] Exact standardized-name overlap</w:t>
      </w:r>
    </w:p>
    <w:p>
      <w:pPr>
        <w:numPr>
          <w:ilvl w:val="0"/>
          <w:numId w:val="86"/>
        </w:numPr>
        <w:spacing w:after="80" w:line="300" w:lineRule="auto"/>
      </w:pPr>
      <w:r>
        <w:rPr>
          <w:rFonts w:ascii="Calibri" w:hAnsi="Calibri"/>
          <w:color w:val="222222"/>
        </w:rPr>
        <w:t>[ ] Broad RefMet class coverage</w:t>
      </w:r>
    </w:p>
    <w:p>
      <w:pPr>
        <w:numPr>
          <w:ilvl w:val="0"/>
          <w:numId w:val="86"/>
        </w:numPr>
        <w:spacing w:after="80" w:line="300" w:lineRule="auto"/>
      </w:pPr>
      <w:r>
        <w:rPr>
          <w:rFonts w:ascii="Calibri" w:hAnsi="Calibri"/>
          <w:color w:val="222222"/>
        </w:rPr>
        <w:t>[ ] Within-study change followed by qualitative pattern comparison</w:t>
      </w:r>
    </w:p>
    <w:p>
      <w:pPr>
        <w:numPr>
          <w:ilvl w:val="0"/>
          <w:numId w:val="86"/>
        </w:numPr>
        <w:spacing w:after="80" w:line="300" w:lineRule="auto"/>
      </w:pPr>
      <w:r>
        <w:rPr>
          <w:rFonts w:ascii="Calibri" w:hAnsi="Calibri"/>
          <w:color w:val="222222"/>
        </w:rPr>
        <w:t>[ ] Other non-pooled purpose: ______________________________________</w:t>
      </w:r>
    </w:p>
    <w:p>
      <w:r>
        <w:rPr>
          <w:rFonts w:ascii="Calibri" w:hAnsi="Calibri"/>
          <w:b/>
          <w:color w:val="222222"/>
        </w:rPr>
        <w:t>Population:</w:t>
      </w:r>
      <w:r>
        <w:rPr>
          <w:rFonts w:ascii="Calibri" w:hAnsi="Calibri"/>
          <w:color w:val="222222"/>
        </w:rPr>
        <w:t xml:space="preserve"> ____________________________________________________________</w:t>
      </w:r>
    </w:p>
    <w:p>
      <w:r>
        <w:rPr>
          <w:rFonts w:ascii="Calibri" w:hAnsi="Calibri"/>
          <w:b/>
          <w:color w:val="222222"/>
        </w:rPr>
        <w:t>Exposure/intervention:</w:t>
      </w:r>
      <w:r>
        <w:rPr>
          <w:rFonts w:ascii="Calibri" w:hAnsi="Calibri"/>
          <w:color w:val="222222"/>
        </w:rPr>
        <w:t xml:space="preserve"> _________________________________________________</w:t>
      </w:r>
    </w:p>
    <w:p>
      <w:r>
        <w:rPr>
          <w:rFonts w:ascii="Calibri" w:hAnsi="Calibri"/>
          <w:b/>
          <w:color w:val="222222"/>
        </w:rPr>
        <w:t>Outcome or analyte set:</w:t>
      </w:r>
      <w:r>
        <w:rPr>
          <w:rFonts w:ascii="Calibri" w:hAnsi="Calibri"/>
          <w:color w:val="222222"/>
        </w:rPr>
        <w:t xml:space="preserve"> ________________________________________________</w:t>
      </w:r>
    </w:p>
    <w:p>
      <w:r>
        <w:rPr>
          <w:rFonts w:ascii="Calibri" w:hAnsi="Calibri"/>
          <w:b/>
          <w:color w:val="222222"/>
        </w:rPr>
        <w:t>Biological time definition:</w:t>
      </w:r>
      <w:r>
        <w:rPr>
          <w:rFonts w:ascii="Calibri" w:hAnsi="Calibri"/>
          <w:color w:val="222222"/>
        </w:rPr>
        <w:t xml:space="preserve"> ___________________________________________</w:t>
      </w:r>
    </w:p>
    <w:p>
      <w:r>
        <w:rPr>
          <w:rFonts w:ascii="Calibri" w:hAnsi="Calibri"/>
          <w:b/>
          <w:color w:val="222222"/>
        </w:rPr>
        <w:t>Summary measure:</w:t>
      </w:r>
      <w:r>
        <w:rPr>
          <w:rFonts w:ascii="Calibri" w:hAnsi="Calibri"/>
          <w:color w:val="222222"/>
        </w:rPr>
        <w:t xml:space="preserve"> ______________________________________________________</w:t>
      </w:r>
    </w:p>
    <w:p>
      <w:r>
        <w:rPr>
          <w:rFonts w:ascii="Calibri" w:hAnsi="Calibri"/>
          <w:b/>
          <w:color w:val="222222"/>
        </w:rPr>
        <w:t>What this worksheet will not authorize:</w:t>
      </w:r>
      <w:r>
        <w:rPr>
          <w:rFonts w:ascii="Calibri" w:hAnsi="Calibri"/>
          <w:color w:val="222222"/>
        </w:rPr>
        <w:t xml:space="preserve"> _______________________________</w:t>
      </w:r>
    </w:p>
    <w:p>
      <w:pPr>
        <w:pStyle w:val="Heading2"/>
      </w:pPr>
      <w:r>
        <w:rPr>
          <w:rFonts w:ascii="Calibri" w:hAnsi="Calibri"/>
          <w:color w:val="222222"/>
        </w:rPr>
        <w:t>2. Dataset identity and access evidence</w:t>
      </w:r>
    </w:p>
    <w:tbl>
      <w:tblPr>
        <w:tblStyle w:val="TableGrid"/>
        <w:tblW w:type="dxa" w:w="9360"/>
        <w:jc w:val="left"/>
        <w:tblLayout w:type="fixed"/>
        <w:tblLook w:firstColumn="1" w:firstRow="1" w:lastColumn="0" w:lastRow="0" w:noHBand="0" w:noVBand="1" w:val="04A0"/>
        <w:tblInd w:w="120" w:type="dxa"/>
      </w:tblPr>
      <w:tblGrid>
        <w:gridCol w:w="3824"/>
        <w:gridCol w:w="2626"/>
        <w:gridCol w:w="2910"/>
      </w:tblGrid>
      <w:tr>
        <w:trPr>
          <w:cantSplit w:val="true"/>
          <w:tblHeader w:val="true"/>
        </w:trPr>
        <w:tc>
          <w:tcPr>
            <w:tcW w:type="dxa" w:w="382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Field</w:t>
            </w:r>
          </w:p>
        </w:tc>
        <w:tc>
          <w:tcPr>
            <w:tcW w:type="dxa" w:w="262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Diet study</w:t>
            </w:r>
          </w:p>
        </w:tc>
        <w:tc>
          <w:tcPr>
            <w:tcW w:type="dxa" w:w="291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Exercise study</w:t>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Configuration key</w:t>
            </w:r>
          </w:p>
        </w:tc>
        <w:tc>
          <w:tcPr>
            <w:tcW w:type="dxa" w:w="2626"/>
            <w:tcMar>
              <w:top w:w="80" w:type="dxa"/>
              <w:bottom w:w="80" w:type="dxa"/>
              <w:start w:w="120" w:type="dxa"/>
              <w:end w:w="120" w:type="dxa"/>
            </w:tcMar>
            <w:vAlign w:val="center"/>
          </w:tcPr>
          <w:p>
            <w:pPr>
              <w:spacing w:before="0" w:after="0" w:line="269" w:lineRule="auto"/>
              <w:jc w:val="center"/>
            </w:pPr>
            <w:r/>
            <w:r>
              <w:rPr>
                <w:rFonts w:ascii="Consolas" w:hAnsi="Consolas"/>
                <w:color w:val="1F4D78"/>
                <w:sz w:val="17"/>
                <w:shd w:fill="EEF1F4"/>
              </w:rPr>
              <w:t>DIET_ACCESSION</w:t>
            </w:r>
          </w:p>
        </w:tc>
        <w:tc>
          <w:tcPr>
            <w:tcW w:type="dxa" w:w="2910"/>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EXERCISE_ACCESSION</w:t>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Resolved accession</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Study title</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Project/study DOI</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Study landing page</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REST summary endpoint</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License shown</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Public status check result</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Check timestamp, UTC</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Live or cached retrieval</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Cache timestamp/checksum, if used</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3. Study design and population</w:t>
      </w:r>
    </w:p>
    <w:tbl>
      <w:tblPr>
        <w:tblStyle w:val="TableGrid"/>
        <w:tblW w:type="dxa" w:w="9360"/>
        <w:jc w:val="left"/>
        <w:tblLayout w:type="fixed"/>
        <w:tblLook w:firstColumn="1" w:firstRow="1" w:lastColumn="0" w:lastRow="0" w:noHBand="0" w:noVBand="1" w:val="04A0"/>
        <w:tblInd w:w="120" w:type="dxa"/>
      </w:tblPr>
      <w:tblGrid>
        <w:gridCol w:w="2171"/>
        <w:gridCol w:w="1762"/>
        <w:gridCol w:w="1944"/>
        <w:gridCol w:w="1217"/>
        <w:gridCol w:w="2266"/>
      </w:tblGrid>
      <w:tr>
        <w:trPr>
          <w:cantSplit w:val="true"/>
          <w:tblHeader w:val="true"/>
        </w:trPr>
        <w:tc>
          <w:tcPr>
            <w:tcW w:type="dxa" w:w="217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Field</w:t>
            </w:r>
          </w:p>
        </w:tc>
        <w:tc>
          <w:tcPr>
            <w:tcW w:type="dxa" w:w="176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Diet study evidence</w:t>
            </w:r>
          </w:p>
        </w:tc>
        <w:tc>
          <w:tcPr>
            <w:tcW w:type="dxa" w:w="194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Exercise study evidence</w:t>
            </w:r>
          </w:p>
        </w:tc>
        <w:tc>
          <w:tcPr>
            <w:tcW w:type="dxa" w:w="121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D/P/N/U</w:t>
            </w:r>
          </w:p>
        </w:tc>
        <w:tc>
          <w:tcPr>
            <w:tcW w:type="dxa" w:w="226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Justification and intended use</w:t>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Species</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Study design</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Recruitment/setting</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Inclusion/exclusion features</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Participants recruited</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Participants analyzed</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Biological samples</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QC/blank/other samples</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Unit of assignment</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Unit of analysis</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Repeated-measures linkage</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Randomization</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Blinding/masking</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Attrition</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4. Phenotype anchor and intervention</w:t>
      </w:r>
    </w:p>
    <w:tbl>
      <w:tblPr>
        <w:tblStyle w:val="TableGrid"/>
        <w:tblW w:type="dxa" w:w="9360"/>
        <w:jc w:val="left"/>
        <w:tblLayout w:type="fixed"/>
        <w:tblLook w:firstColumn="1" w:firstRow="1" w:lastColumn="0" w:lastRow="0" w:noHBand="0" w:noVBand="1" w:val="04A0"/>
        <w:tblInd w:w="120" w:type="dxa"/>
      </w:tblPr>
      <w:tblGrid>
        <w:gridCol w:w="2237"/>
        <w:gridCol w:w="1747"/>
        <w:gridCol w:w="1925"/>
        <w:gridCol w:w="1212"/>
        <w:gridCol w:w="2239"/>
      </w:tblGrid>
      <w:tr>
        <w:trPr>
          <w:cantSplit w:val="true"/>
          <w:tblHeader w:val="true"/>
        </w:trPr>
        <w:tc>
          <w:tcPr>
            <w:tcW w:type="dxa" w:w="2237"/>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Field</w:t>
            </w:r>
          </w:p>
        </w:tc>
        <w:tc>
          <w:tcPr>
            <w:tcW w:type="dxa" w:w="1747"/>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Diet study evidence</w:t>
            </w:r>
          </w:p>
        </w:tc>
        <w:tc>
          <w:tcPr>
            <w:tcW w:type="dxa" w:w="192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Exercise study evidence</w:t>
            </w:r>
          </w:p>
        </w:tc>
        <w:tc>
          <w:tcPr>
            <w:tcW w:type="dxa" w:w="1212"/>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D/P/N/U</w:t>
            </w:r>
          </w:p>
        </w:tc>
        <w:tc>
          <w:tcPr>
            <w:tcW w:type="dxa" w:w="2239"/>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Justification and intended use</w:t>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Phenotype anchor</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Intervention/exposure groups</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Dose or intensity</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Duration</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Adherence or supervision</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Feeding state</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Concurrent interventions</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Behavioral/clinical covariates</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Assignment/selection caveat</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5. Specimen and pre-analytical context</w:t>
      </w:r>
    </w:p>
    <w:tbl>
      <w:tblPr>
        <w:tblStyle w:val="TableGrid"/>
        <w:tblW w:type="dxa" w:w="9360"/>
        <w:jc w:val="left"/>
        <w:tblLayout w:type="fixed"/>
        <w:tblLook w:firstColumn="1" w:firstRow="1" w:lastColumn="0" w:lastRow="0" w:noHBand="0" w:noVBand="1" w:val="04A0"/>
        <w:tblInd w:w="120" w:type="dxa"/>
      </w:tblPr>
      <w:tblGrid>
        <w:gridCol w:w="2103"/>
        <w:gridCol w:w="1779"/>
        <w:gridCol w:w="1964"/>
        <w:gridCol w:w="1224"/>
        <w:gridCol w:w="2290"/>
      </w:tblGrid>
      <w:tr>
        <w:trPr>
          <w:cantSplit w:val="true"/>
          <w:tblHeader w:val="true"/>
        </w:trPr>
        <w:tc>
          <w:tcPr>
            <w:tcW w:type="dxa" w:w="210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Field</w:t>
            </w:r>
          </w:p>
        </w:tc>
        <w:tc>
          <w:tcPr>
            <w:tcW w:type="dxa" w:w="1779"/>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Diet study evidence</w:t>
            </w:r>
          </w:p>
        </w:tc>
        <w:tc>
          <w:tcPr>
            <w:tcW w:type="dxa" w:w="196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Exercise study evidence</w:t>
            </w:r>
          </w:p>
        </w:tc>
        <w:tc>
          <w:tcPr>
            <w:tcW w:type="dxa" w:w="122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D/P/N/U</w:t>
            </w:r>
          </w:p>
        </w:tc>
        <w:tc>
          <w:tcPr>
            <w:tcW w:type="dxa" w:w="229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Justification and intended use</w:t>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Broad factor label</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Specific biological matrix</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Collection method/tube</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Processing</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Storage</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Collection clock time</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Fasting status/duration</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Pre-analytical gaps</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6. Timepoint semantics</w:t>
      </w:r>
    </w:p>
    <w:p>
      <w:r>
        <w:rPr>
          <w:rFonts w:ascii="Calibri" w:hAnsi="Calibri"/>
          <w:color w:val="222222"/>
        </w:rPr>
        <w:t xml:space="preserve">Do not use the same harmonized time label merely because both studies contain </w:t>
      </w:r>
      <w:r>
        <w:rPr>
          <w:rFonts w:ascii="Consolas" w:hAnsi="Consolas"/>
          <w:color w:val="1F4D78"/>
          <w:sz w:val="21"/>
          <w:shd w:fill="EEF1F4"/>
        </w:rPr>
        <w:t>baseline</w:t>
      </w:r>
      <w:r>
        <w:rPr>
          <w:rFonts w:ascii="Calibri" w:hAnsi="Calibri"/>
          <w:color w:val="222222"/>
        </w:rPr>
        <w:t xml:space="preserve">, </w:t>
      </w:r>
      <w:r>
        <w:rPr>
          <w:rFonts w:ascii="Consolas" w:hAnsi="Consolas"/>
          <w:color w:val="1F4D78"/>
          <w:sz w:val="21"/>
          <w:shd w:fill="EEF1F4"/>
        </w:rPr>
        <w:t>rest</w:t>
      </w:r>
      <w:r>
        <w:rPr>
          <w:rFonts w:ascii="Calibri" w:hAnsi="Calibri"/>
          <w:color w:val="222222"/>
        </w:rPr>
        <w:t xml:space="preserve">, or </w:t>
      </w:r>
      <w:r>
        <w:rPr>
          <w:rFonts w:ascii="Consolas" w:hAnsi="Consolas"/>
          <w:color w:val="1F4D78"/>
          <w:sz w:val="21"/>
          <w:shd w:fill="EEF1F4"/>
        </w:rPr>
        <w:t>post</w:t>
      </w:r>
      <w:r>
        <w:rPr>
          <w:rFonts w:ascii="Calibri" w:hAnsi="Calibri"/>
          <w:color w:val="222222"/>
        </w:rPr>
        <w:t xml:space="preserve"> concepts.</w:t>
      </w:r>
    </w:p>
    <w:p>
      <w:pPr>
        <w:pStyle w:val="Heading3"/>
      </w:pPr>
      <w:r>
        <w:rPr>
          <w:rFonts w:ascii="Calibri" w:hAnsi="Calibri"/>
          <w:color w:val="222222"/>
        </w:rPr>
        <w:t>Diet study timepoints</w:t>
      </w:r>
    </w:p>
    <w:tbl>
      <w:tblPr>
        <w:tblStyle w:val="TableGrid"/>
        <w:tblW w:type="dxa" w:w="9360"/>
        <w:jc w:val="left"/>
        <w:tblLayout w:type="fixed"/>
        <w:tblLook w:firstColumn="1" w:firstRow="1" w:lastColumn="0" w:lastRow="0" w:noHBand="0" w:noVBand="1" w:val="04A0"/>
        <w:tblInd w:w="120" w:type="dxa"/>
      </w:tblPr>
      <w:tblGrid>
        <w:gridCol w:w="1295"/>
        <w:gridCol w:w="1295"/>
        <w:gridCol w:w="1237"/>
        <w:gridCol w:w="2223"/>
        <w:gridCol w:w="1237"/>
        <w:gridCol w:w="947"/>
        <w:gridCol w:w="1126"/>
      </w:tblGrid>
      <w:tr>
        <w:trPr>
          <w:cantSplit w:val="true"/>
          <w:tblHeader w:val="true"/>
        </w:trPr>
        <w:tc>
          <w:tcPr>
            <w:tcW w:type="dxa" w:w="129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Source label</w:t>
            </w:r>
          </w:p>
        </w:tc>
        <w:tc>
          <w:tcPr>
            <w:tcW w:type="dxa" w:w="129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Anchor event</w:t>
            </w:r>
          </w:p>
        </w:tc>
        <w:tc>
          <w:tcPr>
            <w:tcW w:type="dxa" w:w="123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Offset/unit</w:t>
            </w:r>
          </w:p>
        </w:tc>
        <w:tc>
          <w:tcPr>
            <w:tcW w:type="dxa" w:w="222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Physiological/protocol state</w:t>
            </w:r>
          </w:p>
        </w:tc>
        <w:tc>
          <w:tcPr>
            <w:tcW w:type="dxa" w:w="123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Visit/order</w:t>
            </w:r>
          </w:p>
        </w:tc>
        <w:tc>
          <w:tcPr>
            <w:tcW w:type="dxa" w:w="94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w:t>
            </w:r>
          </w:p>
        </w:tc>
        <w:tc>
          <w:tcPr>
            <w:tcW w:type="dxa" w:w="112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Resolved?</w:t>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3"/>
      </w:pPr>
      <w:r>
        <w:rPr>
          <w:rFonts w:ascii="Calibri" w:hAnsi="Calibri"/>
          <w:color w:val="222222"/>
        </w:rPr>
        <w:t>Exercise study timepoints</w:t>
      </w:r>
    </w:p>
    <w:tbl>
      <w:tblPr>
        <w:tblStyle w:val="TableGrid"/>
        <w:tblW w:type="dxa" w:w="9360"/>
        <w:jc w:val="left"/>
        <w:tblLayout w:type="fixed"/>
        <w:tblLook w:firstColumn="1" w:firstRow="1" w:lastColumn="0" w:lastRow="0" w:noHBand="0" w:noVBand="1" w:val="04A0"/>
        <w:tblInd w:w="120" w:type="dxa"/>
      </w:tblPr>
      <w:tblGrid>
        <w:gridCol w:w="1295"/>
        <w:gridCol w:w="1295"/>
        <w:gridCol w:w="1237"/>
        <w:gridCol w:w="2223"/>
        <w:gridCol w:w="1237"/>
        <w:gridCol w:w="947"/>
        <w:gridCol w:w="1126"/>
      </w:tblGrid>
      <w:tr>
        <w:trPr>
          <w:cantSplit w:val="true"/>
          <w:tblHeader w:val="true"/>
        </w:trPr>
        <w:tc>
          <w:tcPr>
            <w:tcW w:type="dxa" w:w="129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Source label</w:t>
            </w:r>
          </w:p>
        </w:tc>
        <w:tc>
          <w:tcPr>
            <w:tcW w:type="dxa" w:w="129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Anchor event</w:t>
            </w:r>
          </w:p>
        </w:tc>
        <w:tc>
          <w:tcPr>
            <w:tcW w:type="dxa" w:w="123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Offset/unit</w:t>
            </w:r>
          </w:p>
        </w:tc>
        <w:tc>
          <w:tcPr>
            <w:tcW w:type="dxa" w:w="222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Physiological/protocol state</w:t>
            </w:r>
          </w:p>
        </w:tc>
        <w:tc>
          <w:tcPr>
            <w:tcW w:type="dxa" w:w="123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Visit/order</w:t>
            </w:r>
          </w:p>
        </w:tc>
        <w:tc>
          <w:tcPr>
            <w:tcW w:type="dxa" w:w="94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w:t>
            </w:r>
          </w:p>
        </w:tc>
        <w:tc>
          <w:tcPr>
            <w:tcW w:type="dxa" w:w="112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Resolved?</w:t>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bl>
    <w:p>
      <w:pPr>
        <w:spacing w:before="0" w:after="40"/>
      </w:pPr>
    </w:p>
    <w:p>
      <w:r>
        <w:rPr>
          <w:rFonts w:ascii="Calibri" w:hAnsi="Calibri"/>
          <w:b/>
          <w:color w:val="222222"/>
        </w:rPr>
        <w:t>Time-axis compatibility decision:</w:t>
      </w:r>
      <w:r>
        <w:rPr>
          <w:rFonts w:ascii="Calibri" w:hAnsi="Calibri"/>
          <w:color w:val="222222"/>
        </w:rPr>
        <w:t xml:space="preserve"> ______________________________________</w:t>
      </w:r>
    </w:p>
    <w:p>
      <w:r>
        <w:rPr>
          <w:rFonts w:ascii="Calibri" w:hAnsi="Calibri"/>
          <w:b/>
          <w:color w:val="222222"/>
        </w:rPr>
        <w:t>Evidence-based reason:</w:t>
      </w:r>
      <w:r>
        <w:rPr>
          <w:rFonts w:ascii="Calibri" w:hAnsi="Calibri"/>
          <w:color w:val="222222"/>
        </w:rPr>
        <w:t xml:space="preserve"> _________________________________________________</w:t>
      </w:r>
    </w:p>
    <w:p>
      <w:pPr>
        <w:pStyle w:val="Heading2"/>
      </w:pPr>
      <w:r>
        <w:rPr>
          <w:rFonts w:ascii="Calibri" w:hAnsi="Calibri"/>
          <w:color w:val="222222"/>
        </w:rPr>
        <w:t>7. Assay and measurement context</w:t>
      </w:r>
    </w:p>
    <w:p>
      <w:r>
        <w:rPr>
          <w:rFonts w:ascii="Calibri" w:hAnsi="Calibri"/>
          <w:color w:val="222222"/>
        </w:rPr>
        <w:t>List one row per analysis ID.</w:t>
      </w:r>
    </w:p>
    <w:tbl>
      <w:tblPr>
        <w:tblStyle w:val="TableGrid"/>
        <w:tblW w:type="dxa" w:w="9360"/>
        <w:jc w:val="left"/>
        <w:tblLayout w:type="fixed"/>
        <w:tblLook w:firstColumn="1" w:firstRow="1" w:lastColumn="0" w:lastRow="0" w:noHBand="0" w:noVBand="1" w:val="04A0"/>
        <w:tblInd w:w="120" w:type="dxa"/>
      </w:tblPr>
      <w:tblGrid>
        <w:gridCol w:w="956"/>
        <w:gridCol w:w="1035"/>
        <w:gridCol w:w="1233"/>
        <w:gridCol w:w="1154"/>
        <w:gridCol w:w="996"/>
        <w:gridCol w:w="916"/>
        <w:gridCol w:w="1194"/>
        <w:gridCol w:w="1035"/>
        <w:gridCol w:w="841"/>
      </w:tblGrid>
      <w:tr>
        <w:trPr>
          <w:cantSplit w:val="true"/>
          <w:tblHeader w:val="true"/>
        </w:trPr>
        <w:tc>
          <w:tcPr>
            <w:tcW w:type="dxa" w:w="95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Accession</w:t>
            </w:r>
          </w:p>
        </w:tc>
        <w:tc>
          <w:tcPr>
            <w:tcW w:type="dxa" w:w="103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Analysis ID</w:t>
            </w:r>
          </w:p>
        </w:tc>
        <w:tc>
          <w:tcPr>
            <w:tcW w:type="dxa" w:w="123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Analysis summary</w:t>
            </w:r>
          </w:p>
        </w:tc>
        <w:tc>
          <w:tcPr>
            <w:tcW w:type="dxa" w:w="115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Chromatography</w:t>
            </w:r>
          </w:p>
        </w:tc>
        <w:tc>
          <w:tcPr>
            <w:tcW w:type="dxa" w:w="99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Instrument</w:t>
            </w:r>
          </w:p>
        </w:tc>
        <w:tc>
          <w:tcPr>
            <w:tcW w:type="dxa" w:w="91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Ion mode</w:t>
            </w:r>
          </w:p>
        </w:tc>
        <w:tc>
          <w:tcPr>
            <w:tcW w:type="dxa" w:w="119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Targeted status</w:t>
            </w:r>
          </w:p>
        </w:tc>
        <w:tc>
          <w:tcPr>
            <w:tcW w:type="dxa" w:w="103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Units/scale</w:t>
            </w:r>
          </w:p>
        </w:tc>
        <w:tc>
          <w:tcPr>
            <w:tcW w:type="dxa" w:w="84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w:t>
            </w:r>
          </w:p>
        </w:tc>
      </w:tr>
      <w:tr>
        <w:trPr>
          <w:cantSplit w:val="true"/>
        </w:trPr>
        <w:tc>
          <w:tcPr>
            <w:tcW w:type="dxa" w:w="956"/>
            <w:tcMar>
              <w:top w:w="80" w:type="dxa"/>
              <w:bottom w:w="80" w:type="dxa"/>
              <w:start w:w="120" w:type="dxa"/>
              <w:end w:w="120" w:type="dxa"/>
            </w:tcMar>
            <w:vAlign w:val="center"/>
          </w:tcPr>
          <w:p>
            <w:pPr>
              <w:spacing w:before="0" w:after="0" w:line="269" w:lineRule="auto"/>
              <w:jc w:val="left"/>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1233"/>
            <w:tcMar>
              <w:top w:w="80" w:type="dxa"/>
              <w:bottom w:w="80" w:type="dxa"/>
              <w:start w:w="120" w:type="dxa"/>
              <w:end w:w="120" w:type="dxa"/>
            </w:tcMar>
            <w:vAlign w:val="center"/>
          </w:tcPr>
          <w:p>
            <w:pPr>
              <w:spacing w:before="0" w:after="0" w:line="269" w:lineRule="auto"/>
              <w:jc w:val="center"/>
            </w:pPr>
            <w:r/>
          </w:p>
        </w:tc>
        <w:tc>
          <w:tcPr>
            <w:tcW w:type="dxa" w:w="1154"/>
            <w:tcMar>
              <w:top w:w="80" w:type="dxa"/>
              <w:bottom w:w="80" w:type="dxa"/>
              <w:start w:w="120" w:type="dxa"/>
              <w:end w:w="120" w:type="dxa"/>
            </w:tcMar>
            <w:vAlign w:val="center"/>
          </w:tcPr>
          <w:p>
            <w:pPr>
              <w:spacing w:before="0" w:after="0" w:line="269" w:lineRule="auto"/>
              <w:jc w:val="center"/>
            </w:pPr>
            <w:r/>
          </w:p>
        </w:tc>
        <w:tc>
          <w:tcPr>
            <w:tcW w:type="dxa" w:w="996"/>
            <w:tcMar>
              <w:top w:w="80" w:type="dxa"/>
              <w:bottom w:w="80" w:type="dxa"/>
              <w:start w:w="120" w:type="dxa"/>
              <w:end w:w="120" w:type="dxa"/>
            </w:tcMar>
            <w:vAlign w:val="center"/>
          </w:tcPr>
          <w:p>
            <w:pPr>
              <w:spacing w:before="0" w:after="0" w:line="269" w:lineRule="auto"/>
              <w:jc w:val="center"/>
            </w:pPr>
            <w:r/>
          </w:p>
        </w:tc>
        <w:tc>
          <w:tcPr>
            <w:tcW w:type="dxa" w:w="916"/>
            <w:tcMar>
              <w:top w:w="80" w:type="dxa"/>
              <w:bottom w:w="80" w:type="dxa"/>
              <w:start w:w="120" w:type="dxa"/>
              <w:end w:w="120" w:type="dxa"/>
            </w:tcMar>
            <w:vAlign w:val="center"/>
          </w:tcPr>
          <w:p>
            <w:pPr>
              <w:spacing w:before="0" w:after="0" w:line="269" w:lineRule="auto"/>
              <w:jc w:val="center"/>
            </w:pPr>
            <w:r/>
          </w:p>
        </w:tc>
        <w:tc>
          <w:tcPr>
            <w:tcW w:type="dxa" w:w="1194"/>
            <w:tcMar>
              <w:top w:w="80" w:type="dxa"/>
              <w:bottom w:w="80" w:type="dxa"/>
              <w:start w:w="120" w:type="dxa"/>
              <w:end w:w="120" w:type="dxa"/>
            </w:tcMar>
            <w:vAlign w:val="center"/>
          </w:tcPr>
          <w:p>
            <w:pPr>
              <w:spacing w:before="0" w:after="0" w:line="269" w:lineRule="auto"/>
              <w:jc w:val="center"/>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841"/>
            <w:tcMar>
              <w:top w:w="80" w:type="dxa"/>
              <w:bottom w:w="80" w:type="dxa"/>
              <w:start w:w="120" w:type="dxa"/>
              <w:end w:w="120" w:type="dxa"/>
            </w:tcMar>
            <w:vAlign w:val="center"/>
          </w:tcPr>
          <w:p>
            <w:pPr>
              <w:spacing w:before="0" w:after="0" w:line="269" w:lineRule="auto"/>
              <w:jc w:val="center"/>
            </w:pPr>
            <w:r/>
          </w:p>
        </w:tc>
      </w:tr>
      <w:tr>
        <w:trPr>
          <w:cantSplit w:val="true"/>
        </w:trPr>
        <w:tc>
          <w:tcPr>
            <w:tcW w:type="dxa" w:w="956"/>
            <w:tcMar>
              <w:top w:w="80" w:type="dxa"/>
              <w:bottom w:w="80" w:type="dxa"/>
              <w:start w:w="120" w:type="dxa"/>
              <w:end w:w="120" w:type="dxa"/>
            </w:tcMar>
            <w:vAlign w:val="center"/>
          </w:tcPr>
          <w:p>
            <w:pPr>
              <w:spacing w:before="0" w:after="0" w:line="269" w:lineRule="auto"/>
              <w:jc w:val="left"/>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1233"/>
            <w:tcMar>
              <w:top w:w="80" w:type="dxa"/>
              <w:bottom w:w="80" w:type="dxa"/>
              <w:start w:w="120" w:type="dxa"/>
              <w:end w:w="120" w:type="dxa"/>
            </w:tcMar>
            <w:vAlign w:val="center"/>
          </w:tcPr>
          <w:p>
            <w:pPr>
              <w:spacing w:before="0" w:after="0" w:line="269" w:lineRule="auto"/>
              <w:jc w:val="center"/>
            </w:pPr>
            <w:r/>
          </w:p>
        </w:tc>
        <w:tc>
          <w:tcPr>
            <w:tcW w:type="dxa" w:w="1154"/>
            <w:tcMar>
              <w:top w:w="80" w:type="dxa"/>
              <w:bottom w:w="80" w:type="dxa"/>
              <w:start w:w="120" w:type="dxa"/>
              <w:end w:w="120" w:type="dxa"/>
            </w:tcMar>
            <w:vAlign w:val="center"/>
          </w:tcPr>
          <w:p>
            <w:pPr>
              <w:spacing w:before="0" w:after="0" w:line="269" w:lineRule="auto"/>
              <w:jc w:val="center"/>
            </w:pPr>
            <w:r/>
          </w:p>
        </w:tc>
        <w:tc>
          <w:tcPr>
            <w:tcW w:type="dxa" w:w="996"/>
            <w:tcMar>
              <w:top w:w="80" w:type="dxa"/>
              <w:bottom w:w="80" w:type="dxa"/>
              <w:start w:w="120" w:type="dxa"/>
              <w:end w:w="120" w:type="dxa"/>
            </w:tcMar>
            <w:vAlign w:val="center"/>
          </w:tcPr>
          <w:p>
            <w:pPr>
              <w:spacing w:before="0" w:after="0" w:line="269" w:lineRule="auto"/>
              <w:jc w:val="center"/>
            </w:pPr>
            <w:r/>
          </w:p>
        </w:tc>
        <w:tc>
          <w:tcPr>
            <w:tcW w:type="dxa" w:w="916"/>
            <w:tcMar>
              <w:top w:w="80" w:type="dxa"/>
              <w:bottom w:w="80" w:type="dxa"/>
              <w:start w:w="120" w:type="dxa"/>
              <w:end w:w="120" w:type="dxa"/>
            </w:tcMar>
            <w:vAlign w:val="center"/>
          </w:tcPr>
          <w:p>
            <w:pPr>
              <w:spacing w:before="0" w:after="0" w:line="269" w:lineRule="auto"/>
              <w:jc w:val="center"/>
            </w:pPr>
            <w:r/>
          </w:p>
        </w:tc>
        <w:tc>
          <w:tcPr>
            <w:tcW w:type="dxa" w:w="1194"/>
            <w:tcMar>
              <w:top w:w="80" w:type="dxa"/>
              <w:bottom w:w="80" w:type="dxa"/>
              <w:start w:w="120" w:type="dxa"/>
              <w:end w:w="120" w:type="dxa"/>
            </w:tcMar>
            <w:vAlign w:val="center"/>
          </w:tcPr>
          <w:p>
            <w:pPr>
              <w:spacing w:before="0" w:after="0" w:line="269" w:lineRule="auto"/>
              <w:jc w:val="center"/>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841"/>
            <w:tcMar>
              <w:top w:w="80" w:type="dxa"/>
              <w:bottom w:w="80" w:type="dxa"/>
              <w:start w:w="120" w:type="dxa"/>
              <w:end w:w="120" w:type="dxa"/>
            </w:tcMar>
            <w:vAlign w:val="center"/>
          </w:tcPr>
          <w:p>
            <w:pPr>
              <w:spacing w:before="0" w:after="0" w:line="269" w:lineRule="auto"/>
              <w:jc w:val="center"/>
            </w:pPr>
            <w:r/>
          </w:p>
        </w:tc>
      </w:tr>
      <w:tr>
        <w:trPr>
          <w:cantSplit w:val="true"/>
        </w:trPr>
        <w:tc>
          <w:tcPr>
            <w:tcW w:type="dxa" w:w="956"/>
            <w:tcMar>
              <w:top w:w="80" w:type="dxa"/>
              <w:bottom w:w="80" w:type="dxa"/>
              <w:start w:w="120" w:type="dxa"/>
              <w:end w:w="120" w:type="dxa"/>
            </w:tcMar>
            <w:vAlign w:val="center"/>
          </w:tcPr>
          <w:p>
            <w:pPr>
              <w:spacing w:before="0" w:after="0" w:line="269" w:lineRule="auto"/>
              <w:jc w:val="left"/>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1233"/>
            <w:tcMar>
              <w:top w:w="80" w:type="dxa"/>
              <w:bottom w:w="80" w:type="dxa"/>
              <w:start w:w="120" w:type="dxa"/>
              <w:end w:w="120" w:type="dxa"/>
            </w:tcMar>
            <w:vAlign w:val="center"/>
          </w:tcPr>
          <w:p>
            <w:pPr>
              <w:spacing w:before="0" w:after="0" w:line="269" w:lineRule="auto"/>
              <w:jc w:val="center"/>
            </w:pPr>
            <w:r/>
          </w:p>
        </w:tc>
        <w:tc>
          <w:tcPr>
            <w:tcW w:type="dxa" w:w="1154"/>
            <w:tcMar>
              <w:top w:w="80" w:type="dxa"/>
              <w:bottom w:w="80" w:type="dxa"/>
              <w:start w:w="120" w:type="dxa"/>
              <w:end w:w="120" w:type="dxa"/>
            </w:tcMar>
            <w:vAlign w:val="center"/>
          </w:tcPr>
          <w:p>
            <w:pPr>
              <w:spacing w:before="0" w:after="0" w:line="269" w:lineRule="auto"/>
              <w:jc w:val="center"/>
            </w:pPr>
            <w:r/>
          </w:p>
        </w:tc>
        <w:tc>
          <w:tcPr>
            <w:tcW w:type="dxa" w:w="996"/>
            <w:tcMar>
              <w:top w:w="80" w:type="dxa"/>
              <w:bottom w:w="80" w:type="dxa"/>
              <w:start w:w="120" w:type="dxa"/>
              <w:end w:w="120" w:type="dxa"/>
            </w:tcMar>
            <w:vAlign w:val="center"/>
          </w:tcPr>
          <w:p>
            <w:pPr>
              <w:spacing w:before="0" w:after="0" w:line="269" w:lineRule="auto"/>
              <w:jc w:val="center"/>
            </w:pPr>
            <w:r/>
          </w:p>
        </w:tc>
        <w:tc>
          <w:tcPr>
            <w:tcW w:type="dxa" w:w="916"/>
            <w:tcMar>
              <w:top w:w="80" w:type="dxa"/>
              <w:bottom w:w="80" w:type="dxa"/>
              <w:start w:w="120" w:type="dxa"/>
              <w:end w:w="120" w:type="dxa"/>
            </w:tcMar>
            <w:vAlign w:val="center"/>
          </w:tcPr>
          <w:p>
            <w:pPr>
              <w:spacing w:before="0" w:after="0" w:line="269" w:lineRule="auto"/>
              <w:jc w:val="center"/>
            </w:pPr>
            <w:r/>
          </w:p>
        </w:tc>
        <w:tc>
          <w:tcPr>
            <w:tcW w:type="dxa" w:w="1194"/>
            <w:tcMar>
              <w:top w:w="80" w:type="dxa"/>
              <w:bottom w:w="80" w:type="dxa"/>
              <w:start w:w="120" w:type="dxa"/>
              <w:end w:w="120" w:type="dxa"/>
            </w:tcMar>
            <w:vAlign w:val="center"/>
          </w:tcPr>
          <w:p>
            <w:pPr>
              <w:spacing w:before="0" w:after="0" w:line="269" w:lineRule="auto"/>
              <w:jc w:val="center"/>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841"/>
            <w:tcMar>
              <w:top w:w="80" w:type="dxa"/>
              <w:bottom w:w="80" w:type="dxa"/>
              <w:start w:w="120" w:type="dxa"/>
              <w:end w:w="120" w:type="dxa"/>
            </w:tcMar>
            <w:vAlign w:val="center"/>
          </w:tcPr>
          <w:p>
            <w:pPr>
              <w:spacing w:before="0" w:after="0" w:line="269" w:lineRule="auto"/>
              <w:jc w:val="center"/>
            </w:pPr>
            <w:r/>
          </w:p>
        </w:tc>
      </w:tr>
      <w:tr>
        <w:trPr>
          <w:cantSplit w:val="true"/>
        </w:trPr>
        <w:tc>
          <w:tcPr>
            <w:tcW w:type="dxa" w:w="956"/>
            <w:tcMar>
              <w:top w:w="80" w:type="dxa"/>
              <w:bottom w:w="80" w:type="dxa"/>
              <w:start w:w="120" w:type="dxa"/>
              <w:end w:w="120" w:type="dxa"/>
            </w:tcMar>
            <w:vAlign w:val="center"/>
          </w:tcPr>
          <w:p>
            <w:pPr>
              <w:spacing w:before="0" w:after="0" w:line="269" w:lineRule="auto"/>
              <w:jc w:val="left"/>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1233"/>
            <w:tcMar>
              <w:top w:w="80" w:type="dxa"/>
              <w:bottom w:w="80" w:type="dxa"/>
              <w:start w:w="120" w:type="dxa"/>
              <w:end w:w="120" w:type="dxa"/>
            </w:tcMar>
            <w:vAlign w:val="center"/>
          </w:tcPr>
          <w:p>
            <w:pPr>
              <w:spacing w:before="0" w:after="0" w:line="269" w:lineRule="auto"/>
              <w:jc w:val="center"/>
            </w:pPr>
            <w:r/>
          </w:p>
        </w:tc>
        <w:tc>
          <w:tcPr>
            <w:tcW w:type="dxa" w:w="1154"/>
            <w:tcMar>
              <w:top w:w="80" w:type="dxa"/>
              <w:bottom w:w="80" w:type="dxa"/>
              <w:start w:w="120" w:type="dxa"/>
              <w:end w:w="120" w:type="dxa"/>
            </w:tcMar>
            <w:vAlign w:val="center"/>
          </w:tcPr>
          <w:p>
            <w:pPr>
              <w:spacing w:before="0" w:after="0" w:line="269" w:lineRule="auto"/>
              <w:jc w:val="center"/>
            </w:pPr>
            <w:r/>
          </w:p>
        </w:tc>
        <w:tc>
          <w:tcPr>
            <w:tcW w:type="dxa" w:w="996"/>
            <w:tcMar>
              <w:top w:w="80" w:type="dxa"/>
              <w:bottom w:w="80" w:type="dxa"/>
              <w:start w:w="120" w:type="dxa"/>
              <w:end w:w="120" w:type="dxa"/>
            </w:tcMar>
            <w:vAlign w:val="center"/>
          </w:tcPr>
          <w:p>
            <w:pPr>
              <w:spacing w:before="0" w:after="0" w:line="269" w:lineRule="auto"/>
              <w:jc w:val="center"/>
            </w:pPr>
            <w:r/>
          </w:p>
        </w:tc>
        <w:tc>
          <w:tcPr>
            <w:tcW w:type="dxa" w:w="916"/>
            <w:tcMar>
              <w:top w:w="80" w:type="dxa"/>
              <w:bottom w:w="80" w:type="dxa"/>
              <w:start w:w="120" w:type="dxa"/>
              <w:end w:w="120" w:type="dxa"/>
            </w:tcMar>
            <w:vAlign w:val="center"/>
          </w:tcPr>
          <w:p>
            <w:pPr>
              <w:spacing w:before="0" w:after="0" w:line="269" w:lineRule="auto"/>
              <w:jc w:val="center"/>
            </w:pPr>
            <w:r/>
          </w:p>
        </w:tc>
        <w:tc>
          <w:tcPr>
            <w:tcW w:type="dxa" w:w="1194"/>
            <w:tcMar>
              <w:top w:w="80" w:type="dxa"/>
              <w:bottom w:w="80" w:type="dxa"/>
              <w:start w:w="120" w:type="dxa"/>
              <w:end w:w="120" w:type="dxa"/>
            </w:tcMar>
            <w:vAlign w:val="center"/>
          </w:tcPr>
          <w:p>
            <w:pPr>
              <w:spacing w:before="0" w:after="0" w:line="269" w:lineRule="auto"/>
              <w:jc w:val="center"/>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841"/>
            <w:tcMar>
              <w:top w:w="80" w:type="dxa"/>
              <w:bottom w:w="80" w:type="dxa"/>
              <w:start w:w="120" w:type="dxa"/>
              <w:end w:w="120" w:type="dxa"/>
            </w:tcMar>
            <w:vAlign w:val="center"/>
          </w:tcPr>
          <w:p>
            <w:pPr>
              <w:spacing w:before="0" w:after="0" w:line="269" w:lineRule="auto"/>
              <w:jc w:val="center"/>
            </w:pPr>
            <w:r/>
          </w:p>
        </w:tc>
      </w:tr>
      <w:tr>
        <w:trPr>
          <w:cantSplit w:val="true"/>
        </w:trPr>
        <w:tc>
          <w:tcPr>
            <w:tcW w:type="dxa" w:w="956"/>
            <w:tcMar>
              <w:top w:w="80" w:type="dxa"/>
              <w:bottom w:w="80" w:type="dxa"/>
              <w:start w:w="120" w:type="dxa"/>
              <w:end w:w="120" w:type="dxa"/>
            </w:tcMar>
            <w:vAlign w:val="center"/>
          </w:tcPr>
          <w:p>
            <w:pPr>
              <w:spacing w:before="0" w:after="0" w:line="269" w:lineRule="auto"/>
              <w:jc w:val="left"/>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1233"/>
            <w:tcMar>
              <w:top w:w="80" w:type="dxa"/>
              <w:bottom w:w="80" w:type="dxa"/>
              <w:start w:w="120" w:type="dxa"/>
              <w:end w:w="120" w:type="dxa"/>
            </w:tcMar>
            <w:vAlign w:val="center"/>
          </w:tcPr>
          <w:p>
            <w:pPr>
              <w:spacing w:before="0" w:after="0" w:line="269" w:lineRule="auto"/>
              <w:jc w:val="center"/>
            </w:pPr>
            <w:r/>
          </w:p>
        </w:tc>
        <w:tc>
          <w:tcPr>
            <w:tcW w:type="dxa" w:w="1154"/>
            <w:tcMar>
              <w:top w:w="80" w:type="dxa"/>
              <w:bottom w:w="80" w:type="dxa"/>
              <w:start w:w="120" w:type="dxa"/>
              <w:end w:w="120" w:type="dxa"/>
            </w:tcMar>
            <w:vAlign w:val="center"/>
          </w:tcPr>
          <w:p>
            <w:pPr>
              <w:spacing w:before="0" w:after="0" w:line="269" w:lineRule="auto"/>
              <w:jc w:val="center"/>
            </w:pPr>
            <w:r/>
          </w:p>
        </w:tc>
        <w:tc>
          <w:tcPr>
            <w:tcW w:type="dxa" w:w="996"/>
            <w:tcMar>
              <w:top w:w="80" w:type="dxa"/>
              <w:bottom w:w="80" w:type="dxa"/>
              <w:start w:w="120" w:type="dxa"/>
              <w:end w:w="120" w:type="dxa"/>
            </w:tcMar>
            <w:vAlign w:val="center"/>
          </w:tcPr>
          <w:p>
            <w:pPr>
              <w:spacing w:before="0" w:after="0" w:line="269" w:lineRule="auto"/>
              <w:jc w:val="center"/>
            </w:pPr>
            <w:r/>
          </w:p>
        </w:tc>
        <w:tc>
          <w:tcPr>
            <w:tcW w:type="dxa" w:w="916"/>
            <w:tcMar>
              <w:top w:w="80" w:type="dxa"/>
              <w:bottom w:w="80" w:type="dxa"/>
              <w:start w:w="120" w:type="dxa"/>
              <w:end w:w="120" w:type="dxa"/>
            </w:tcMar>
            <w:vAlign w:val="center"/>
          </w:tcPr>
          <w:p>
            <w:pPr>
              <w:spacing w:before="0" w:after="0" w:line="269" w:lineRule="auto"/>
              <w:jc w:val="center"/>
            </w:pPr>
            <w:r/>
          </w:p>
        </w:tc>
        <w:tc>
          <w:tcPr>
            <w:tcW w:type="dxa" w:w="1194"/>
            <w:tcMar>
              <w:top w:w="80" w:type="dxa"/>
              <w:bottom w:w="80" w:type="dxa"/>
              <w:start w:w="120" w:type="dxa"/>
              <w:end w:w="120" w:type="dxa"/>
            </w:tcMar>
            <w:vAlign w:val="center"/>
          </w:tcPr>
          <w:p>
            <w:pPr>
              <w:spacing w:before="0" w:after="0" w:line="269" w:lineRule="auto"/>
              <w:jc w:val="center"/>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841"/>
            <w:tcMar>
              <w:top w:w="80" w:type="dxa"/>
              <w:bottom w:w="80" w:type="dxa"/>
              <w:start w:w="120" w:type="dxa"/>
              <w:end w:w="120" w:type="dxa"/>
            </w:tcMar>
            <w:vAlign w:val="center"/>
          </w:tcPr>
          <w:p>
            <w:pPr>
              <w:spacing w:before="0" w:after="0" w:line="269" w:lineRule="auto"/>
              <w:jc w:val="center"/>
            </w:pPr>
            <w:r/>
          </w:p>
        </w:tc>
      </w:tr>
      <w:tr>
        <w:trPr>
          <w:cantSplit w:val="true"/>
        </w:trPr>
        <w:tc>
          <w:tcPr>
            <w:tcW w:type="dxa" w:w="956"/>
            <w:tcMar>
              <w:top w:w="80" w:type="dxa"/>
              <w:bottom w:w="80" w:type="dxa"/>
              <w:start w:w="120" w:type="dxa"/>
              <w:end w:w="120" w:type="dxa"/>
            </w:tcMar>
            <w:vAlign w:val="center"/>
          </w:tcPr>
          <w:p>
            <w:pPr>
              <w:spacing w:before="0" w:after="0" w:line="269" w:lineRule="auto"/>
              <w:jc w:val="left"/>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1233"/>
            <w:tcMar>
              <w:top w:w="80" w:type="dxa"/>
              <w:bottom w:w="80" w:type="dxa"/>
              <w:start w:w="120" w:type="dxa"/>
              <w:end w:w="120" w:type="dxa"/>
            </w:tcMar>
            <w:vAlign w:val="center"/>
          </w:tcPr>
          <w:p>
            <w:pPr>
              <w:spacing w:before="0" w:after="0" w:line="269" w:lineRule="auto"/>
              <w:jc w:val="center"/>
            </w:pPr>
            <w:r/>
          </w:p>
        </w:tc>
        <w:tc>
          <w:tcPr>
            <w:tcW w:type="dxa" w:w="1154"/>
            <w:tcMar>
              <w:top w:w="80" w:type="dxa"/>
              <w:bottom w:w="80" w:type="dxa"/>
              <w:start w:w="120" w:type="dxa"/>
              <w:end w:w="120" w:type="dxa"/>
            </w:tcMar>
            <w:vAlign w:val="center"/>
          </w:tcPr>
          <w:p>
            <w:pPr>
              <w:spacing w:before="0" w:after="0" w:line="269" w:lineRule="auto"/>
              <w:jc w:val="center"/>
            </w:pPr>
            <w:r/>
          </w:p>
        </w:tc>
        <w:tc>
          <w:tcPr>
            <w:tcW w:type="dxa" w:w="996"/>
            <w:tcMar>
              <w:top w:w="80" w:type="dxa"/>
              <w:bottom w:w="80" w:type="dxa"/>
              <w:start w:w="120" w:type="dxa"/>
              <w:end w:w="120" w:type="dxa"/>
            </w:tcMar>
            <w:vAlign w:val="center"/>
          </w:tcPr>
          <w:p>
            <w:pPr>
              <w:spacing w:before="0" w:after="0" w:line="269" w:lineRule="auto"/>
              <w:jc w:val="center"/>
            </w:pPr>
            <w:r/>
          </w:p>
        </w:tc>
        <w:tc>
          <w:tcPr>
            <w:tcW w:type="dxa" w:w="916"/>
            <w:tcMar>
              <w:top w:w="80" w:type="dxa"/>
              <w:bottom w:w="80" w:type="dxa"/>
              <w:start w:w="120" w:type="dxa"/>
              <w:end w:w="120" w:type="dxa"/>
            </w:tcMar>
            <w:vAlign w:val="center"/>
          </w:tcPr>
          <w:p>
            <w:pPr>
              <w:spacing w:before="0" w:after="0" w:line="269" w:lineRule="auto"/>
              <w:jc w:val="center"/>
            </w:pPr>
            <w:r/>
          </w:p>
        </w:tc>
        <w:tc>
          <w:tcPr>
            <w:tcW w:type="dxa" w:w="1194"/>
            <w:tcMar>
              <w:top w:w="80" w:type="dxa"/>
              <w:bottom w:w="80" w:type="dxa"/>
              <w:start w:w="120" w:type="dxa"/>
              <w:end w:w="120" w:type="dxa"/>
            </w:tcMar>
            <w:vAlign w:val="center"/>
          </w:tcPr>
          <w:p>
            <w:pPr>
              <w:spacing w:before="0" w:after="0" w:line="269" w:lineRule="auto"/>
              <w:jc w:val="center"/>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841"/>
            <w:tcMar>
              <w:top w:w="80" w:type="dxa"/>
              <w:bottom w:w="80" w:type="dxa"/>
              <w:start w:w="120" w:type="dxa"/>
              <w:end w:w="120" w:type="dxa"/>
            </w:tcMar>
            <w:vAlign w:val="center"/>
          </w:tcPr>
          <w:p>
            <w:pPr>
              <w:spacing w:before="0" w:after="0" w:line="269" w:lineRule="auto"/>
              <w:jc w:val="center"/>
            </w:pPr>
            <w:r/>
          </w:p>
        </w:tc>
      </w:tr>
    </w:tbl>
    <w:p>
      <w:pPr>
        <w:spacing w:before="0" w:after="40"/>
      </w:pPr>
    </w:p>
    <w:p>
      <w:r>
        <w:rPr>
          <w:rFonts w:ascii="Calibri" w:hAnsi="Calibri"/>
          <w:b/>
          <w:color w:val="222222"/>
        </w:rPr>
        <w:t>Can quantitative values be pooled across studies?</w:t>
      </w:r>
      <w:r>
        <w:rPr>
          <w:rFonts w:ascii="Calibri" w:hAnsi="Calibri"/>
          <w:color w:val="222222"/>
        </w:rPr>
        <w:t xml:space="preserve"> Yes / No / Not yet assessable</w:t>
      </w:r>
    </w:p>
    <w:p>
      <w:r>
        <w:rPr>
          <w:rFonts w:ascii="Calibri" w:hAnsi="Calibri"/>
          <w:b/>
          <w:color w:val="222222"/>
        </w:rPr>
        <w:t>Reason:</w:t>
      </w:r>
      <w:r>
        <w:rPr>
          <w:rFonts w:ascii="Calibri" w:hAnsi="Calibri"/>
          <w:color w:val="222222"/>
        </w:rPr>
        <w:t xml:space="preserve"> ________________________________________________________________</w:t>
      </w:r>
    </w:p>
    <w:p>
      <w:pPr>
        <w:pStyle w:val="Heading2"/>
      </w:pPr>
      <w:r>
        <w:rPr>
          <w:rFonts w:ascii="Calibri" w:hAnsi="Calibri"/>
          <w:color w:val="222222"/>
        </w:rPr>
        <w:t>8. Metadata provenance conflicts</w:t>
      </w:r>
    </w:p>
    <w:p>
      <w:r>
        <w:rPr>
          <w:rFonts w:ascii="Calibri" w:hAnsi="Calibri"/>
          <w:color w:val="222222"/>
        </w:rPr>
        <w:t>Record fields for which two source locations differ or one source is more specific.</w:t>
      </w:r>
    </w:p>
    <w:tbl>
      <w:tblPr>
        <w:tblStyle w:val="TableGrid"/>
        <w:tblW w:type="dxa" w:w="9360"/>
        <w:jc w:val="left"/>
        <w:tblLayout w:type="fixed"/>
        <w:tblLook w:firstColumn="1" w:firstRow="1" w:lastColumn="0" w:lastRow="0" w:noHBand="0" w:noVBand="1" w:val="04A0"/>
        <w:tblInd w:w="120" w:type="dxa"/>
      </w:tblPr>
      <w:tblGrid>
        <w:gridCol w:w="1282"/>
        <w:gridCol w:w="1054"/>
        <w:gridCol w:w="1661"/>
        <w:gridCol w:w="1661"/>
        <w:gridCol w:w="1736"/>
        <w:gridCol w:w="1966"/>
      </w:tblGrid>
      <w:tr>
        <w:trPr>
          <w:cantSplit w:val="true"/>
          <w:tblHeader w:val="true"/>
        </w:trPr>
        <w:tc>
          <w:tcPr>
            <w:tcW w:type="dxa" w:w="128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Accession</w:t>
            </w:r>
          </w:p>
        </w:tc>
        <w:tc>
          <w:tcPr>
            <w:tcW w:type="dxa" w:w="105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Field</w:t>
            </w:r>
          </w:p>
        </w:tc>
        <w:tc>
          <w:tcPr>
            <w:tcW w:type="dxa" w:w="166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 A/value</w:t>
            </w:r>
          </w:p>
        </w:tc>
        <w:tc>
          <w:tcPr>
            <w:tcW w:type="dxa" w:w="166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 B/value</w:t>
            </w:r>
          </w:p>
        </w:tc>
        <w:tc>
          <w:tcPr>
            <w:tcW w:type="dxa" w:w="173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Resolution rule</w:t>
            </w:r>
          </w:p>
        </w:tc>
        <w:tc>
          <w:tcPr>
            <w:tcW w:type="dxa" w:w="196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Preserved evidence</w:t>
            </w:r>
          </w:p>
        </w:tc>
      </w:tr>
      <w:tr>
        <w:trPr>
          <w:cantSplit w:val="true"/>
        </w:trPr>
        <w:tc>
          <w:tcPr>
            <w:tcW w:type="dxa" w:w="1282"/>
            <w:tcMar>
              <w:top w:w="80" w:type="dxa"/>
              <w:bottom w:w="80" w:type="dxa"/>
              <w:start w:w="120" w:type="dxa"/>
              <w:end w:w="120" w:type="dxa"/>
            </w:tcMar>
            <w:vAlign w:val="center"/>
          </w:tcPr>
          <w:p>
            <w:pPr>
              <w:spacing w:before="0" w:after="0" w:line="269" w:lineRule="auto"/>
              <w:jc w:val="left"/>
            </w:pPr>
            <w:r/>
          </w:p>
        </w:tc>
        <w:tc>
          <w:tcPr>
            <w:tcW w:type="dxa" w:w="1054"/>
            <w:tcMar>
              <w:top w:w="80" w:type="dxa"/>
              <w:bottom w:w="80" w:type="dxa"/>
              <w:start w:w="120" w:type="dxa"/>
              <w:end w:w="120" w:type="dxa"/>
            </w:tcMar>
            <w:vAlign w:val="center"/>
          </w:tcPr>
          <w:p>
            <w:pPr>
              <w:spacing w:before="0" w:after="0" w:line="269" w:lineRule="auto"/>
              <w:jc w:val="center"/>
            </w:pPr>
            <w:r/>
          </w:p>
        </w:tc>
        <w:tc>
          <w:tcPr>
            <w:tcW w:type="dxa" w:w="1661"/>
            <w:tcMar>
              <w:top w:w="80" w:type="dxa"/>
              <w:bottom w:w="80" w:type="dxa"/>
              <w:start w:w="120" w:type="dxa"/>
              <w:end w:w="120" w:type="dxa"/>
            </w:tcMar>
            <w:vAlign w:val="center"/>
          </w:tcPr>
          <w:p>
            <w:pPr>
              <w:spacing w:before="0" w:after="0" w:line="269" w:lineRule="auto"/>
              <w:jc w:val="center"/>
            </w:pPr>
            <w:r/>
          </w:p>
        </w:tc>
        <w:tc>
          <w:tcPr>
            <w:tcW w:type="dxa" w:w="1661"/>
            <w:tcMar>
              <w:top w:w="80" w:type="dxa"/>
              <w:bottom w:w="80" w:type="dxa"/>
              <w:start w:w="120" w:type="dxa"/>
              <w:end w:w="120" w:type="dxa"/>
            </w:tcMar>
            <w:vAlign w:val="center"/>
          </w:tcPr>
          <w:p>
            <w:pPr>
              <w:spacing w:before="0" w:after="0" w:line="269" w:lineRule="auto"/>
              <w:jc w:val="center"/>
            </w:pPr>
            <w:r/>
          </w:p>
        </w:tc>
        <w:tc>
          <w:tcPr>
            <w:tcW w:type="dxa" w:w="1736"/>
            <w:tcMar>
              <w:top w:w="80" w:type="dxa"/>
              <w:bottom w:w="80" w:type="dxa"/>
              <w:start w:w="120" w:type="dxa"/>
              <w:end w:w="120" w:type="dxa"/>
            </w:tcMar>
            <w:vAlign w:val="center"/>
          </w:tcPr>
          <w:p>
            <w:pPr>
              <w:spacing w:before="0" w:after="0" w:line="269" w:lineRule="auto"/>
              <w:jc w:val="center"/>
            </w:pPr>
            <w:r/>
          </w:p>
        </w:tc>
        <w:tc>
          <w:tcPr>
            <w:tcW w:type="dxa" w:w="1966"/>
            <w:tcMar>
              <w:top w:w="80" w:type="dxa"/>
              <w:bottom w:w="80" w:type="dxa"/>
              <w:start w:w="120" w:type="dxa"/>
              <w:end w:w="120" w:type="dxa"/>
            </w:tcMar>
            <w:vAlign w:val="center"/>
          </w:tcPr>
          <w:p>
            <w:pPr>
              <w:spacing w:before="0" w:after="0" w:line="269" w:lineRule="auto"/>
              <w:jc w:val="center"/>
            </w:pPr>
            <w:r/>
          </w:p>
        </w:tc>
      </w:tr>
      <w:tr>
        <w:trPr>
          <w:cantSplit w:val="true"/>
        </w:trPr>
        <w:tc>
          <w:tcPr>
            <w:tcW w:type="dxa" w:w="1282"/>
            <w:tcMar>
              <w:top w:w="80" w:type="dxa"/>
              <w:bottom w:w="80" w:type="dxa"/>
              <w:start w:w="120" w:type="dxa"/>
              <w:end w:w="120" w:type="dxa"/>
            </w:tcMar>
            <w:vAlign w:val="center"/>
          </w:tcPr>
          <w:p>
            <w:pPr>
              <w:spacing w:before="0" w:after="0" w:line="269" w:lineRule="auto"/>
              <w:jc w:val="left"/>
            </w:pPr>
            <w:r/>
          </w:p>
        </w:tc>
        <w:tc>
          <w:tcPr>
            <w:tcW w:type="dxa" w:w="1054"/>
            <w:tcMar>
              <w:top w:w="80" w:type="dxa"/>
              <w:bottom w:w="80" w:type="dxa"/>
              <w:start w:w="120" w:type="dxa"/>
              <w:end w:w="120" w:type="dxa"/>
            </w:tcMar>
            <w:vAlign w:val="center"/>
          </w:tcPr>
          <w:p>
            <w:pPr>
              <w:spacing w:before="0" w:after="0" w:line="269" w:lineRule="auto"/>
              <w:jc w:val="center"/>
            </w:pPr>
            <w:r/>
          </w:p>
        </w:tc>
        <w:tc>
          <w:tcPr>
            <w:tcW w:type="dxa" w:w="1661"/>
            <w:tcMar>
              <w:top w:w="80" w:type="dxa"/>
              <w:bottom w:w="80" w:type="dxa"/>
              <w:start w:w="120" w:type="dxa"/>
              <w:end w:w="120" w:type="dxa"/>
            </w:tcMar>
            <w:vAlign w:val="center"/>
          </w:tcPr>
          <w:p>
            <w:pPr>
              <w:spacing w:before="0" w:after="0" w:line="269" w:lineRule="auto"/>
              <w:jc w:val="center"/>
            </w:pPr>
            <w:r/>
          </w:p>
        </w:tc>
        <w:tc>
          <w:tcPr>
            <w:tcW w:type="dxa" w:w="1661"/>
            <w:tcMar>
              <w:top w:w="80" w:type="dxa"/>
              <w:bottom w:w="80" w:type="dxa"/>
              <w:start w:w="120" w:type="dxa"/>
              <w:end w:w="120" w:type="dxa"/>
            </w:tcMar>
            <w:vAlign w:val="center"/>
          </w:tcPr>
          <w:p>
            <w:pPr>
              <w:spacing w:before="0" w:after="0" w:line="269" w:lineRule="auto"/>
              <w:jc w:val="center"/>
            </w:pPr>
            <w:r/>
          </w:p>
        </w:tc>
        <w:tc>
          <w:tcPr>
            <w:tcW w:type="dxa" w:w="1736"/>
            <w:tcMar>
              <w:top w:w="80" w:type="dxa"/>
              <w:bottom w:w="80" w:type="dxa"/>
              <w:start w:w="120" w:type="dxa"/>
              <w:end w:w="120" w:type="dxa"/>
            </w:tcMar>
            <w:vAlign w:val="center"/>
          </w:tcPr>
          <w:p>
            <w:pPr>
              <w:spacing w:before="0" w:after="0" w:line="269" w:lineRule="auto"/>
              <w:jc w:val="center"/>
            </w:pPr>
            <w:r/>
          </w:p>
        </w:tc>
        <w:tc>
          <w:tcPr>
            <w:tcW w:type="dxa" w:w="1966"/>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9. Comparability decision matrix</w:t>
      </w:r>
    </w:p>
    <w:p>
      <w:r>
        <w:rPr>
          <w:rFonts w:ascii="Calibri" w:hAnsi="Calibri"/>
          <w:color w:val="222222"/>
        </w:rPr>
        <w:t>Complete at least eight rows. Name the purpose in each row; a field can receive a different decision for a different purpose.</w:t>
      </w:r>
    </w:p>
    <w:tbl>
      <w:tblPr>
        <w:tblStyle w:val="TableGrid"/>
        <w:tblW w:type="dxa" w:w="9360"/>
        <w:jc w:val="left"/>
        <w:tblLayout w:type="fixed"/>
        <w:tblLook w:firstColumn="1" w:firstRow="1" w:lastColumn="0" w:lastRow="0" w:noHBand="0" w:noVBand="1" w:val="04A0"/>
        <w:tblInd w:w="120" w:type="dxa"/>
      </w:tblPr>
      <w:tblGrid>
        <w:gridCol w:w="1988"/>
        <w:gridCol w:w="1422"/>
        <w:gridCol w:w="960"/>
        <w:gridCol w:w="2040"/>
        <w:gridCol w:w="1320"/>
        <w:gridCol w:w="1630"/>
      </w:tblGrid>
      <w:tr>
        <w:trPr>
          <w:cantSplit w:val="true"/>
          <w:tblHeader w:val="true"/>
        </w:trPr>
        <w:tc>
          <w:tcPr>
            <w:tcW w:type="dxa" w:w="198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Domain/field</w:t>
            </w:r>
          </w:p>
        </w:tc>
        <w:tc>
          <w:tcPr>
            <w:tcW w:type="dxa" w:w="1422"/>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Intended purpose</w:t>
            </w:r>
          </w:p>
        </w:tc>
        <w:tc>
          <w:tcPr>
            <w:tcW w:type="dxa" w:w="96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D/P/N/U</w:t>
            </w:r>
          </w:p>
        </w:tc>
        <w:tc>
          <w:tcPr>
            <w:tcW w:type="dxa" w:w="204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Evidence-based justification</w:t>
            </w:r>
          </w:p>
        </w:tc>
        <w:tc>
          <w:tcPr>
            <w:tcW w:type="dxa" w:w="132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Allowed action</w:t>
            </w:r>
          </w:p>
        </w:tc>
        <w:tc>
          <w:tcPr>
            <w:tcW w:type="dxa" w:w="163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Prohibited inference</w:t>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Species</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Matrix</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Timepoint</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Participant count</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Repeated-measures structure</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Phenotype anchor</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RefMet name</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Annotation resolution</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Units/scale</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Platform/mode</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Other: ______</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10. Decision summary</w:t>
      </w:r>
    </w:p>
    <w:p>
      <w:r>
        <w:rPr>
          <w:rFonts w:ascii="Calibri" w:hAnsi="Calibri"/>
          <w:b/>
          <w:color w:val="222222"/>
        </w:rPr>
        <w:t>Directly comparable elements:</w:t>
      </w:r>
      <w:r>
        <w:rPr>
          <w:rFonts w:ascii="Calibri" w:hAnsi="Calibri"/>
          <w:color w:val="222222"/>
        </w:rPr>
        <w:t xml:space="preserve"> __________________________________________</w:t>
      </w:r>
    </w:p>
    <w:p>
      <w:r>
        <w:rPr>
          <w:rFonts w:ascii="Calibri" w:hAnsi="Calibri"/>
          <w:b/>
          <w:color w:val="222222"/>
        </w:rPr>
        <w:t>Partially comparable elements:</w:t>
      </w:r>
      <w:r>
        <w:rPr>
          <w:rFonts w:ascii="Calibri" w:hAnsi="Calibri"/>
          <w:color w:val="222222"/>
        </w:rPr>
        <w:t xml:space="preserve"> _________________________________________</w:t>
      </w:r>
    </w:p>
    <w:p>
      <w:r>
        <w:rPr>
          <w:rFonts w:ascii="Calibri" w:hAnsi="Calibri"/>
          <w:b/>
          <w:color w:val="222222"/>
        </w:rPr>
        <w:t>Elements that must remain separate:</w:t>
      </w:r>
      <w:r>
        <w:rPr>
          <w:rFonts w:ascii="Calibri" w:hAnsi="Calibri"/>
          <w:color w:val="222222"/>
        </w:rPr>
        <w:t xml:space="preserve"> ___________________________________</w:t>
      </w:r>
    </w:p>
    <w:p>
      <w:r>
        <w:rPr>
          <w:rFonts w:ascii="Calibri" w:hAnsi="Calibri"/>
          <w:b/>
          <w:color w:val="222222"/>
        </w:rPr>
        <w:t>Unresolved evidence:</w:t>
      </w:r>
      <w:r>
        <w:rPr>
          <w:rFonts w:ascii="Calibri" w:hAnsi="Calibri"/>
          <w:color w:val="222222"/>
        </w:rPr>
        <w:t xml:space="preserve"> ___________________________________________________</w:t>
      </w:r>
    </w:p>
    <w:p>
      <w:r>
        <w:rPr>
          <w:rFonts w:ascii="Calibri" w:hAnsi="Calibri"/>
          <w:color w:val="222222"/>
        </w:rPr>
        <w:t>Complete the required exclusion statement:</w:t>
      </w:r>
    </w:p>
    <w:p>
      <w:pPr>
        <w:spacing w:before="100" w:after="120"/>
        <w:ind w:left="259" w:right="115"/>
        <w:shd w:fill="F4F6F9"/>
        <w:pBdr>
          <w:left w:val="single" w:sz="16" w:space="8" w:color="2E74B5"/>
        </w:pBdr>
      </w:pPr>
      <w:r>
        <w:rPr>
          <w:rFonts w:ascii="Calibri" w:hAnsi="Calibri"/>
          <w:color w:val="1F4D78"/>
        </w:rPr>
        <w:t>We will not combine __________________ across the two studies because __________________. We can still compare __________________ by __________________.</w:t>
      </w:r>
    </w:p>
    <w:p>
      <w:r>
        <w:rPr>
          <w:rFonts w:ascii="Calibri" w:hAnsi="Calibri"/>
          <w:color w:val="222222"/>
        </w:rPr>
        <w:t>Write one bounded comparison claim:</w:t>
      </w:r>
    </w:p>
    <w:p>
      <w:pPr>
        <w:spacing w:before="100" w:after="120"/>
        <w:ind w:left="259" w:right="115"/>
        <w:shd w:fill="F4F6F9"/>
        <w:pBdr>
          <w:left w:val="single" w:sz="16" w:space="8" w:color="2E74B5"/>
        </w:pBdr>
      </w:pPr>
      <w:r>
        <w:rPr>
          <w:rFonts w:ascii="Calibri" w:hAnsi="Calibri"/>
          <w:color w:val="1F4D78"/>
        </w:rPr>
        <w:t>________________________________________________________________________</w:t>
      </w:r>
    </w:p>
    <w:p>
      <w:r>
        <w:rPr>
          <w:rFonts w:ascii="Calibri" w:hAnsi="Calibri"/>
          <w:color w:val="222222"/>
        </w:rPr>
        <w:t>Write one tempting but unsupported claim you will avoid:</w:t>
      </w:r>
    </w:p>
    <w:p>
      <w:pPr>
        <w:spacing w:before="100" w:after="120"/>
        <w:ind w:left="259" w:right="115"/>
        <w:shd w:fill="F4F6F9"/>
        <w:pBdr>
          <w:left w:val="single" w:sz="16" w:space="8" w:color="2E74B5"/>
        </w:pBdr>
      </w:pPr>
      <w:r>
        <w:rPr>
          <w:rFonts w:ascii="Calibri" w:hAnsi="Calibri"/>
          <w:color w:val="1F4D78"/>
        </w:rPr>
        <w:t>________________________________________________________________________</w:t>
      </w:r>
    </w:p>
    <w:p>
      <w:pPr>
        <w:pStyle w:val="Heading2"/>
      </w:pPr>
      <w:r>
        <w:rPr>
          <w:rFonts w:ascii="Calibri" w:hAnsi="Calibri"/>
          <w:color w:val="222222"/>
        </w:rPr>
        <w:t>Completion check</w:t>
      </w:r>
    </w:p>
    <w:p>
      <w:pPr>
        <w:numPr>
          <w:ilvl w:val="0"/>
          <w:numId w:val="87"/>
        </w:numPr>
        <w:spacing w:after="80" w:line="300" w:lineRule="auto"/>
      </w:pPr>
      <w:r>
        <w:rPr>
          <w:rFonts w:ascii="Calibri" w:hAnsi="Calibri"/>
          <w:color w:val="222222"/>
        </w:rPr>
        <w:t xml:space="preserve">[ ] Every factual entry has a source or explicit </w:t>
      </w:r>
      <w:r>
        <w:rPr>
          <w:rFonts w:ascii="Consolas" w:hAnsi="Consolas"/>
          <w:color w:val="1F4D78"/>
          <w:sz w:val="21"/>
          <w:shd w:fill="EEF1F4"/>
        </w:rPr>
        <w:t>NR</w:t>
      </w:r>
      <w:r>
        <w:rPr>
          <w:rFonts w:ascii="Calibri" w:hAnsi="Calibri"/>
          <w:color w:val="222222"/>
        </w:rPr>
        <w:t xml:space="preserve">, </w:t>
      </w:r>
      <w:r>
        <w:rPr>
          <w:rFonts w:ascii="Consolas" w:hAnsi="Consolas"/>
          <w:color w:val="1F4D78"/>
          <w:sz w:val="21"/>
          <w:shd w:fill="EEF1F4"/>
        </w:rPr>
        <w:t>NA</w:t>
      </w:r>
      <w:r>
        <w:rPr>
          <w:rFonts w:ascii="Calibri" w:hAnsi="Calibri"/>
          <w:color w:val="222222"/>
        </w:rPr>
        <w:t xml:space="preserve">, or </w:t>
      </w:r>
      <w:r>
        <w:rPr>
          <w:rFonts w:ascii="Consolas" w:hAnsi="Consolas"/>
          <w:color w:val="1F4D78"/>
          <w:sz w:val="21"/>
          <w:shd w:fill="EEF1F4"/>
        </w:rPr>
        <w:t>U</w:t>
      </w:r>
      <w:r>
        <w:rPr>
          <w:rFonts w:ascii="Calibri" w:hAnsi="Calibri"/>
          <w:color w:val="222222"/>
        </w:rPr>
        <w:t xml:space="preserve"> code.</w:t>
      </w:r>
    </w:p>
    <w:p>
      <w:pPr>
        <w:numPr>
          <w:ilvl w:val="0"/>
          <w:numId w:val="87"/>
        </w:numPr>
        <w:spacing w:after="80" w:line="300" w:lineRule="auto"/>
      </w:pPr>
      <w:r>
        <w:rPr>
          <w:rFonts w:ascii="Calibri" w:hAnsi="Calibri"/>
          <w:color w:val="222222"/>
        </w:rPr>
        <w:t>[ ] Participant counts are separate from biological sample and QC counts.</w:t>
      </w:r>
    </w:p>
    <w:p>
      <w:pPr>
        <w:numPr>
          <w:ilvl w:val="0"/>
          <w:numId w:val="87"/>
        </w:numPr>
        <w:spacing w:after="80" w:line="300" w:lineRule="auto"/>
      </w:pPr>
      <w:r>
        <w:rPr>
          <w:rFonts w:ascii="Calibri" w:hAnsi="Calibri"/>
          <w:color w:val="222222"/>
        </w:rPr>
        <w:t>[ ] Plasma and serum remain visible.</w:t>
      </w:r>
    </w:p>
    <w:p>
      <w:pPr>
        <w:numPr>
          <w:ilvl w:val="0"/>
          <w:numId w:val="87"/>
        </w:numPr>
        <w:spacing w:after="80" w:line="300" w:lineRule="auto"/>
      </w:pPr>
      <w:r>
        <w:rPr>
          <w:rFonts w:ascii="Calibri" w:hAnsi="Calibri"/>
          <w:color w:val="222222"/>
        </w:rPr>
        <w:t>[ ] All time labels have protocol meanings or are unresolved.</w:t>
      </w:r>
    </w:p>
    <w:p>
      <w:pPr>
        <w:numPr>
          <w:ilvl w:val="0"/>
          <w:numId w:val="87"/>
        </w:numPr>
        <w:spacing w:after="80" w:line="300" w:lineRule="auto"/>
      </w:pPr>
      <w:r>
        <w:rPr>
          <w:rFonts w:ascii="Calibri" w:hAnsi="Calibri"/>
          <w:color w:val="222222"/>
        </w:rPr>
        <w:t>[ ] Concurrent interventions and selection/assignment caveats are recorded.</w:t>
      </w:r>
    </w:p>
    <w:p>
      <w:pPr>
        <w:numPr>
          <w:ilvl w:val="0"/>
          <w:numId w:val="87"/>
        </w:numPr>
        <w:spacing w:after="80" w:line="300" w:lineRule="auto"/>
      </w:pPr>
      <w:r>
        <w:rPr>
          <w:rFonts w:ascii="Calibri" w:hAnsi="Calibri"/>
          <w:color w:val="222222"/>
        </w:rPr>
        <w:t>[ ] All analysis IDs and units are listed.</w:t>
      </w:r>
    </w:p>
    <w:p>
      <w:pPr>
        <w:numPr>
          <w:ilvl w:val="0"/>
          <w:numId w:val="87"/>
        </w:numPr>
        <w:spacing w:after="80" w:line="300" w:lineRule="auto"/>
      </w:pPr>
      <w:r>
        <w:rPr>
          <w:rFonts w:ascii="Calibri" w:hAnsi="Calibri"/>
          <w:color w:val="222222"/>
        </w:rPr>
        <w:t>[ ] At least one field is intentionally not harmonized.</w:t>
      </w:r>
    </w:p>
    <w:p>
      <w:pPr>
        <w:numPr>
          <w:ilvl w:val="0"/>
          <w:numId w:val="87"/>
        </w:numPr>
        <w:spacing w:after="80" w:line="300" w:lineRule="auto"/>
      </w:pPr>
      <w:r>
        <w:rPr>
          <w:rFonts w:ascii="Calibri" w:hAnsi="Calibri"/>
          <w:color w:val="222222"/>
        </w:rPr>
        <w:t>[ ] No conclusion relies on pooled cross-study quantitative values.</w:t>
      </w:r>
    </w:p>
    <w:p>
      <w:r>
        <w:br w:type="page"/>
      </w:r>
    </w:p>
    <w:p>
      <w:pPr>
        <w:pStyle w:val="Heading1"/>
      </w:pPr>
      <w:r>
        <w:rPr>
          <w:rFonts w:ascii="Calibri" w:hAnsi="Calibri"/>
          <w:color w:val="222222"/>
        </w:rPr>
        <w:t>Metabolite and metadata crosswalk - learner version</w:t>
      </w:r>
    </w:p>
    <w:p>
      <w:r>
        <w:rPr>
          <w:rFonts w:ascii="Calibri" w:hAnsi="Calibri"/>
          <w:b/>
          <w:color w:val="222222"/>
        </w:rPr>
        <w:t>Module:</w:t>
      </w:r>
      <w:r>
        <w:rPr>
          <w:rFonts w:ascii="Calibri" w:hAnsi="Calibri"/>
          <w:color w:val="222222"/>
        </w:rPr>
        <w:t xml:space="preserve"> Metabo-Diet</w:t>
      </w:r>
    </w:p>
    <w:p>
      <w:r>
        <w:rPr>
          <w:rFonts w:ascii="Calibri" w:hAnsi="Calibri"/>
          <w:b/>
          <w:color w:val="222222"/>
        </w:rPr>
        <w:t>Learner/reviewer:</w:t>
      </w:r>
      <w:r>
        <w:rPr>
          <w:rFonts w:ascii="Calibri" w:hAnsi="Calibri"/>
          <w:color w:val="222222"/>
        </w:rPr>
        <w:t xml:space="preserve"> ____________________</w:t>
      </w:r>
    </w:p>
    <w:p>
      <w:r>
        <w:rPr>
          <w:rFonts w:ascii="Calibri" w:hAnsi="Calibri"/>
          <w:b/>
          <w:color w:val="222222"/>
        </w:rPr>
        <w:t>Crosswalk version:</w:t>
      </w:r>
      <w:r>
        <w:rPr>
          <w:rFonts w:ascii="Calibri" w:hAnsi="Calibri"/>
          <w:color w:val="222222"/>
        </w:rPr>
        <w:t xml:space="preserve"> ____________________</w:t>
      </w:r>
    </w:p>
    <w:p>
      <w:r>
        <w:rPr>
          <w:rFonts w:ascii="Calibri" w:hAnsi="Calibri"/>
          <w:b/>
          <w:color w:val="222222"/>
        </w:rPr>
        <w:t>Created:</w:t>
      </w:r>
      <w:r>
        <w:rPr>
          <w:rFonts w:ascii="Calibri" w:hAnsi="Calibri"/>
          <w:color w:val="222222"/>
        </w:rPr>
        <w:t xml:space="preserve"> ____________________</w:t>
      </w:r>
    </w:p>
    <w:p>
      <w:r>
        <w:rPr>
          <w:rFonts w:ascii="Calibri" w:hAnsi="Calibri"/>
          <w:b/>
          <w:color w:val="222222"/>
        </w:rPr>
        <w:t>RefMet retrieval date/version:</w:t>
      </w:r>
      <w:r>
        <w:rPr>
          <w:rFonts w:ascii="Calibri" w:hAnsi="Calibri"/>
          <w:color w:val="222222"/>
        </w:rPr>
        <w:t xml:space="preserve"> ____________________</w:t>
      </w:r>
    </w:p>
    <w:p>
      <w:pPr>
        <w:pStyle w:val="Heading2"/>
      </w:pPr>
      <w:r>
        <w:rPr>
          <w:rFonts w:ascii="Calibri" w:hAnsi="Calibri"/>
          <w:color w:val="222222"/>
        </w:rPr>
        <w:t>Purpose and non-purpose</w:t>
      </w:r>
    </w:p>
    <w:p>
      <w:r>
        <w:rPr>
          <w:rFonts w:ascii="Calibri" w:hAnsi="Calibri"/>
          <w:color w:val="222222"/>
        </w:rPr>
        <w:t xml:space="preserve">This template records source evidence, harmonized representations, review decisions, and purpose-specific eligibility for </w:t>
      </w:r>
      <w:r>
        <w:rPr>
          <w:rFonts w:ascii="Consolas" w:hAnsi="Consolas"/>
          <w:color w:val="1F4D78"/>
          <w:sz w:val="21"/>
          <w:shd w:fill="EEF1F4"/>
        </w:rPr>
        <w:t>DIET_ACCESSION = ST001521</w:t>
      </w:r>
      <w:r>
        <w:rPr>
          <w:rFonts w:ascii="Calibri" w:hAnsi="Calibri"/>
          <w:color w:val="222222"/>
        </w:rPr>
        <w:t xml:space="preserve"> and </w:t>
      </w:r>
      <w:r>
        <w:rPr>
          <w:rFonts w:ascii="Consolas" w:hAnsi="Consolas"/>
          <w:color w:val="1F4D78"/>
          <w:sz w:val="21"/>
          <w:shd w:fill="EEF1F4"/>
        </w:rPr>
        <w:t>EXERCISE_ACCESSION = ST003348</w:t>
      </w:r>
      <w:r>
        <w:rPr>
          <w:rFonts w:ascii="Calibri" w:hAnsi="Calibri"/>
          <w:color w:val="222222"/>
        </w:rPr>
        <w:t>.</w:t>
      </w:r>
    </w:p>
    <w:p>
      <w:r>
        <w:rPr>
          <w:rFonts w:ascii="Calibri" w:hAnsi="Calibri"/>
          <w:color w:val="222222"/>
        </w:rPr>
        <w:t>It supports auditable name and metadata comparison. It does not authorize pooling quantitative values across the studies.</w:t>
      </w:r>
    </w:p>
    <w:p>
      <w:pPr>
        <w:pStyle w:val="Heading2"/>
      </w:pPr>
      <w:r>
        <w:rPr>
          <w:rFonts w:ascii="Calibri" w:hAnsi="Calibri"/>
          <w:color w:val="222222"/>
        </w:rPr>
        <w:t>Controlled values</w:t>
      </w:r>
    </w:p>
    <w:p>
      <w:pPr>
        <w:pStyle w:val="Heading3"/>
      </w:pPr>
      <w:r>
        <w:rPr>
          <w:rFonts w:ascii="Calibri" w:hAnsi="Calibri"/>
          <w:color w:val="222222"/>
        </w:rPr>
        <w:t>Mapping status</w:t>
      </w:r>
    </w:p>
    <w:p>
      <w:pPr>
        <w:numPr>
          <w:ilvl w:val="0"/>
          <w:numId w:val="88"/>
        </w:numPr>
        <w:spacing w:after="80" w:line="300" w:lineRule="auto"/>
      </w:pPr>
      <w:r>
        <w:rPr>
          <w:rFonts w:ascii="Consolas" w:hAnsi="Consolas"/>
          <w:color w:val="1F4D78"/>
          <w:sz w:val="21"/>
          <w:shd w:fill="EEF1F4"/>
        </w:rPr>
        <w:t>accepted_exact</w:t>
      </w:r>
    </w:p>
    <w:p>
      <w:pPr>
        <w:numPr>
          <w:ilvl w:val="0"/>
          <w:numId w:val="88"/>
        </w:numPr>
        <w:spacing w:after="80" w:line="300" w:lineRule="auto"/>
      </w:pPr>
      <w:r>
        <w:rPr>
          <w:rFonts w:ascii="Consolas" w:hAnsi="Consolas"/>
          <w:color w:val="1F4D78"/>
          <w:sz w:val="21"/>
          <w:shd w:fill="EEF1F4"/>
        </w:rPr>
        <w:t>accepted_broader</w:t>
      </w:r>
    </w:p>
    <w:p>
      <w:pPr>
        <w:numPr>
          <w:ilvl w:val="0"/>
          <w:numId w:val="88"/>
        </w:numPr>
        <w:spacing w:after="80" w:line="300" w:lineRule="auto"/>
      </w:pPr>
      <w:r>
        <w:rPr>
          <w:rFonts w:ascii="Consolas" w:hAnsi="Consolas"/>
          <w:color w:val="1F4D78"/>
          <w:sz w:val="21"/>
          <w:shd w:fill="EEF1F4"/>
        </w:rPr>
        <w:t>review_required</w:t>
      </w:r>
    </w:p>
    <w:p>
      <w:pPr>
        <w:numPr>
          <w:ilvl w:val="0"/>
          <w:numId w:val="88"/>
        </w:numPr>
        <w:spacing w:after="80" w:line="300" w:lineRule="auto"/>
      </w:pPr>
      <w:r>
        <w:rPr>
          <w:rFonts w:ascii="Consolas" w:hAnsi="Consolas"/>
          <w:color w:val="1F4D78"/>
          <w:sz w:val="21"/>
          <w:shd w:fill="EEF1F4"/>
        </w:rPr>
        <w:t>unmapped</w:t>
      </w:r>
    </w:p>
    <w:p>
      <w:pPr>
        <w:numPr>
          <w:ilvl w:val="0"/>
          <w:numId w:val="88"/>
        </w:numPr>
        <w:spacing w:after="80" w:line="300" w:lineRule="auto"/>
      </w:pPr>
      <w:r>
        <w:rPr>
          <w:rFonts w:ascii="Consolas" w:hAnsi="Consolas"/>
          <w:color w:val="1F4D78"/>
          <w:sz w:val="21"/>
          <w:shd w:fill="EEF1F4"/>
        </w:rPr>
        <w:t>excluded_nonbiological</w:t>
      </w:r>
    </w:p>
    <w:p>
      <w:pPr>
        <w:numPr>
          <w:ilvl w:val="0"/>
          <w:numId w:val="88"/>
        </w:numPr>
        <w:spacing w:after="80" w:line="300" w:lineRule="auto"/>
      </w:pPr>
      <w:r>
        <w:rPr>
          <w:rFonts w:ascii="Consolas" w:hAnsi="Consolas"/>
          <w:color w:val="1F4D78"/>
          <w:sz w:val="21"/>
          <w:shd w:fill="EEF1F4"/>
        </w:rPr>
        <w:t>not_evaluated</w:t>
      </w:r>
    </w:p>
    <w:p>
      <w:pPr>
        <w:pStyle w:val="Heading3"/>
      </w:pPr>
      <w:r>
        <w:rPr>
          <w:rFonts w:ascii="Calibri" w:hAnsi="Calibri"/>
          <w:color w:val="222222"/>
        </w:rPr>
        <w:t>Annotation resolution</w:t>
      </w:r>
    </w:p>
    <w:p>
      <w:pPr>
        <w:numPr>
          <w:ilvl w:val="0"/>
          <w:numId w:val="89"/>
        </w:numPr>
        <w:spacing w:after="80" w:line="300" w:lineRule="auto"/>
      </w:pPr>
      <w:r>
        <w:rPr>
          <w:rFonts w:ascii="Consolas" w:hAnsi="Consolas"/>
          <w:color w:val="1F4D78"/>
          <w:sz w:val="21"/>
          <w:shd w:fill="EEF1F4"/>
        </w:rPr>
        <w:t>discrete_structure</w:t>
      </w:r>
    </w:p>
    <w:p>
      <w:pPr>
        <w:numPr>
          <w:ilvl w:val="0"/>
          <w:numId w:val="89"/>
        </w:numPr>
        <w:spacing w:after="80" w:line="300" w:lineRule="auto"/>
      </w:pPr>
      <w:r>
        <w:rPr>
          <w:rFonts w:ascii="Consolas" w:hAnsi="Consolas"/>
          <w:color w:val="1F4D78"/>
          <w:sz w:val="21"/>
          <w:shd w:fill="EEF1F4"/>
        </w:rPr>
        <w:t>stereochemistry_unspecified</w:t>
      </w:r>
    </w:p>
    <w:p>
      <w:pPr>
        <w:numPr>
          <w:ilvl w:val="0"/>
          <w:numId w:val="89"/>
        </w:numPr>
        <w:spacing w:after="80" w:line="300" w:lineRule="auto"/>
      </w:pPr>
      <w:r>
        <w:rPr>
          <w:rFonts w:ascii="Consolas" w:hAnsi="Consolas"/>
          <w:color w:val="1F4D78"/>
          <w:sz w:val="21"/>
          <w:shd w:fill="EEF1F4"/>
        </w:rPr>
        <w:t>lipid_molecular_species</w:t>
      </w:r>
    </w:p>
    <w:p>
      <w:pPr>
        <w:numPr>
          <w:ilvl w:val="0"/>
          <w:numId w:val="89"/>
        </w:numPr>
        <w:spacing w:after="80" w:line="300" w:lineRule="auto"/>
      </w:pPr>
      <w:r>
        <w:rPr>
          <w:rFonts w:ascii="Consolas" w:hAnsi="Consolas"/>
          <w:color w:val="1F4D78"/>
          <w:sz w:val="21"/>
          <w:shd w:fill="EEF1F4"/>
        </w:rPr>
        <w:t>lipid_sum_composition</w:t>
      </w:r>
    </w:p>
    <w:p>
      <w:pPr>
        <w:numPr>
          <w:ilvl w:val="0"/>
          <w:numId w:val="89"/>
        </w:numPr>
        <w:spacing w:after="80" w:line="300" w:lineRule="auto"/>
      </w:pPr>
      <w:r>
        <w:rPr>
          <w:rFonts w:ascii="Consolas" w:hAnsi="Consolas"/>
          <w:color w:val="1F4D78"/>
          <w:sz w:val="21"/>
          <w:shd w:fill="EEF1F4"/>
        </w:rPr>
        <w:t>compound_class_only</w:t>
      </w:r>
    </w:p>
    <w:p>
      <w:pPr>
        <w:numPr>
          <w:ilvl w:val="0"/>
          <w:numId w:val="89"/>
        </w:numPr>
        <w:spacing w:after="80" w:line="300" w:lineRule="auto"/>
      </w:pPr>
      <w:r>
        <w:rPr>
          <w:rFonts w:ascii="Consolas" w:hAnsi="Consolas"/>
          <w:color w:val="1F4D78"/>
          <w:sz w:val="21"/>
          <w:shd w:fill="EEF1F4"/>
        </w:rPr>
        <w:t>unknown</w:t>
      </w:r>
    </w:p>
    <w:p>
      <w:pPr>
        <w:pStyle w:val="Heading3"/>
      </w:pPr>
      <w:r>
        <w:rPr>
          <w:rFonts w:ascii="Calibri" w:hAnsi="Calibri"/>
          <w:color w:val="222222"/>
        </w:rPr>
        <w:t>Eligibility</w:t>
      </w:r>
    </w:p>
    <w:p>
      <w:r>
        <w:rPr>
          <w:rFonts w:ascii="Calibri" w:hAnsi="Calibri"/>
          <w:color w:val="222222"/>
        </w:rPr>
        <w:t xml:space="preserve">Use </w:t>
      </w:r>
      <w:r>
        <w:rPr>
          <w:rFonts w:ascii="Consolas" w:hAnsi="Consolas"/>
          <w:color w:val="1F4D78"/>
          <w:sz w:val="21"/>
          <w:shd w:fill="EEF1F4"/>
        </w:rPr>
        <w:t>yes</w:t>
      </w:r>
      <w:r>
        <w:rPr>
          <w:rFonts w:ascii="Calibri" w:hAnsi="Calibri"/>
          <w:color w:val="222222"/>
        </w:rPr>
        <w:t xml:space="preserve">, </w:t>
      </w:r>
      <w:r>
        <w:rPr>
          <w:rFonts w:ascii="Consolas" w:hAnsi="Consolas"/>
          <w:color w:val="1F4D78"/>
          <w:sz w:val="21"/>
          <w:shd w:fill="EEF1F4"/>
        </w:rPr>
        <w:t>no</w:t>
      </w:r>
      <w:r>
        <w:rPr>
          <w:rFonts w:ascii="Calibri" w:hAnsi="Calibri"/>
          <w:color w:val="222222"/>
        </w:rPr>
        <w:t xml:space="preserve">, or </w:t>
      </w:r>
      <w:r>
        <w:rPr>
          <w:rFonts w:ascii="Consolas" w:hAnsi="Consolas"/>
          <w:color w:val="1F4D78"/>
          <w:sz w:val="21"/>
          <w:shd w:fill="EEF1F4"/>
        </w:rPr>
        <w:t>review</w:t>
      </w:r>
      <w:r>
        <w:rPr>
          <w:rFonts w:ascii="Calibri" w:hAnsi="Calibri"/>
          <w:color w:val="222222"/>
        </w:rPr>
        <w:t xml:space="preserve"> separately for:</w:t>
      </w:r>
    </w:p>
    <w:p>
      <w:pPr>
        <w:numPr>
          <w:ilvl w:val="0"/>
          <w:numId w:val="90"/>
        </w:numPr>
        <w:spacing w:after="80" w:line="300" w:lineRule="auto"/>
      </w:pPr>
      <w:r>
        <w:rPr>
          <w:rFonts w:ascii="Consolas" w:hAnsi="Consolas"/>
          <w:color w:val="1F4D78"/>
          <w:sz w:val="21"/>
          <w:shd w:fill="EEF1F4"/>
        </w:rPr>
        <w:t>eligible_exact_name_overlap</w:t>
      </w:r>
    </w:p>
    <w:p>
      <w:pPr>
        <w:numPr>
          <w:ilvl w:val="0"/>
          <w:numId w:val="90"/>
        </w:numPr>
        <w:spacing w:after="80" w:line="300" w:lineRule="auto"/>
      </w:pPr>
      <w:r>
        <w:rPr>
          <w:rFonts w:ascii="Consolas" w:hAnsi="Consolas"/>
          <w:color w:val="1F4D78"/>
          <w:sz w:val="21"/>
          <w:shd w:fill="EEF1F4"/>
        </w:rPr>
        <w:t>eligible_class_summary</w:t>
      </w:r>
    </w:p>
    <w:p>
      <w:pPr>
        <w:numPr>
          <w:ilvl w:val="0"/>
          <w:numId w:val="90"/>
        </w:numPr>
        <w:spacing w:after="80" w:line="300" w:lineRule="auto"/>
      </w:pPr>
      <w:r>
        <w:rPr>
          <w:rFonts w:ascii="Consolas" w:hAnsi="Consolas"/>
          <w:color w:val="1F4D78"/>
          <w:sz w:val="21"/>
          <w:shd w:fill="EEF1F4"/>
        </w:rPr>
        <w:t>eligible_within_study_quantitative</w:t>
      </w:r>
    </w:p>
    <w:p>
      <w:pPr>
        <w:numPr>
          <w:ilvl w:val="0"/>
          <w:numId w:val="90"/>
        </w:numPr>
        <w:spacing w:after="80" w:line="300" w:lineRule="auto"/>
      </w:pPr>
      <w:r>
        <w:rPr>
          <w:rFonts w:ascii="Consolas" w:hAnsi="Consolas"/>
          <w:color w:val="1F4D78"/>
          <w:sz w:val="21"/>
          <w:shd w:fill="EEF1F4"/>
        </w:rPr>
        <w:t>eligible_cross_study_quantitative</w:t>
      </w:r>
    </w:p>
    <w:p>
      <w:r>
        <w:rPr>
          <w:rFonts w:ascii="Calibri" w:hAnsi="Calibri"/>
          <w:color w:val="222222"/>
        </w:rPr>
        <w:t xml:space="preserve">For this module, </w:t>
      </w:r>
      <w:r>
        <w:rPr>
          <w:rFonts w:ascii="Consolas" w:hAnsi="Consolas"/>
          <w:color w:val="1F4D78"/>
          <w:sz w:val="21"/>
          <w:shd w:fill="EEF1F4"/>
        </w:rPr>
        <w:t>eligible_cross_study_quantitative</w:t>
      </w:r>
      <w:r>
        <w:rPr>
          <w:rFonts w:ascii="Calibri" w:hAnsi="Calibri"/>
          <w:color w:val="222222"/>
        </w:rPr>
        <w:t xml:space="preserve"> is </w:t>
      </w:r>
      <w:r>
        <w:rPr>
          <w:rFonts w:ascii="Consolas" w:hAnsi="Consolas"/>
          <w:color w:val="1F4D78"/>
          <w:sz w:val="21"/>
          <w:shd w:fill="EEF1F4"/>
        </w:rPr>
        <w:t>no</w:t>
      </w:r>
      <w:r>
        <w:rPr>
          <w:rFonts w:ascii="Calibri" w:hAnsi="Calibri"/>
          <w:color w:val="222222"/>
        </w:rPr>
        <w:t xml:space="preserve"> for both studies.</w:t>
      </w:r>
    </w:p>
    <w:p>
      <w:pPr>
        <w:pStyle w:val="Heading2"/>
      </w:pPr>
      <w:r>
        <w:rPr>
          <w:rFonts w:ascii="Calibri" w:hAnsi="Calibri"/>
          <w:color w:val="222222"/>
        </w:rPr>
        <w:t>Tab A - Metabolite mapping</w:t>
      </w:r>
    </w:p>
    <w:p>
      <w:r>
        <w:rPr>
          <w:rFonts w:ascii="Calibri" w:hAnsi="Calibri"/>
          <w:color w:val="222222"/>
        </w:rPr>
        <w:t>Use one row per source feature per analysis. Do not deduplicate before preserving source identity.</w:t>
      </w:r>
    </w:p>
    <w:tbl>
      <w:tblPr>
        <w:tblStyle w:val="TableGrid"/>
        <w:tblW w:type="dxa" w:w="9360"/>
        <w:jc w:val="left"/>
        <w:tblLayout w:type="fixed"/>
        <w:tblLook w:firstColumn="1" w:firstRow="1" w:lastColumn="0" w:lastRow="0" w:noHBand="0" w:noVBand="1" w:val="04A0"/>
        <w:tblInd w:w="120" w:type="dxa"/>
      </w:tblPr>
      <w:tblGrid>
        <w:gridCol w:w="4104"/>
        <w:gridCol w:w="5256"/>
      </w:tblGrid>
      <w:tr>
        <w:trPr>
          <w:cantSplit w:val="true"/>
          <w:tblHeader w:val="true"/>
        </w:trPr>
        <w:tc>
          <w:tcPr>
            <w:tcW w:type="dxa" w:w="410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Column</w:t>
            </w:r>
          </w:p>
        </w:tc>
        <w:tc>
          <w:tcPr>
            <w:tcW w:type="dxa" w:w="525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Required meaning</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row_id</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Stable crosswalk-row identifier</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config_key</w:t>
            </w:r>
          </w:p>
        </w:tc>
        <w:tc>
          <w:tcPr>
            <w:tcW w:type="dxa" w:w="5256"/>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DIET_ACCESSION</w:t>
            </w:r>
            <w:r>
              <w:rPr>
                <w:rFonts w:ascii="Calibri" w:hAnsi="Calibri"/>
                <w:color w:val="222222"/>
                <w:sz w:val="18"/>
              </w:rPr>
              <w:t xml:space="preserve"> or </w:t>
            </w:r>
            <w:r>
              <w:rPr>
                <w:rFonts w:ascii="Consolas" w:hAnsi="Consolas"/>
                <w:color w:val="1F4D78"/>
                <w:sz w:val="17"/>
                <w:shd w:fill="EEF1F4"/>
              </w:rPr>
              <w:t>EXERCISE_ACCESSION</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study_accession</w:t>
            </w:r>
          </w:p>
        </w:tc>
        <w:tc>
          <w:tcPr>
            <w:tcW w:type="dxa" w:w="5256"/>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ST001521</w:t>
            </w:r>
            <w:r>
              <w:rPr>
                <w:rFonts w:ascii="Calibri" w:hAnsi="Calibri"/>
                <w:color w:val="222222"/>
                <w:sz w:val="18"/>
              </w:rPr>
              <w:t xml:space="preserve"> or </w:t>
            </w:r>
            <w:r>
              <w:rPr>
                <w:rFonts w:ascii="Consolas" w:hAnsi="Consolas"/>
                <w:color w:val="1F4D78"/>
                <w:sz w:val="17"/>
                <w:shd w:fill="EEF1F4"/>
              </w:rPr>
              <w:t>ST003348</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analysis_id</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Source </w:t>
            </w:r>
            <w:r>
              <w:rPr>
                <w:rFonts w:ascii="Consolas" w:hAnsi="Consolas"/>
                <w:color w:val="1F4D78"/>
                <w:sz w:val="17"/>
                <w:shd w:fill="EEF1F4"/>
              </w:rPr>
              <w:t>AN...</w:t>
            </w:r>
            <w:r>
              <w:rPr>
                <w:rFonts w:ascii="Calibri" w:hAnsi="Calibri"/>
                <w:color w:val="222222"/>
                <w:sz w:val="18"/>
              </w:rPr>
              <w:t xml:space="preserve"> identifier</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source_feature_id</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Original feature/metabolite ID if present</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source_metabolite_name</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deposited label</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source_refmet_name</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RefMet value returned in the MW metabolite record, including blank</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source_formula</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Original formula or </w:t>
            </w:r>
            <w:r>
              <w:rPr>
                <w:rFonts w:ascii="Consolas" w:hAnsi="Consolas"/>
                <w:color w:val="1F4D78"/>
                <w:sz w:val="17"/>
                <w:shd w:fill="EEF1F4"/>
              </w:rPr>
              <w:t>NR</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source_inchikey</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Original InChIKey or </w:t>
            </w:r>
            <w:r>
              <w:rPr>
                <w:rFonts w:ascii="Consolas" w:hAnsi="Consolas"/>
                <w:color w:val="1F4D78"/>
                <w:sz w:val="17"/>
                <w:shd w:fill="EEF1F4"/>
              </w:rPr>
              <w:t>NR</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source_external_ids</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PubChem, HMDB, KEGG, or other IDs with namespaces</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source_unit</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analysis unit or scale</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source_endpoint</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URL or cached file identifier</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retrieved_at_utc</w:t>
            </w:r>
          </w:p>
        </w:tc>
        <w:tc>
          <w:tcPr>
            <w:tcW w:type="dxa" w:w="525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ISO 8601 timestamp</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lookup_string</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string sent to RefMet, if queried separately</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lookup_transform</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Changes from source label to lookup string; use </w:t>
            </w:r>
            <w:r>
              <w:rPr>
                <w:rFonts w:ascii="Consolas" w:hAnsi="Consolas"/>
                <w:color w:val="1F4D78"/>
                <w:sz w:val="17"/>
                <w:shd w:fill="EEF1F4"/>
              </w:rPr>
              <w:t>none</w:t>
            </w:r>
            <w:r>
              <w:rPr>
                <w:rFonts w:ascii="Calibri" w:hAnsi="Calibri"/>
                <w:color w:val="222222"/>
                <w:sz w:val="18"/>
              </w:rPr>
              <w:t xml:space="preserve"> if unchanged</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refmet_candidate</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Candidate standardized name; preserve multiple candidates</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refmet_query_url</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query or versioned bulk-table source</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annotation_resolution</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Controlled value above</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identification_evidence</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Evidence reported by source; do not upgrade it</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mapping_status</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Controlled value above</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decision_reason</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Evidence-based rationale</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reviewer_or_rule</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Person, rule ID, or software version</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reviewed_at_utc</w:t>
            </w:r>
          </w:p>
        </w:tc>
        <w:tc>
          <w:tcPr>
            <w:tcW w:type="dxa" w:w="525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ISO 8601 timestamp</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eligible_exact_name_overlap</w:t>
            </w:r>
          </w:p>
        </w:tc>
        <w:tc>
          <w:tcPr>
            <w:tcW w:type="dxa" w:w="5256"/>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yes</w:t>
            </w:r>
            <w:r>
              <w:rPr>
                <w:rFonts w:ascii="Calibri" w:hAnsi="Calibri"/>
                <w:color w:val="222222"/>
                <w:sz w:val="18"/>
              </w:rPr>
              <w:t xml:space="preserve">, </w:t>
            </w:r>
            <w:r>
              <w:rPr>
                <w:rFonts w:ascii="Consolas" w:hAnsi="Consolas"/>
                <w:color w:val="1F4D78"/>
                <w:sz w:val="17"/>
                <w:shd w:fill="EEF1F4"/>
              </w:rPr>
              <w:t>no</w:t>
            </w:r>
            <w:r>
              <w:rPr>
                <w:rFonts w:ascii="Calibri" w:hAnsi="Calibri"/>
                <w:color w:val="222222"/>
                <w:sz w:val="18"/>
              </w:rPr>
              <w:t xml:space="preserve">, or </w:t>
            </w:r>
            <w:r>
              <w:rPr>
                <w:rFonts w:ascii="Consolas" w:hAnsi="Consolas"/>
                <w:color w:val="1F4D78"/>
                <w:sz w:val="17"/>
                <w:shd w:fill="EEF1F4"/>
              </w:rPr>
              <w:t>review</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eligible_class_summary</w:t>
            </w:r>
          </w:p>
        </w:tc>
        <w:tc>
          <w:tcPr>
            <w:tcW w:type="dxa" w:w="5256"/>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yes</w:t>
            </w:r>
            <w:r>
              <w:rPr>
                <w:rFonts w:ascii="Calibri" w:hAnsi="Calibri"/>
                <w:color w:val="222222"/>
                <w:sz w:val="18"/>
              </w:rPr>
              <w:t xml:space="preserve">, </w:t>
            </w:r>
            <w:r>
              <w:rPr>
                <w:rFonts w:ascii="Consolas" w:hAnsi="Consolas"/>
                <w:color w:val="1F4D78"/>
                <w:sz w:val="17"/>
                <w:shd w:fill="EEF1F4"/>
              </w:rPr>
              <w:t>no</w:t>
            </w:r>
            <w:r>
              <w:rPr>
                <w:rFonts w:ascii="Calibri" w:hAnsi="Calibri"/>
                <w:color w:val="222222"/>
                <w:sz w:val="18"/>
              </w:rPr>
              <w:t xml:space="preserve">, or </w:t>
            </w:r>
            <w:r>
              <w:rPr>
                <w:rFonts w:ascii="Consolas" w:hAnsi="Consolas"/>
                <w:color w:val="1F4D78"/>
                <w:sz w:val="17"/>
                <w:shd w:fill="EEF1F4"/>
              </w:rPr>
              <w:t>review</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eligible_within_study_quantitative</w:t>
            </w:r>
          </w:p>
        </w:tc>
        <w:tc>
          <w:tcPr>
            <w:tcW w:type="dxa" w:w="5256"/>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yes</w:t>
            </w:r>
            <w:r>
              <w:rPr>
                <w:rFonts w:ascii="Calibri" w:hAnsi="Calibri"/>
                <w:color w:val="222222"/>
                <w:sz w:val="18"/>
              </w:rPr>
              <w:t xml:space="preserve">, </w:t>
            </w:r>
            <w:r>
              <w:rPr>
                <w:rFonts w:ascii="Consolas" w:hAnsi="Consolas"/>
                <w:color w:val="1F4D78"/>
                <w:sz w:val="17"/>
                <w:shd w:fill="EEF1F4"/>
              </w:rPr>
              <w:t>no</w:t>
            </w:r>
            <w:r>
              <w:rPr>
                <w:rFonts w:ascii="Calibri" w:hAnsi="Calibri"/>
                <w:color w:val="222222"/>
                <w:sz w:val="18"/>
              </w:rPr>
              <w:t xml:space="preserve">, or </w:t>
            </w:r>
            <w:r>
              <w:rPr>
                <w:rFonts w:ascii="Consolas" w:hAnsi="Consolas"/>
                <w:color w:val="1F4D78"/>
                <w:sz w:val="17"/>
                <w:shd w:fill="EEF1F4"/>
              </w:rPr>
              <w:t>review</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eligible_cross_study_quantitative</w:t>
            </w:r>
          </w:p>
        </w:tc>
        <w:tc>
          <w:tcPr>
            <w:tcW w:type="dxa" w:w="5256"/>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no</w:t>
            </w:r>
            <w:r>
              <w:rPr>
                <w:rFonts w:ascii="Calibri" w:hAnsi="Calibri"/>
                <w:color w:val="222222"/>
                <w:sz w:val="18"/>
              </w:rPr>
              <w:t xml:space="preserve"> for this module</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exclusion_reason</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Required when an eligibility field is </w:t>
            </w:r>
            <w:r>
              <w:rPr>
                <w:rFonts w:ascii="Consolas" w:hAnsi="Consolas"/>
                <w:color w:val="1F4D78"/>
                <w:sz w:val="17"/>
                <w:shd w:fill="EEF1F4"/>
              </w:rPr>
              <w:t>no</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decision_log</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Append-only note for changes</w:t>
            </w:r>
          </w:p>
        </w:tc>
      </w:tr>
    </w:tbl>
    <w:p>
      <w:pPr>
        <w:spacing w:before="0" w:after="40"/>
      </w:pPr>
    </w:p>
    <w:p>
      <w:pPr>
        <w:pStyle w:val="Heading3"/>
      </w:pPr>
      <w:r>
        <w:rPr>
          <w:rFonts w:ascii="Calibri" w:hAnsi="Calibri"/>
          <w:color w:val="222222"/>
        </w:rPr>
        <w:t>Blank working rows</w:t>
      </w:r>
    </w:p>
    <w:p>
      <w:r>
        <w:rPr>
          <w:rFonts w:ascii="Calibri" w:hAnsi="Calibri"/>
          <w:color w:val="222222"/>
        </w:rPr>
        <w:t>Complete at least 12 rows: six per study. Include an apparent overlap, a lipid if present, an ambiguous mapping, and an unmapped or unidentified feature when present.</w:t>
      </w:r>
    </w:p>
    <w:tbl>
      <w:tblPr>
        <w:tblStyle w:val="TableGrid"/>
        <w:tblW w:type="dxa" w:w="9360"/>
        <w:jc w:val="left"/>
        <w:tblLayout w:type="fixed"/>
        <w:tblLook w:firstColumn="1" w:firstRow="1" w:lastColumn="0" w:lastRow="0" w:noHBand="0" w:noVBand="1" w:val="04A0"/>
        <w:tblInd w:w="120" w:type="dxa"/>
      </w:tblPr>
      <w:tblGrid>
        <w:gridCol w:w="660"/>
        <w:gridCol w:w="700"/>
        <w:gridCol w:w="710"/>
        <w:gridCol w:w="820"/>
        <w:gridCol w:w="780"/>
        <w:gridCol w:w="690"/>
        <w:gridCol w:w="700"/>
        <w:gridCol w:w="660"/>
        <w:gridCol w:w="730"/>
        <w:gridCol w:w="730"/>
        <w:gridCol w:w="720"/>
        <w:gridCol w:w="710"/>
        <w:gridCol w:w="750"/>
      </w:tblGrid>
      <w:tr>
        <w:trPr>
          <w:cantSplit w:val="true"/>
          <w:tblHeader w:val="true"/>
        </w:trPr>
        <w:tc>
          <w:tcPr>
            <w:tcW w:type="dxa" w:w="66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row_id</w:t>
            </w:r>
          </w:p>
        </w:tc>
        <w:tc>
          <w:tcPr>
            <w:tcW w:type="dxa" w:w="70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config_key</w:t>
            </w:r>
          </w:p>
        </w:tc>
        <w:tc>
          <w:tcPr>
            <w:tcW w:type="dxa" w:w="71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analysis_id</w:t>
            </w:r>
          </w:p>
        </w:tc>
        <w:tc>
          <w:tcPr>
            <w:tcW w:type="dxa" w:w="82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source_metabolite_name</w:t>
            </w:r>
          </w:p>
        </w:tc>
        <w:tc>
          <w:tcPr>
            <w:tcW w:type="dxa" w:w="78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source_refmet_name</w:t>
            </w:r>
          </w:p>
        </w:tc>
        <w:tc>
          <w:tcPr>
            <w:tcW w:type="dxa" w:w="69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candidate</w:t>
            </w:r>
          </w:p>
        </w:tc>
        <w:tc>
          <w:tcPr>
            <w:tcW w:type="dxa" w:w="70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resolution</w:t>
            </w:r>
          </w:p>
        </w:tc>
        <w:tc>
          <w:tcPr>
            <w:tcW w:type="dxa" w:w="66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status</w:t>
            </w:r>
          </w:p>
        </w:tc>
        <w:tc>
          <w:tcPr>
            <w:tcW w:type="dxa" w:w="73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exact overlap</w:t>
            </w:r>
          </w:p>
        </w:tc>
        <w:tc>
          <w:tcPr>
            <w:tcW w:type="dxa" w:w="73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class summary</w:t>
            </w:r>
          </w:p>
        </w:tc>
        <w:tc>
          <w:tcPr>
            <w:tcW w:type="dxa" w:w="72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within-study</w:t>
            </w:r>
          </w:p>
        </w:tc>
        <w:tc>
          <w:tcPr>
            <w:tcW w:type="dxa" w:w="71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cross-study</w:t>
            </w:r>
          </w:p>
        </w:tc>
        <w:tc>
          <w:tcPr>
            <w:tcW w:type="dxa" w:w="75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decision reason</w:t>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M001</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M002</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M003</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M004</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M005</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M006</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M007</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M008</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M009</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M010</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M011</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M012</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bl>
    <w:p>
      <w:pPr>
        <w:spacing w:before="0" w:after="40"/>
      </w:pPr>
    </w:p>
    <w:p>
      <w:r>
        <w:rPr>
          <w:rFonts w:ascii="Calibri" w:hAnsi="Calibri"/>
          <w:color w:val="222222"/>
        </w:rPr>
        <w:t>Attach or export the complete column set for machine use. The shortened table above is for review discussion only.</w:t>
      </w:r>
    </w:p>
    <w:p>
      <w:pPr>
        <w:pStyle w:val="Heading2"/>
      </w:pPr>
      <w:r>
        <w:rPr>
          <w:rFonts w:ascii="Calibri" w:hAnsi="Calibri"/>
          <w:color w:val="222222"/>
        </w:rPr>
        <w:t>Tab B - Metadata-field mapping</w:t>
      </w:r>
    </w:p>
    <w:p>
      <w:r>
        <w:rPr>
          <w:rFonts w:ascii="Calibri" w:hAnsi="Calibri"/>
          <w:color w:val="222222"/>
        </w:rPr>
        <w:t>Use one row per source field or coded value.</w:t>
      </w:r>
    </w:p>
    <w:tbl>
      <w:tblPr>
        <w:tblStyle w:val="TableGrid"/>
        <w:tblW w:type="dxa" w:w="9360"/>
        <w:jc w:val="left"/>
        <w:tblLayout w:type="fixed"/>
        <w:tblLook w:firstColumn="1" w:firstRow="1" w:lastColumn="0" w:lastRow="0" w:noHBand="0" w:noVBand="1" w:val="04A0"/>
        <w:tblInd w:w="120" w:type="dxa"/>
      </w:tblPr>
      <w:tblGrid>
        <w:gridCol w:w="3672"/>
        <w:gridCol w:w="5688"/>
      </w:tblGrid>
      <w:tr>
        <w:trPr>
          <w:cantSplit w:val="true"/>
          <w:tblHeader w:val="true"/>
        </w:trPr>
        <w:tc>
          <w:tcPr>
            <w:tcW w:type="dxa" w:w="367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Column</w:t>
            </w:r>
          </w:p>
        </w:tc>
        <w:tc>
          <w:tcPr>
            <w:tcW w:type="dxa" w:w="568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Meaning</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metadata_row_id</w:t>
            </w:r>
          </w:p>
        </w:tc>
        <w:tc>
          <w:tcPr>
            <w:tcW w:type="dxa" w:w="568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Stable identifier</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config_key</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Study configuration key</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study_accession</w:t>
            </w:r>
          </w:p>
        </w:tc>
        <w:tc>
          <w:tcPr>
            <w:tcW w:type="dxa" w:w="568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Resolved accession</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source_block_or_endpoint</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mwTab block or REST URL</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source_field</w:t>
            </w:r>
          </w:p>
        </w:tc>
        <w:tc>
          <w:tcPr>
            <w:tcW w:type="dxa" w:w="568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Exact field name</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source_value</w:t>
            </w:r>
          </w:p>
        </w:tc>
        <w:tc>
          <w:tcPr>
            <w:tcW w:type="dxa" w:w="568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Exact value</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construct_definition</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Meaning supported by protocol</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harmonized_field</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Derived common field, if any</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harmonized_value</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Derived value, if any</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transformation_rule</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Reproducible derivation</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information_lost</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Detail removed or </w:t>
            </w:r>
            <w:r>
              <w:rPr>
                <w:rFonts w:ascii="Consolas" w:hAnsi="Consolas"/>
                <w:color w:val="1F4D78"/>
                <w:sz w:val="17"/>
                <w:shd w:fill="EEF1F4"/>
              </w:rPr>
              <w:t>none</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compatibility</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Direct, partial, not comparable, or not yet assessable</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purpose</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Analysis purpose for that decision</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source_url</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evidence location</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retrieved_at_utc</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Retrieval timestamp</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reviewer_or_rule</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Reviewer or rule version</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decision_note</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Rationale and restrictions</w:t>
            </w:r>
          </w:p>
        </w:tc>
      </w:tr>
    </w:tbl>
    <w:p>
      <w:pPr>
        <w:spacing w:before="0" w:after="40"/>
      </w:pPr>
    </w:p>
    <w:p>
      <w:pPr>
        <w:pStyle w:val="Heading3"/>
      </w:pPr>
      <w:r>
        <w:rPr>
          <w:rFonts w:ascii="Calibri" w:hAnsi="Calibri"/>
          <w:color w:val="222222"/>
        </w:rPr>
        <w:t>Required metadata rows</w:t>
      </w:r>
    </w:p>
    <w:tbl>
      <w:tblPr>
        <w:tblStyle w:val="TableGrid"/>
        <w:tblW w:type="dxa" w:w="9360"/>
        <w:jc w:val="left"/>
        <w:tblLayout w:type="fixed"/>
        <w:tblLook w:firstColumn="1" w:firstRow="1" w:lastColumn="0" w:lastRow="0" w:noHBand="0" w:noVBand="1" w:val="04A0"/>
        <w:tblInd w:w="120" w:type="dxa"/>
      </w:tblPr>
      <w:tblGrid>
        <w:gridCol w:w="933"/>
        <w:gridCol w:w="822"/>
        <w:gridCol w:w="1000"/>
        <w:gridCol w:w="1289"/>
        <w:gridCol w:w="1089"/>
        <w:gridCol w:w="733"/>
        <w:gridCol w:w="956"/>
        <w:gridCol w:w="889"/>
        <w:gridCol w:w="755"/>
        <w:gridCol w:w="894"/>
      </w:tblGrid>
      <w:tr>
        <w:trPr>
          <w:cantSplit w:val="true"/>
          <w:tblHeader w:val="true"/>
        </w:trPr>
        <w:tc>
          <w:tcPr>
            <w:tcW w:type="dxa" w:w="93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metadata_row_id</w:t>
            </w:r>
          </w:p>
        </w:tc>
        <w:tc>
          <w:tcPr>
            <w:tcW w:type="dxa" w:w="822"/>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config_key</w:t>
            </w:r>
          </w:p>
        </w:tc>
        <w:tc>
          <w:tcPr>
            <w:tcW w:type="dxa" w:w="100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 field/value</w:t>
            </w:r>
          </w:p>
        </w:tc>
        <w:tc>
          <w:tcPr>
            <w:tcW w:type="dxa" w:w="128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construct</w:t>
            </w:r>
          </w:p>
        </w:tc>
        <w:tc>
          <w:tcPr>
            <w:tcW w:type="dxa" w:w="1089"/>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harmonized field/value</w:t>
            </w:r>
          </w:p>
        </w:tc>
        <w:tc>
          <w:tcPr>
            <w:tcW w:type="dxa" w:w="73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rule</w:t>
            </w:r>
          </w:p>
        </w:tc>
        <w:tc>
          <w:tcPr>
            <w:tcW w:type="dxa" w:w="95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information lost</w:t>
            </w:r>
          </w:p>
        </w:tc>
        <w:tc>
          <w:tcPr>
            <w:tcW w:type="dxa" w:w="88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compatibility</w:t>
            </w:r>
          </w:p>
        </w:tc>
        <w:tc>
          <w:tcPr>
            <w:tcW w:type="dxa" w:w="75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purpose</w:t>
            </w:r>
          </w:p>
        </w:tc>
        <w:tc>
          <w:tcPr>
            <w:tcW w:type="dxa" w:w="89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decision note</w:t>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MD001</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Specimen matrix</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MD002</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Specimen matrix</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MD003</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Timepoint</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MD004</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Timepoint</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MD005</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Timepoint</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MD006</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Participant/sample relationship</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MD007</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Phenotype</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MD008</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Measurement scale</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Tab C - Unit and scale decisions</w:t>
      </w:r>
    </w:p>
    <w:tbl>
      <w:tblPr>
        <w:tblStyle w:val="TableGrid"/>
        <w:tblW w:type="dxa" w:w="9360"/>
        <w:jc w:val="left"/>
        <w:tblLayout w:type="fixed"/>
        <w:tblLook w:firstColumn="1" w:firstRow="1" w:lastColumn="0" w:lastRow="0" w:noHBand="0" w:noVBand="1" w:val="04A0"/>
        <w:tblInd w:w="120" w:type="dxa"/>
      </w:tblPr>
      <w:tblGrid>
        <w:gridCol w:w="831"/>
        <w:gridCol w:w="854"/>
        <w:gridCol w:w="947"/>
        <w:gridCol w:w="993"/>
        <w:gridCol w:w="970"/>
        <w:gridCol w:w="1202"/>
        <w:gridCol w:w="1202"/>
        <w:gridCol w:w="739"/>
        <w:gridCol w:w="878"/>
        <w:gridCol w:w="744"/>
      </w:tblGrid>
      <w:tr>
        <w:trPr>
          <w:cantSplit w:val="true"/>
          <w:tblHeader w:val="true"/>
        </w:trPr>
        <w:tc>
          <w:tcPr>
            <w:tcW w:type="dxa" w:w="83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config_key</w:t>
            </w:r>
          </w:p>
        </w:tc>
        <w:tc>
          <w:tcPr>
            <w:tcW w:type="dxa" w:w="85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analysis_id</w:t>
            </w:r>
          </w:p>
        </w:tc>
        <w:tc>
          <w:tcPr>
            <w:tcW w:type="dxa" w:w="94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 quantity</w:t>
            </w:r>
          </w:p>
        </w:tc>
        <w:tc>
          <w:tcPr>
            <w:tcW w:type="dxa" w:w="99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 unit/scale</w:t>
            </w:r>
          </w:p>
        </w:tc>
        <w:tc>
          <w:tcPr>
            <w:tcW w:type="dxa" w:w="97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candidate target</w:t>
            </w:r>
          </w:p>
        </w:tc>
        <w:tc>
          <w:tcPr>
            <w:tcW w:type="dxa" w:w="120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dimensionally convertible?</w:t>
            </w:r>
          </w:p>
        </w:tc>
        <w:tc>
          <w:tcPr>
            <w:tcW w:type="dxa" w:w="120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quantification compatible?</w:t>
            </w:r>
          </w:p>
        </w:tc>
        <w:tc>
          <w:tcPr>
            <w:tcW w:type="dxa" w:w="73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action</w:t>
            </w:r>
          </w:p>
        </w:tc>
        <w:tc>
          <w:tcPr>
            <w:tcW w:type="dxa" w:w="87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formula/rule</w:t>
            </w:r>
          </w:p>
        </w:tc>
        <w:tc>
          <w:tcPr>
            <w:tcW w:type="dxa" w:w="74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reason</w:t>
            </w:r>
          </w:p>
        </w:tc>
      </w:tr>
      <w:tr>
        <w:trPr>
          <w:cantSplit w:val="true"/>
        </w:trPr>
        <w:tc>
          <w:tcPr>
            <w:tcW w:type="dxa" w:w="831"/>
            <w:tcMar>
              <w:top w:w="80" w:type="dxa"/>
              <w:bottom w:w="80" w:type="dxa"/>
              <w:start w:w="120" w:type="dxa"/>
              <w:end w:w="120" w:type="dxa"/>
            </w:tcMar>
            <w:vAlign w:val="center"/>
          </w:tcPr>
          <w:p>
            <w:pPr>
              <w:spacing w:before="0" w:after="0" w:line="269" w:lineRule="auto"/>
              <w:jc w:val="left"/>
            </w:pPr>
            <w:r/>
          </w:p>
        </w:tc>
        <w:tc>
          <w:tcPr>
            <w:tcW w:type="dxa" w:w="854"/>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993"/>
            <w:tcMar>
              <w:top w:w="80" w:type="dxa"/>
              <w:bottom w:w="80" w:type="dxa"/>
              <w:start w:w="120" w:type="dxa"/>
              <w:end w:w="120" w:type="dxa"/>
            </w:tcMar>
            <w:vAlign w:val="center"/>
          </w:tcPr>
          <w:p>
            <w:pPr>
              <w:spacing w:before="0" w:after="0" w:line="269" w:lineRule="auto"/>
              <w:jc w:val="center"/>
            </w:pPr>
            <w:r/>
          </w:p>
        </w:tc>
        <w:tc>
          <w:tcPr>
            <w:tcW w:type="dxa" w:w="970"/>
            <w:tcMar>
              <w:top w:w="80" w:type="dxa"/>
              <w:bottom w:w="80" w:type="dxa"/>
              <w:start w:w="120" w:type="dxa"/>
              <w:end w:w="120" w:type="dxa"/>
            </w:tcMar>
            <w:vAlign w:val="center"/>
          </w:tcPr>
          <w:p>
            <w:pPr>
              <w:spacing w:before="0" w:after="0" w:line="269" w:lineRule="auto"/>
              <w:jc w:val="center"/>
            </w:pPr>
            <w:r/>
          </w:p>
        </w:tc>
        <w:tc>
          <w:tcPr>
            <w:tcW w:type="dxa" w:w="1202"/>
            <w:tcMar>
              <w:top w:w="80" w:type="dxa"/>
              <w:bottom w:w="80" w:type="dxa"/>
              <w:start w:w="120" w:type="dxa"/>
              <w:end w:w="120" w:type="dxa"/>
            </w:tcMar>
            <w:vAlign w:val="center"/>
          </w:tcPr>
          <w:p>
            <w:pPr>
              <w:spacing w:before="0" w:after="0" w:line="269" w:lineRule="auto"/>
              <w:jc w:val="center"/>
            </w:pPr>
            <w:r/>
          </w:p>
        </w:tc>
        <w:tc>
          <w:tcPr>
            <w:tcW w:type="dxa" w:w="1202"/>
            <w:tcMar>
              <w:top w:w="80" w:type="dxa"/>
              <w:bottom w:w="80" w:type="dxa"/>
              <w:start w:w="120" w:type="dxa"/>
              <w:end w:w="120" w:type="dxa"/>
            </w:tcMar>
            <w:vAlign w:val="center"/>
          </w:tcPr>
          <w:p>
            <w:pPr>
              <w:spacing w:before="0" w:after="0" w:line="269" w:lineRule="auto"/>
              <w:jc w:val="center"/>
            </w:pPr>
            <w:r/>
          </w:p>
        </w:tc>
        <w:tc>
          <w:tcPr>
            <w:tcW w:type="dxa" w:w="739"/>
            <w:tcMar>
              <w:top w:w="80" w:type="dxa"/>
              <w:bottom w:w="80" w:type="dxa"/>
              <w:start w:w="120" w:type="dxa"/>
              <w:end w:w="120" w:type="dxa"/>
            </w:tcMar>
            <w:vAlign w:val="center"/>
          </w:tcPr>
          <w:p>
            <w:pPr>
              <w:spacing w:before="0" w:after="0" w:line="269" w:lineRule="auto"/>
              <w:jc w:val="center"/>
            </w:pPr>
            <w:r/>
          </w:p>
        </w:tc>
        <w:tc>
          <w:tcPr>
            <w:tcW w:type="dxa" w:w="878"/>
            <w:tcMar>
              <w:top w:w="80" w:type="dxa"/>
              <w:bottom w:w="80" w:type="dxa"/>
              <w:start w:w="120" w:type="dxa"/>
              <w:end w:w="120" w:type="dxa"/>
            </w:tcMar>
            <w:vAlign w:val="center"/>
          </w:tcPr>
          <w:p>
            <w:pPr>
              <w:spacing w:before="0" w:after="0" w:line="269" w:lineRule="auto"/>
              <w:jc w:val="center"/>
            </w:pPr>
            <w:r/>
          </w:p>
        </w:tc>
        <w:tc>
          <w:tcPr>
            <w:tcW w:type="dxa" w:w="744"/>
            <w:tcMar>
              <w:top w:w="80" w:type="dxa"/>
              <w:bottom w:w="80" w:type="dxa"/>
              <w:start w:w="120" w:type="dxa"/>
              <w:end w:w="120" w:type="dxa"/>
            </w:tcMar>
            <w:vAlign w:val="center"/>
          </w:tcPr>
          <w:p>
            <w:pPr>
              <w:spacing w:before="0" w:after="0" w:line="269" w:lineRule="auto"/>
              <w:jc w:val="center"/>
            </w:pPr>
            <w:r/>
          </w:p>
        </w:tc>
      </w:tr>
      <w:tr>
        <w:trPr>
          <w:cantSplit w:val="true"/>
        </w:trPr>
        <w:tc>
          <w:tcPr>
            <w:tcW w:type="dxa" w:w="831"/>
            <w:tcMar>
              <w:top w:w="80" w:type="dxa"/>
              <w:bottom w:w="80" w:type="dxa"/>
              <w:start w:w="120" w:type="dxa"/>
              <w:end w:w="120" w:type="dxa"/>
            </w:tcMar>
            <w:vAlign w:val="center"/>
          </w:tcPr>
          <w:p>
            <w:pPr>
              <w:spacing w:before="0" w:after="0" w:line="269" w:lineRule="auto"/>
              <w:jc w:val="left"/>
            </w:pPr>
            <w:r/>
          </w:p>
        </w:tc>
        <w:tc>
          <w:tcPr>
            <w:tcW w:type="dxa" w:w="854"/>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993"/>
            <w:tcMar>
              <w:top w:w="80" w:type="dxa"/>
              <w:bottom w:w="80" w:type="dxa"/>
              <w:start w:w="120" w:type="dxa"/>
              <w:end w:w="120" w:type="dxa"/>
            </w:tcMar>
            <w:vAlign w:val="center"/>
          </w:tcPr>
          <w:p>
            <w:pPr>
              <w:spacing w:before="0" w:after="0" w:line="269" w:lineRule="auto"/>
              <w:jc w:val="center"/>
            </w:pPr>
            <w:r/>
          </w:p>
        </w:tc>
        <w:tc>
          <w:tcPr>
            <w:tcW w:type="dxa" w:w="970"/>
            <w:tcMar>
              <w:top w:w="80" w:type="dxa"/>
              <w:bottom w:w="80" w:type="dxa"/>
              <w:start w:w="120" w:type="dxa"/>
              <w:end w:w="120" w:type="dxa"/>
            </w:tcMar>
            <w:vAlign w:val="center"/>
          </w:tcPr>
          <w:p>
            <w:pPr>
              <w:spacing w:before="0" w:after="0" w:line="269" w:lineRule="auto"/>
              <w:jc w:val="center"/>
            </w:pPr>
            <w:r/>
          </w:p>
        </w:tc>
        <w:tc>
          <w:tcPr>
            <w:tcW w:type="dxa" w:w="1202"/>
            <w:tcMar>
              <w:top w:w="80" w:type="dxa"/>
              <w:bottom w:w="80" w:type="dxa"/>
              <w:start w:w="120" w:type="dxa"/>
              <w:end w:w="120" w:type="dxa"/>
            </w:tcMar>
            <w:vAlign w:val="center"/>
          </w:tcPr>
          <w:p>
            <w:pPr>
              <w:spacing w:before="0" w:after="0" w:line="269" w:lineRule="auto"/>
              <w:jc w:val="center"/>
            </w:pPr>
            <w:r/>
          </w:p>
        </w:tc>
        <w:tc>
          <w:tcPr>
            <w:tcW w:type="dxa" w:w="1202"/>
            <w:tcMar>
              <w:top w:w="80" w:type="dxa"/>
              <w:bottom w:w="80" w:type="dxa"/>
              <w:start w:w="120" w:type="dxa"/>
              <w:end w:w="120" w:type="dxa"/>
            </w:tcMar>
            <w:vAlign w:val="center"/>
          </w:tcPr>
          <w:p>
            <w:pPr>
              <w:spacing w:before="0" w:after="0" w:line="269" w:lineRule="auto"/>
              <w:jc w:val="center"/>
            </w:pPr>
            <w:r/>
          </w:p>
        </w:tc>
        <w:tc>
          <w:tcPr>
            <w:tcW w:type="dxa" w:w="739"/>
            <w:tcMar>
              <w:top w:w="80" w:type="dxa"/>
              <w:bottom w:w="80" w:type="dxa"/>
              <w:start w:w="120" w:type="dxa"/>
              <w:end w:w="120" w:type="dxa"/>
            </w:tcMar>
            <w:vAlign w:val="center"/>
          </w:tcPr>
          <w:p>
            <w:pPr>
              <w:spacing w:before="0" w:after="0" w:line="269" w:lineRule="auto"/>
              <w:jc w:val="center"/>
            </w:pPr>
            <w:r/>
          </w:p>
        </w:tc>
        <w:tc>
          <w:tcPr>
            <w:tcW w:type="dxa" w:w="878"/>
            <w:tcMar>
              <w:top w:w="80" w:type="dxa"/>
              <w:bottom w:w="80" w:type="dxa"/>
              <w:start w:w="120" w:type="dxa"/>
              <w:end w:w="120" w:type="dxa"/>
            </w:tcMar>
            <w:vAlign w:val="center"/>
          </w:tcPr>
          <w:p>
            <w:pPr>
              <w:spacing w:before="0" w:after="0" w:line="269" w:lineRule="auto"/>
              <w:jc w:val="center"/>
            </w:pPr>
            <w:r/>
          </w:p>
        </w:tc>
        <w:tc>
          <w:tcPr>
            <w:tcW w:type="dxa" w:w="744"/>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Tab D - Cross-study overlap audit</w:t>
      </w:r>
    </w:p>
    <w:p>
      <w:r>
        <w:rPr>
          <w:rFonts w:ascii="Calibri" w:hAnsi="Calibri"/>
          <w:color w:val="222222"/>
        </w:rPr>
        <w:t>Do not report only the final intersection.</w:t>
      </w:r>
    </w:p>
    <w:tbl>
      <w:tblPr>
        <w:tblStyle w:val="TableGrid"/>
        <w:tblW w:type="dxa" w:w="9360"/>
        <w:jc w:val="left"/>
        <w:tblLayout w:type="fixed"/>
        <w:tblLook w:firstColumn="1" w:firstRow="1" w:lastColumn="0" w:lastRow="0" w:noHBand="0" w:noVBand="1" w:val="04A0"/>
        <w:tblInd w:w="120" w:type="dxa"/>
      </w:tblPr>
      <w:tblGrid>
        <w:gridCol w:w="2294"/>
        <w:gridCol w:w="1164"/>
        <w:gridCol w:w="1390"/>
        <w:gridCol w:w="1277"/>
        <w:gridCol w:w="1277"/>
        <w:gridCol w:w="1958"/>
      </w:tblGrid>
      <w:tr>
        <w:trPr>
          <w:cantSplit w:val="true"/>
          <w:tblHeader w:val="true"/>
        </w:trPr>
        <w:tc>
          <w:tcPr>
            <w:tcW w:type="dxa" w:w="229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Stage</w:t>
            </w:r>
          </w:p>
        </w:tc>
        <w:tc>
          <w:tcPr>
            <w:tcW w:type="dxa" w:w="116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Diet count</w:t>
            </w:r>
          </w:p>
        </w:tc>
        <w:tc>
          <w:tcPr>
            <w:tcW w:type="dxa" w:w="139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Exercise count</w:t>
            </w:r>
          </w:p>
        </w:tc>
        <w:tc>
          <w:tcPr>
            <w:tcW w:type="dxa" w:w="127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Shared count</w:t>
            </w:r>
          </w:p>
        </w:tc>
        <w:tc>
          <w:tcPr>
            <w:tcW w:type="dxa" w:w="127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Rule/version</w:t>
            </w:r>
          </w:p>
        </w:tc>
        <w:tc>
          <w:tcPr>
            <w:tcW w:type="dxa" w:w="195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Exclusions at this stage</w:t>
            </w:r>
          </w:p>
        </w:tc>
      </w:tr>
      <w:tr>
        <w:trPr>
          <w:cantSplit w:val="true"/>
        </w:trPr>
        <w:tc>
          <w:tcPr>
            <w:tcW w:type="dxa" w:w="2294"/>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Distinct submitted labels</w:t>
            </w:r>
          </w:p>
        </w:tc>
        <w:tc>
          <w:tcPr>
            <w:tcW w:type="dxa" w:w="1164"/>
            <w:tcMar>
              <w:top w:w="80" w:type="dxa"/>
              <w:bottom w:w="80" w:type="dxa"/>
              <w:start w:w="120" w:type="dxa"/>
              <w:end w:w="120" w:type="dxa"/>
            </w:tcMar>
            <w:vAlign w:val="center"/>
          </w:tcPr>
          <w:p>
            <w:pPr>
              <w:spacing w:before="0" w:after="0" w:line="269" w:lineRule="auto"/>
              <w:jc w:val="center"/>
            </w:pPr>
            <w:r/>
          </w:p>
        </w:tc>
        <w:tc>
          <w:tcPr>
            <w:tcW w:type="dxa" w:w="1390"/>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NA</w:t>
            </w:r>
          </w:p>
        </w:tc>
        <w:tc>
          <w:tcPr>
            <w:tcW w:type="dxa" w:w="1277"/>
            <w:tcMar>
              <w:top w:w="80" w:type="dxa"/>
              <w:bottom w:w="80" w:type="dxa"/>
              <w:start w:w="120" w:type="dxa"/>
              <w:end w:w="120" w:type="dxa"/>
            </w:tcMar>
            <w:vAlign w:val="center"/>
          </w:tcPr>
          <w:p>
            <w:pPr>
              <w:spacing w:before="0" w:after="0" w:line="269" w:lineRule="auto"/>
              <w:jc w:val="center"/>
            </w:pPr>
            <w:r/>
          </w:p>
        </w:tc>
        <w:tc>
          <w:tcPr>
            <w:tcW w:type="dxa" w:w="1958"/>
            <w:tcMar>
              <w:top w:w="80" w:type="dxa"/>
              <w:bottom w:w="80" w:type="dxa"/>
              <w:start w:w="120" w:type="dxa"/>
              <w:end w:w="120" w:type="dxa"/>
            </w:tcMar>
            <w:vAlign w:val="center"/>
          </w:tcPr>
          <w:p>
            <w:pPr>
              <w:spacing w:before="0" w:after="0" w:line="269" w:lineRule="auto"/>
              <w:jc w:val="center"/>
            </w:pPr>
            <w:r/>
          </w:p>
        </w:tc>
      </w:tr>
      <w:tr>
        <w:trPr>
          <w:cantSplit w:val="true"/>
        </w:trPr>
        <w:tc>
          <w:tcPr>
            <w:tcW w:type="dxa" w:w="2294"/>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Nonblank source RefMet strings</w:t>
            </w:r>
          </w:p>
        </w:tc>
        <w:tc>
          <w:tcPr>
            <w:tcW w:type="dxa" w:w="1164"/>
            <w:tcMar>
              <w:top w:w="80" w:type="dxa"/>
              <w:bottom w:w="80" w:type="dxa"/>
              <w:start w:w="120" w:type="dxa"/>
              <w:end w:w="120" w:type="dxa"/>
            </w:tcMar>
            <w:vAlign w:val="center"/>
          </w:tcPr>
          <w:p>
            <w:pPr>
              <w:spacing w:before="0" w:after="0" w:line="269" w:lineRule="auto"/>
              <w:jc w:val="center"/>
            </w:pPr>
            <w:r/>
          </w:p>
        </w:tc>
        <w:tc>
          <w:tcPr>
            <w:tcW w:type="dxa" w:w="1390"/>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958"/>
            <w:tcMar>
              <w:top w:w="80" w:type="dxa"/>
              <w:bottom w:w="80" w:type="dxa"/>
              <w:start w:w="120" w:type="dxa"/>
              <w:end w:w="120" w:type="dxa"/>
            </w:tcMar>
            <w:vAlign w:val="center"/>
          </w:tcPr>
          <w:p>
            <w:pPr>
              <w:spacing w:before="0" w:after="0" w:line="269" w:lineRule="auto"/>
              <w:jc w:val="center"/>
            </w:pPr>
            <w:r/>
          </w:p>
        </w:tc>
      </w:tr>
      <w:tr>
        <w:trPr>
          <w:cantSplit w:val="true"/>
        </w:trPr>
        <w:tc>
          <w:tcPr>
            <w:tcW w:type="dxa" w:w="2294"/>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Reviewed accepted mappings</w:t>
            </w:r>
          </w:p>
        </w:tc>
        <w:tc>
          <w:tcPr>
            <w:tcW w:type="dxa" w:w="1164"/>
            <w:tcMar>
              <w:top w:w="80" w:type="dxa"/>
              <w:bottom w:w="80" w:type="dxa"/>
              <w:start w:w="120" w:type="dxa"/>
              <w:end w:w="120" w:type="dxa"/>
            </w:tcMar>
            <w:vAlign w:val="center"/>
          </w:tcPr>
          <w:p>
            <w:pPr>
              <w:spacing w:before="0" w:after="0" w:line="269" w:lineRule="auto"/>
              <w:jc w:val="center"/>
            </w:pPr>
            <w:r/>
          </w:p>
        </w:tc>
        <w:tc>
          <w:tcPr>
            <w:tcW w:type="dxa" w:w="1390"/>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958"/>
            <w:tcMar>
              <w:top w:w="80" w:type="dxa"/>
              <w:bottom w:w="80" w:type="dxa"/>
              <w:start w:w="120" w:type="dxa"/>
              <w:end w:w="120" w:type="dxa"/>
            </w:tcMar>
            <w:vAlign w:val="center"/>
          </w:tcPr>
          <w:p>
            <w:pPr>
              <w:spacing w:before="0" w:after="0" w:line="269" w:lineRule="auto"/>
              <w:jc w:val="center"/>
            </w:pPr>
            <w:r/>
          </w:p>
        </w:tc>
      </w:tr>
      <w:tr>
        <w:trPr>
          <w:cantSplit w:val="true"/>
        </w:trPr>
        <w:tc>
          <w:tcPr>
            <w:tcW w:type="dxa" w:w="2294"/>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Eligible after artifact rules</w:t>
            </w:r>
          </w:p>
        </w:tc>
        <w:tc>
          <w:tcPr>
            <w:tcW w:type="dxa" w:w="1164"/>
            <w:tcMar>
              <w:top w:w="80" w:type="dxa"/>
              <w:bottom w:w="80" w:type="dxa"/>
              <w:start w:w="120" w:type="dxa"/>
              <w:end w:w="120" w:type="dxa"/>
            </w:tcMar>
            <w:vAlign w:val="center"/>
          </w:tcPr>
          <w:p>
            <w:pPr>
              <w:spacing w:before="0" w:after="0" w:line="269" w:lineRule="auto"/>
              <w:jc w:val="center"/>
            </w:pPr>
            <w:r/>
          </w:p>
        </w:tc>
        <w:tc>
          <w:tcPr>
            <w:tcW w:type="dxa" w:w="1390"/>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958"/>
            <w:tcMar>
              <w:top w:w="80" w:type="dxa"/>
              <w:bottom w:w="80" w:type="dxa"/>
              <w:start w:w="120" w:type="dxa"/>
              <w:end w:w="120" w:type="dxa"/>
            </w:tcMar>
            <w:vAlign w:val="center"/>
          </w:tcPr>
          <w:p>
            <w:pPr>
              <w:spacing w:before="0" w:after="0" w:line="269" w:lineRule="auto"/>
              <w:jc w:val="center"/>
            </w:pPr>
            <w:r/>
          </w:p>
        </w:tc>
      </w:tr>
      <w:tr>
        <w:trPr>
          <w:cantSplit w:val="true"/>
        </w:trPr>
        <w:tc>
          <w:tcPr>
            <w:tcW w:type="dxa" w:w="2294"/>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Unique exact-name keys</w:t>
            </w:r>
          </w:p>
        </w:tc>
        <w:tc>
          <w:tcPr>
            <w:tcW w:type="dxa" w:w="1164"/>
            <w:tcMar>
              <w:top w:w="80" w:type="dxa"/>
              <w:bottom w:w="80" w:type="dxa"/>
              <w:start w:w="120" w:type="dxa"/>
              <w:end w:w="120" w:type="dxa"/>
            </w:tcMar>
            <w:vAlign w:val="center"/>
          </w:tcPr>
          <w:p>
            <w:pPr>
              <w:spacing w:before="0" w:after="0" w:line="269" w:lineRule="auto"/>
              <w:jc w:val="center"/>
            </w:pPr>
            <w:r/>
          </w:p>
        </w:tc>
        <w:tc>
          <w:tcPr>
            <w:tcW w:type="dxa" w:w="1390"/>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958"/>
            <w:tcMar>
              <w:top w:w="80" w:type="dxa"/>
              <w:bottom w:w="80" w:type="dxa"/>
              <w:start w:w="120" w:type="dxa"/>
              <w:end w:w="120" w:type="dxa"/>
            </w:tcMar>
            <w:vAlign w:val="center"/>
          </w:tcPr>
          <w:p>
            <w:pPr>
              <w:spacing w:before="0" w:after="0" w:line="269" w:lineRule="auto"/>
              <w:jc w:val="center"/>
            </w:pPr>
            <w:r/>
          </w:p>
        </w:tc>
      </w:tr>
      <w:tr>
        <w:trPr>
          <w:cantSplit w:val="true"/>
        </w:trPr>
        <w:tc>
          <w:tcPr>
            <w:tcW w:type="dxa" w:w="2294"/>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Final reported set</w:t>
            </w:r>
          </w:p>
        </w:tc>
        <w:tc>
          <w:tcPr>
            <w:tcW w:type="dxa" w:w="1164"/>
            <w:tcMar>
              <w:top w:w="80" w:type="dxa"/>
              <w:bottom w:w="80" w:type="dxa"/>
              <w:start w:w="120" w:type="dxa"/>
              <w:end w:w="120" w:type="dxa"/>
            </w:tcMar>
            <w:vAlign w:val="center"/>
          </w:tcPr>
          <w:p>
            <w:pPr>
              <w:spacing w:before="0" w:after="0" w:line="269" w:lineRule="auto"/>
              <w:jc w:val="center"/>
            </w:pPr>
            <w:r/>
          </w:p>
        </w:tc>
        <w:tc>
          <w:tcPr>
            <w:tcW w:type="dxa" w:w="1390"/>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958"/>
            <w:tcMar>
              <w:top w:w="80" w:type="dxa"/>
              <w:bottom w:w="80" w:type="dxa"/>
              <w:start w:w="120" w:type="dxa"/>
              <w:end w:w="120" w:type="dxa"/>
            </w:tcMar>
            <w:vAlign w:val="center"/>
          </w:tcPr>
          <w:p>
            <w:pPr>
              <w:spacing w:before="0" w:after="0" w:line="269" w:lineRule="auto"/>
              <w:jc w:val="center"/>
            </w:pPr>
            <w:r/>
          </w:p>
        </w:tc>
      </w:tr>
    </w:tbl>
    <w:p>
      <w:pPr>
        <w:spacing w:before="0" w:after="40"/>
      </w:pPr>
    </w:p>
    <w:p>
      <w:r>
        <w:rPr>
          <w:rFonts w:ascii="Calibri" w:hAnsi="Calibri"/>
          <w:b/>
          <w:color w:val="222222"/>
        </w:rPr>
        <w:t>Build checks:</w:t>
      </w:r>
      <w:r>
        <w:rPr>
          <w:rFonts w:ascii="Calibri" w:hAnsi="Calibri"/>
          <w:color w:val="222222"/>
        </w:rPr>
        <w:t xml:space="preserve"> The current release reported 153 shared nonblank exact RefMet strings before artifact and eligibility exclusions. Excluding eight </w:t>
      </w:r>
      <w:r>
        <w:rPr>
          <w:rFonts w:ascii="Consolas" w:hAnsi="Consolas"/>
          <w:color w:val="1F4D78"/>
          <w:sz w:val="21"/>
          <w:shd w:fill="EEF1F4"/>
        </w:rPr>
        <w:t>ST003348</w:t>
      </w:r>
      <w:r>
        <w:rPr>
          <w:rFonts w:ascii="Calibri" w:hAnsi="Calibri"/>
          <w:color w:val="222222"/>
        </w:rPr>
        <w:t xml:space="preserve"> isotope/internal-standard rows that mapped to ordinary RefMet labels yielded a conservative biological overlap of 145. If you do not reproduce 153 and then 145 with the same source version and rules, investigate and document the difference; do not tune decisions to force either count.</w:t>
      </w:r>
    </w:p>
    <w:p>
      <w:pPr>
        <w:pStyle w:val="Heading2"/>
      </w:pPr>
      <w:r>
        <w:rPr>
          <w:rFonts w:ascii="Calibri" w:hAnsi="Calibri"/>
          <w:color w:val="222222"/>
        </w:rPr>
        <w:t>Reproducibility audit</w:t>
      </w:r>
    </w:p>
    <w:p>
      <w:pPr>
        <w:numPr>
          <w:ilvl w:val="0"/>
          <w:numId w:val="91"/>
        </w:numPr>
        <w:spacing w:after="80" w:line="300" w:lineRule="auto"/>
      </w:pPr>
      <w:r>
        <w:rPr>
          <w:rFonts w:ascii="Calibri" w:hAnsi="Calibri"/>
          <w:color w:val="222222"/>
        </w:rPr>
        <w:t>[ ] Original labels and identifiers are never overwritten.</w:t>
      </w:r>
    </w:p>
    <w:p>
      <w:pPr>
        <w:numPr>
          <w:ilvl w:val="0"/>
          <w:numId w:val="91"/>
        </w:numPr>
        <w:spacing w:after="80" w:line="300" w:lineRule="auto"/>
      </w:pPr>
      <w:r>
        <w:rPr>
          <w:rFonts w:ascii="Calibri" w:hAnsi="Calibri"/>
          <w:color w:val="222222"/>
        </w:rPr>
        <w:t>[ ] Every row includes accession, analysis ID, and source endpoint.</w:t>
      </w:r>
    </w:p>
    <w:p>
      <w:pPr>
        <w:numPr>
          <w:ilvl w:val="0"/>
          <w:numId w:val="91"/>
        </w:numPr>
        <w:spacing w:after="80" w:line="300" w:lineRule="auto"/>
      </w:pPr>
      <w:r>
        <w:rPr>
          <w:rFonts w:ascii="Calibri" w:hAnsi="Calibri"/>
          <w:color w:val="222222"/>
        </w:rPr>
        <w:t>[ ] Lookup transformations and query strings are recorded.</w:t>
      </w:r>
    </w:p>
    <w:p>
      <w:pPr>
        <w:numPr>
          <w:ilvl w:val="0"/>
          <w:numId w:val="91"/>
        </w:numPr>
        <w:spacing w:after="80" w:line="300" w:lineRule="auto"/>
      </w:pPr>
      <w:r>
        <w:rPr>
          <w:rFonts w:ascii="Calibri" w:hAnsi="Calibri"/>
          <w:color w:val="222222"/>
        </w:rPr>
        <w:t>[ ] Automated mappings are distinguishable from reviewed decisions.</w:t>
      </w:r>
    </w:p>
    <w:p>
      <w:pPr>
        <w:numPr>
          <w:ilvl w:val="0"/>
          <w:numId w:val="91"/>
        </w:numPr>
        <w:spacing w:after="80" w:line="300" w:lineRule="auto"/>
      </w:pPr>
      <w:r>
        <w:rPr>
          <w:rFonts w:ascii="Calibri" w:hAnsi="Calibri"/>
          <w:color w:val="222222"/>
        </w:rPr>
        <w:t>[ ] Annotation resolution is no more specific than source evidence.</w:t>
      </w:r>
    </w:p>
    <w:p>
      <w:pPr>
        <w:numPr>
          <w:ilvl w:val="0"/>
          <w:numId w:val="91"/>
        </w:numPr>
        <w:spacing w:after="80" w:line="300" w:lineRule="auto"/>
      </w:pPr>
      <w:r>
        <w:rPr>
          <w:rFonts w:ascii="Calibri" w:hAnsi="Calibri"/>
          <w:color w:val="222222"/>
        </w:rPr>
        <w:t>[ ] One-to-many and many-to-one cases remain visible.</w:t>
      </w:r>
    </w:p>
    <w:p>
      <w:pPr>
        <w:numPr>
          <w:ilvl w:val="0"/>
          <w:numId w:val="91"/>
        </w:numPr>
        <w:spacing w:after="80" w:line="300" w:lineRule="auto"/>
      </w:pPr>
      <w:r>
        <w:rPr>
          <w:rFonts w:ascii="Calibri" w:hAnsi="Calibri"/>
          <w:color w:val="222222"/>
        </w:rPr>
        <w:t>[ ] Internal standards, isotope-labeled compounds, pooled QC, and artifacts have explicit roles.</w:t>
      </w:r>
    </w:p>
    <w:p>
      <w:pPr>
        <w:numPr>
          <w:ilvl w:val="0"/>
          <w:numId w:val="91"/>
        </w:numPr>
        <w:spacing w:after="80" w:line="300" w:lineRule="auto"/>
      </w:pPr>
      <w:r>
        <w:rPr>
          <w:rFonts w:ascii="Calibri" w:hAnsi="Calibri"/>
          <w:color w:val="222222"/>
        </w:rPr>
        <w:t>[ ] Unmapped and review-required rows remain in the crosswalk.</w:t>
      </w:r>
    </w:p>
    <w:p>
      <w:pPr>
        <w:numPr>
          <w:ilvl w:val="0"/>
          <w:numId w:val="91"/>
        </w:numPr>
        <w:spacing w:after="80" w:line="300" w:lineRule="auto"/>
      </w:pPr>
      <w:r>
        <w:rPr>
          <w:rFonts w:ascii="Calibri" w:hAnsi="Calibri"/>
          <w:color w:val="222222"/>
        </w:rPr>
        <w:t>[ ] Eligibility is purpose-specific.</w:t>
      </w:r>
    </w:p>
    <w:p>
      <w:pPr>
        <w:numPr>
          <w:ilvl w:val="0"/>
          <w:numId w:val="91"/>
        </w:numPr>
        <w:spacing w:after="80" w:line="300" w:lineRule="auto"/>
      </w:pPr>
      <w:r>
        <w:rPr>
          <w:rFonts w:ascii="Calibri" w:hAnsi="Calibri"/>
          <w:color w:val="222222"/>
        </w:rPr>
        <w:t xml:space="preserve">[ ] Cross-study quantitative eligibility is </w:t>
      </w:r>
      <w:r>
        <w:rPr>
          <w:rFonts w:ascii="Consolas" w:hAnsi="Consolas"/>
          <w:color w:val="1F4D78"/>
          <w:sz w:val="21"/>
          <w:shd w:fill="EEF1F4"/>
        </w:rPr>
        <w:t>no</w:t>
      </w:r>
      <w:r>
        <w:rPr>
          <w:rFonts w:ascii="Calibri" w:hAnsi="Calibri"/>
          <w:color w:val="222222"/>
        </w:rPr>
        <w:t>.</w:t>
      </w:r>
    </w:p>
    <w:p>
      <w:pPr>
        <w:numPr>
          <w:ilvl w:val="0"/>
          <w:numId w:val="91"/>
        </w:numPr>
        <w:spacing w:after="80" w:line="300" w:lineRule="auto"/>
      </w:pPr>
      <w:r>
        <w:rPr>
          <w:rFonts w:ascii="Calibri" w:hAnsi="Calibri"/>
          <w:color w:val="222222"/>
        </w:rPr>
        <w:t>[ ] Decision changes are append-only or versioned.</w:t>
      </w:r>
    </w:p>
    <w:p>
      <w:r>
        <w:br w:type="page"/>
      </w:r>
    </w:p>
    <w:p>
      <w:pPr>
        <w:pStyle w:val="Heading1"/>
      </w:pPr>
      <w:r>
        <w:rPr>
          <w:rFonts w:ascii="Calibri" w:hAnsi="Calibri"/>
          <w:color w:val="222222"/>
        </w:rPr>
        <w:t>Access-pattern and transfer checklist - learner version</w:t>
      </w:r>
    </w:p>
    <w:p>
      <w:r>
        <w:rPr>
          <w:rFonts w:ascii="Calibri" w:hAnsi="Calibri"/>
          <w:b/>
          <w:color w:val="222222"/>
        </w:rPr>
        <w:t>Learner:</w:t>
      </w:r>
      <w:r>
        <w:rPr>
          <w:rFonts w:ascii="Calibri" w:hAnsi="Calibri"/>
          <w:color w:val="222222"/>
        </w:rPr>
        <w:t xml:space="preserve"> ____________________</w:t>
      </w:r>
    </w:p>
    <w:p>
      <w:r>
        <w:rPr>
          <w:rFonts w:ascii="Calibri" w:hAnsi="Calibri"/>
          <w:b/>
          <w:color w:val="222222"/>
        </w:rPr>
        <w:t>Date:</w:t>
      </w:r>
      <w:r>
        <w:rPr>
          <w:rFonts w:ascii="Calibri" w:hAnsi="Calibri"/>
          <w:color w:val="222222"/>
        </w:rPr>
        <w:t xml:space="preserve"> ____________________</w:t>
      </w:r>
    </w:p>
    <w:p>
      <w:r>
        <w:rPr>
          <w:rFonts w:ascii="Calibri" w:hAnsi="Calibri"/>
          <w:b/>
          <w:color w:val="222222"/>
        </w:rPr>
        <w:t>Resource support contact, if known:</w:t>
      </w:r>
      <w:r>
        <w:rPr>
          <w:rFonts w:ascii="Calibri" w:hAnsi="Calibri"/>
          <w:color w:val="222222"/>
        </w:rPr>
        <w:t xml:space="preserve"> ____________________</w:t>
      </w:r>
    </w:p>
    <w:p>
      <w:pPr>
        <w:pStyle w:val="Heading2"/>
      </w:pPr>
      <w:r>
        <w:rPr>
          <w:rFonts w:ascii="Calibri" w:hAnsi="Calibri"/>
          <w:color w:val="222222"/>
        </w:rPr>
        <w:t>Instructions</w:t>
      </w:r>
    </w:p>
    <w:p>
      <w:r>
        <w:rPr>
          <w:rFonts w:ascii="Calibri" w:hAnsi="Calibri"/>
          <w:color w:val="222222"/>
        </w:rPr>
        <w:t>Assess one exact dataset, release, and intended action. Use current first-party documentation. Do not infer access from the program name, a search-result snippet, or a past release.</w:t>
      </w:r>
    </w:p>
    <w:p>
      <w:r>
        <w:rPr>
          <w:rFonts w:ascii="Calibri" w:hAnsi="Calibri"/>
          <w:color w:val="222222"/>
        </w:rPr>
        <w:t>This checklist supports planning and is not legal advice or a replacement for the resource's terms, institutional review, or data-governance process.</w:t>
      </w:r>
    </w:p>
    <w:p>
      <w:pPr>
        <w:pStyle w:val="Heading2"/>
      </w:pPr>
      <w:r>
        <w:rPr>
          <w:rFonts w:ascii="Calibri" w:hAnsi="Calibri"/>
          <w:color w:val="222222"/>
        </w:rPr>
        <w:t>1. Scope the request</w:t>
      </w:r>
    </w:p>
    <w:tbl>
      <w:tblPr>
        <w:tblStyle w:val="TableGrid"/>
        <w:tblW w:type="dxa" w:w="9360"/>
        <w:jc w:val="left"/>
        <w:tblLayout w:type="fixed"/>
        <w:tblLook w:firstColumn="1" w:firstRow="1" w:lastColumn="0" w:lastRow="0" w:noHBand="0" w:noVBand="1" w:val="04A0"/>
        <w:tblInd w:w="120" w:type="dxa"/>
      </w:tblPr>
      <w:tblGrid>
        <w:gridCol w:w="6984"/>
        <w:gridCol w:w="2376"/>
      </w:tblGrid>
      <w:tr>
        <w:trPr>
          <w:cantSplit w:val="true"/>
          <w:tblHeader w:val="true"/>
        </w:trPr>
        <w:tc>
          <w:tcPr>
            <w:tcW w:type="dxa" w:w="698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Item</w:t>
            </w:r>
          </w:p>
        </w:tc>
        <w:tc>
          <w:tcPr>
            <w:tcW w:type="dxa" w:w="237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Entry</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Program/resource</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dataset or collection</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Release/version/date</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Assay/data level</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Requested fields/files</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Intended scientific question</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Intended action: view/query/download/join/analyze/export/share/publish</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Intended users/collaborators</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Intended compute location</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Intended storage location</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Intended outputs</w:t>
            </w:r>
          </w:p>
        </w:tc>
        <w:tc>
          <w:tcPr>
            <w:tcW w:type="dxa" w:w="2376"/>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2. Record first-party evidence</w:t>
      </w:r>
    </w:p>
    <w:tbl>
      <w:tblPr>
        <w:tblStyle w:val="TableGrid"/>
        <w:tblW w:type="dxa" w:w="9360"/>
        <w:jc w:val="left"/>
        <w:tblLayout w:type="fixed"/>
        <w:tblLook w:firstColumn="1" w:firstRow="1" w:lastColumn="0" w:lastRow="0" w:noHBand="0" w:noVBand="1" w:val="04A0"/>
        <w:tblInd w:w="120" w:type="dxa"/>
      </w:tblPr>
      <w:tblGrid>
        <w:gridCol w:w="2748"/>
        <w:gridCol w:w="1105"/>
        <w:gridCol w:w="1995"/>
        <w:gridCol w:w="1379"/>
        <w:gridCol w:w="2133"/>
      </w:tblGrid>
      <w:tr>
        <w:trPr>
          <w:cantSplit w:val="true"/>
          <w:tblHeader w:val="true"/>
        </w:trPr>
        <w:tc>
          <w:tcPr>
            <w:tcW w:type="dxa" w:w="274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Evidence question</w:t>
            </w:r>
          </w:p>
        </w:tc>
        <w:tc>
          <w:tcPr>
            <w:tcW w:type="dxa" w:w="110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Answer</w:t>
            </w:r>
          </w:p>
        </w:tc>
        <w:tc>
          <w:tcPr>
            <w:tcW w:type="dxa" w:w="199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First-party URL/document section</w:t>
            </w:r>
          </w:p>
        </w:tc>
        <w:tc>
          <w:tcPr>
            <w:tcW w:type="dxa" w:w="137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Checked at UTC</w:t>
            </w:r>
          </w:p>
        </w:tc>
        <w:tc>
          <w:tcPr>
            <w:tcW w:type="dxa" w:w="213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Status: verified/conflicting/unclear</w:t>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the exact release discoverable?</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it released, embargoed, or pending?</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Can it be viewed without an account?</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Can the desired data be downloaded?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an individual account required?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institutional authorization required?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training or identity verification required?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a DUA, code of conduct, or click-through agreement required?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project or access-committee approval required?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Must analysis occur in a governed workspace?</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Can participant-level data leave the environment?</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What aggregate/count/output rules apply?</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Can external reference data or APIs enter the environment?</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Can code leave the environment, and under what conditions?</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Can collaborators receive or share access?</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What citation/acknowledgment is required?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What license or reuse terms apply?</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3. Assign a planning pattern</w:t>
      </w:r>
    </w:p>
    <w:p>
      <w:r>
        <w:rPr>
          <w:rFonts w:ascii="Calibri" w:hAnsi="Calibri"/>
          <w:color w:val="222222"/>
        </w:rPr>
        <w:t>Select only after completing the evidence table.</w:t>
      </w:r>
    </w:p>
    <w:p>
      <w:pPr>
        <w:numPr>
          <w:ilvl w:val="0"/>
          <w:numId w:val="92"/>
        </w:numPr>
        <w:spacing w:after="80" w:line="300" w:lineRule="auto"/>
      </w:pPr>
      <w:r>
        <w:rPr>
          <w:rFonts w:ascii="Calibri" w:hAnsi="Calibri"/>
          <w:color w:val="222222"/>
        </w:rPr>
        <w:t xml:space="preserve">[ ] </w:t>
      </w:r>
      <w:r>
        <w:rPr>
          <w:rFonts w:ascii="Calibri" w:hAnsi="Calibri"/>
          <w:b/>
          <w:color w:val="222222"/>
        </w:rPr>
        <w:t>Open public retrieval:</w:t>
      </w:r>
      <w:r>
        <w:rPr>
          <w:rFonts w:ascii="Calibri" w:hAnsi="Calibri"/>
          <w:color w:val="222222"/>
        </w:rPr>
        <w:t xml:space="preserve"> The intended public data action is available without personal credentials.</w:t>
      </w:r>
    </w:p>
    <w:p>
      <w:pPr>
        <w:numPr>
          <w:ilvl w:val="0"/>
          <w:numId w:val="92"/>
        </w:numPr>
        <w:spacing w:after="80" w:line="300" w:lineRule="auto"/>
      </w:pPr>
      <w:r>
        <w:rPr>
          <w:rFonts w:ascii="Calibri" w:hAnsi="Calibri"/>
          <w:color w:val="222222"/>
        </w:rPr>
        <w:t xml:space="preserve">[ ] </w:t>
      </w:r>
      <w:r>
        <w:rPr>
          <w:rFonts w:ascii="Calibri" w:hAnsi="Calibri"/>
          <w:b/>
          <w:color w:val="222222"/>
        </w:rPr>
        <w:t>Account/agreement/approval gated:</w:t>
      </w:r>
      <w:r>
        <w:rPr>
          <w:rFonts w:ascii="Calibri" w:hAnsi="Calibri"/>
          <w:color w:val="222222"/>
        </w:rPr>
        <w:t xml:space="preserve"> The intended action requires identity, terms, a DUA, or approval.</w:t>
      </w:r>
    </w:p>
    <w:p>
      <w:pPr>
        <w:numPr>
          <w:ilvl w:val="0"/>
          <w:numId w:val="92"/>
        </w:numPr>
        <w:spacing w:after="80" w:line="300" w:lineRule="auto"/>
      </w:pPr>
      <w:r>
        <w:rPr>
          <w:rFonts w:ascii="Calibri" w:hAnsi="Calibri"/>
          <w:color w:val="222222"/>
        </w:rPr>
        <w:t xml:space="preserve">[ ] </w:t>
      </w:r>
      <w:r>
        <w:rPr>
          <w:rFonts w:ascii="Calibri" w:hAnsi="Calibri"/>
          <w:b/>
          <w:color w:val="222222"/>
        </w:rPr>
        <w:t>Controlled compute:</w:t>
      </w:r>
      <w:r>
        <w:rPr>
          <w:rFonts w:ascii="Calibri" w:hAnsi="Calibri"/>
          <w:color w:val="222222"/>
        </w:rPr>
        <w:t xml:space="preserve"> Participant-level work must remain in a governed environment and only permitted outputs leave.</w:t>
      </w:r>
    </w:p>
    <w:p>
      <w:pPr>
        <w:numPr>
          <w:ilvl w:val="0"/>
          <w:numId w:val="92"/>
        </w:numPr>
        <w:spacing w:after="80" w:line="300" w:lineRule="auto"/>
      </w:pPr>
      <w:r>
        <w:rPr>
          <w:rFonts w:ascii="Calibri" w:hAnsi="Calibri"/>
          <w:color w:val="222222"/>
        </w:rPr>
        <w:t xml:space="preserve">[ ] </w:t>
      </w:r>
      <w:r>
        <w:rPr>
          <w:rFonts w:ascii="Calibri" w:hAnsi="Calibri"/>
          <w:b/>
          <w:color w:val="222222"/>
        </w:rPr>
        <w:t>Mixed:</w:t>
      </w:r>
      <w:r>
        <w:rPr>
          <w:rFonts w:ascii="Calibri" w:hAnsi="Calibri"/>
          <w:color w:val="222222"/>
        </w:rPr>
        <w:t xml:space="preserve"> Different files, levels, actions, or releases use different patterns.</w:t>
      </w:r>
    </w:p>
    <w:p>
      <w:pPr>
        <w:numPr>
          <w:ilvl w:val="0"/>
          <w:numId w:val="92"/>
        </w:numPr>
        <w:spacing w:after="80" w:line="300" w:lineRule="auto"/>
      </w:pPr>
      <w:r>
        <w:rPr>
          <w:rFonts w:ascii="Calibri" w:hAnsi="Calibri"/>
          <w:color w:val="222222"/>
        </w:rPr>
        <w:t xml:space="preserve">[ ] </w:t>
      </w:r>
      <w:r>
        <w:rPr>
          <w:rFonts w:ascii="Calibri" w:hAnsi="Calibri"/>
          <w:b/>
          <w:color w:val="222222"/>
        </w:rPr>
        <w:t>Unclear:</w:t>
      </w:r>
      <w:r>
        <w:rPr>
          <w:rFonts w:ascii="Calibri" w:hAnsi="Calibri"/>
          <w:color w:val="222222"/>
        </w:rPr>
        <w:t xml:space="preserve"> Current evidence is insufficient or conflicting.</w:t>
      </w:r>
    </w:p>
    <w:p>
      <w:r>
        <w:rPr>
          <w:rFonts w:ascii="Calibri" w:hAnsi="Calibri"/>
          <w:b/>
          <w:color w:val="222222"/>
        </w:rPr>
        <w:t>Evidence statement:</w:t>
      </w:r>
    </w:p>
    <w:p>
      <w:pPr>
        <w:spacing w:before="100" w:after="120"/>
        <w:ind w:left="259" w:right="115"/>
        <w:shd w:fill="F4F6F9"/>
        <w:pBdr>
          <w:left w:val="single" w:sz="16" w:space="8" w:color="2E74B5"/>
        </w:pBdr>
      </w:pPr>
      <w:r>
        <w:rPr>
          <w:rFonts w:ascii="Calibri" w:hAnsi="Calibri"/>
          <w:color w:val="1F4D78"/>
        </w:rPr>
        <w:t>The first-party source states ____________________________________________.</w:t>
      </w:r>
    </w:p>
    <w:p>
      <w:r>
        <w:rPr>
          <w:rFonts w:ascii="Calibri" w:hAnsi="Calibri"/>
          <w:b/>
          <w:color w:val="222222"/>
        </w:rPr>
        <w:t>Your interpretation:</w:t>
      </w:r>
    </w:p>
    <w:p>
      <w:pPr>
        <w:spacing w:before="100" w:after="120"/>
        <w:ind w:left="259" w:right="115"/>
        <w:shd w:fill="F4F6F9"/>
        <w:pBdr>
          <w:left w:val="single" w:sz="16" w:space="8" w:color="2E74B5"/>
        </w:pBdr>
      </w:pPr>
      <w:r>
        <w:rPr>
          <w:rFonts w:ascii="Calibri" w:hAnsi="Calibri"/>
          <w:color w:val="1F4D78"/>
        </w:rPr>
        <w:t>For my intended action, I infer _________________________________________.</w:t>
      </w:r>
    </w:p>
    <w:p>
      <w:pPr>
        <w:pStyle w:val="Heading2"/>
      </w:pPr>
      <w:r>
        <w:rPr>
          <w:rFonts w:ascii="Calibri" w:hAnsi="Calibri"/>
          <w:color w:val="222222"/>
        </w:rPr>
        <w:t>4. Scientific compatibility is a separate gate</w:t>
      </w:r>
    </w:p>
    <w:tbl>
      <w:tblPr>
        <w:tblStyle w:val="TableGrid"/>
        <w:tblW w:type="dxa" w:w="9360"/>
        <w:jc w:val="left"/>
        <w:tblLayout w:type="fixed"/>
        <w:tblLook w:firstColumn="1" w:firstRow="1" w:lastColumn="0" w:lastRow="0" w:noHBand="0" w:noVBand="1" w:val="04A0"/>
        <w:tblInd w:w="120" w:type="dxa"/>
      </w:tblPr>
      <w:tblGrid>
        <w:gridCol w:w="2586"/>
        <w:gridCol w:w="1721"/>
        <w:gridCol w:w="3048"/>
        <w:gridCol w:w="2005"/>
      </w:tblGrid>
      <w:tr>
        <w:trPr>
          <w:cantSplit w:val="true"/>
          <w:tblHeader w:val="true"/>
        </w:trPr>
        <w:tc>
          <w:tcPr>
            <w:tcW w:type="dxa" w:w="258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Check</w:t>
            </w:r>
          </w:p>
        </w:tc>
        <w:tc>
          <w:tcPr>
            <w:tcW w:type="dxa" w:w="172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Evidence</w:t>
            </w:r>
          </w:p>
        </w:tc>
        <w:tc>
          <w:tcPr>
            <w:tcW w:type="dxa" w:w="304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Compatible/partial/not compatible/unclear</w:t>
            </w:r>
          </w:p>
        </w:tc>
        <w:tc>
          <w:tcPr>
            <w:tcW w:type="dxa" w:w="200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Required action</w:t>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Population and design</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Phenotype/exposure definition</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Specimen and pre-analytics</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Timepoint semantics</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Assay/platform and coverage</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Units/scale and preprocessing</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Identifier/annotation resolution</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Repeated-measures structure</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Missingness and QC metadata</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bl>
    <w:p>
      <w:pPr>
        <w:spacing w:before="0" w:after="40"/>
      </w:pPr>
    </w:p>
    <w:p>
      <w:r>
        <w:rPr>
          <w:rFonts w:ascii="Calibri" w:hAnsi="Calibri"/>
          <w:b/>
          <w:color w:val="222222"/>
        </w:rPr>
        <w:t>Scientific comparison the data can support:</w:t>
      </w:r>
      <w:r>
        <w:rPr>
          <w:rFonts w:ascii="Calibri" w:hAnsi="Calibri"/>
          <w:color w:val="222222"/>
        </w:rPr>
        <w:t xml:space="preserve"> ____________________________</w:t>
      </w:r>
    </w:p>
    <w:p>
      <w:r>
        <w:rPr>
          <w:rFonts w:ascii="Calibri" w:hAnsi="Calibri"/>
          <w:b/>
          <w:color w:val="222222"/>
        </w:rPr>
        <w:t>Scientific comparison the data cannot support:</w:t>
      </w:r>
      <w:r>
        <w:rPr>
          <w:rFonts w:ascii="Calibri" w:hAnsi="Calibri"/>
          <w:color w:val="222222"/>
        </w:rPr>
        <w:t xml:space="preserve"> _________________________</w:t>
      </w:r>
    </w:p>
    <w:p>
      <w:pPr>
        <w:pStyle w:val="Heading2"/>
      </w:pPr>
      <w:r>
        <w:rPr>
          <w:rFonts w:ascii="Calibri" w:hAnsi="Calibri"/>
          <w:color w:val="222222"/>
        </w:rPr>
        <w:t>5. Adapt the Metabo-Diet workflow</w:t>
      </w:r>
    </w:p>
    <w:tbl>
      <w:tblPr>
        <w:tblStyle w:val="TableGrid"/>
        <w:tblW w:type="dxa" w:w="9360"/>
        <w:jc w:val="left"/>
        <w:tblLayout w:type="fixed"/>
        <w:tblLook w:firstColumn="1" w:firstRow="1" w:lastColumn="0" w:lastRow="0" w:noHBand="0" w:noVBand="1" w:val="04A0"/>
        <w:tblInd w:w="120" w:type="dxa"/>
      </w:tblPr>
      <w:tblGrid>
        <w:gridCol w:w="2358"/>
        <w:gridCol w:w="1750"/>
        <w:gridCol w:w="1264"/>
        <w:gridCol w:w="1750"/>
        <w:gridCol w:w="2238"/>
      </w:tblGrid>
      <w:tr>
        <w:trPr>
          <w:cantSplit w:val="true"/>
          <w:tblHeader w:val="true"/>
        </w:trPr>
        <w:tc>
          <w:tcPr>
            <w:tcW w:type="dxa" w:w="235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Component</w:t>
            </w:r>
          </w:p>
        </w:tc>
        <w:tc>
          <w:tcPr>
            <w:tcW w:type="dxa" w:w="175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Keep unchanged</w:t>
            </w:r>
          </w:p>
        </w:tc>
        <w:tc>
          <w:tcPr>
            <w:tcW w:type="dxa" w:w="126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Modify</w:t>
            </w:r>
          </w:p>
        </w:tc>
        <w:tc>
          <w:tcPr>
            <w:tcW w:type="dxa" w:w="175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Remove/replace</w:t>
            </w:r>
          </w:p>
        </w:tc>
        <w:tc>
          <w:tcPr>
            <w:tcW w:type="dxa" w:w="223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Planned implementation</w:t>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Question and estimand</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Retrieval adapter/API</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Authentication handling</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Local public cache</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Provenance manifest</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Specimen/time crosswalk</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RefMet mapping</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QC/sample-role logic</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Within-study analysis</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Cross-resource join</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Output disclosure review</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Collaboration/sharing</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Publication/citation</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6. Data-flow sketch</w:t>
      </w:r>
    </w:p>
    <w:p>
      <w:r>
        <w:rPr>
          <w:rFonts w:ascii="Calibri" w:hAnsi="Calibri"/>
          <w:color w:val="222222"/>
        </w:rPr>
        <w:t>Write each boundary explicitly.</w:t>
      </w:r>
    </w:p>
    <w:p>
      <w:pPr>
        <w:spacing w:before="0" w:after="0" w:line="240" w:lineRule="auto"/>
        <w:ind w:left="259" w:right="72"/>
        <w:shd w:fill="F3F5F7"/>
        <w:pBdr>
          <w:left w:val="single" w:sz="16" w:space="8" w:color="B8C3CC"/>
        </w:pBdr>
      </w:pPr>
      <w:r>
        <w:rPr>
          <w:rFonts w:ascii="Consolas" w:hAnsi="Consolas"/>
          <w:color w:val="24313B"/>
          <w:sz w:val="16"/>
        </w:rPr>
        <w:t>[Public documentation/reference] --permitted input?--&gt; [Compute environment]</w:t>
      </w:r>
    </w:p>
    <w:p>
      <w:pPr>
        <w:spacing w:before="0" w:after="0" w:line="240" w:lineRule="auto"/>
        <w:ind w:left="259" w:right="72"/>
        <w:shd w:fill="F3F5F7"/>
        <w:pBdr>
          <w:left w:val="single" w:sz="16" w:space="8" w:color="B8C3CC"/>
        </w:pBdr>
      </w:pPr>
      <w:r>
        <w:rPr>
          <w:rFonts w:ascii="Consolas" w:hAnsi="Consolas"/>
          <w:color w:val="24313B"/>
          <w:sz w:val="16"/>
        </w:rPr>
        <w:t>[Governed/raw data] ----------------stays where?------&gt; [Compute environment]</w:t>
      </w:r>
    </w:p>
    <w:p>
      <w:pPr>
        <w:spacing w:before="0" w:after="0" w:line="240" w:lineRule="auto"/>
        <w:ind w:left="259" w:right="72"/>
        <w:shd w:fill="F3F5F7"/>
        <w:pBdr>
          <w:left w:val="single" w:sz="16" w:space="8" w:color="B8C3CC"/>
        </w:pBdr>
      </w:pPr>
      <w:r>
        <w:rPr>
          <w:rFonts w:ascii="Consolas" w:hAnsi="Consolas"/>
          <w:color w:val="24313B"/>
          <w:sz w:val="16"/>
        </w:rPr>
        <w:t>[Derived participant-level data] ---stays where?------&gt; [Approved storage]</w:t>
      </w:r>
    </w:p>
    <w:p>
      <w:pPr>
        <w:spacing w:before="0" w:after="0" w:line="240" w:lineRule="auto"/>
        <w:ind w:left="259" w:right="72"/>
        <w:shd w:fill="F3F5F7"/>
        <w:pBdr>
          <w:left w:val="single" w:sz="16" w:space="8" w:color="B8C3CC"/>
        </w:pBdr>
      </w:pPr>
      <w:r>
        <w:rPr>
          <w:rFonts w:ascii="Consolas" w:hAnsi="Consolas"/>
          <w:color w:val="24313B"/>
          <w:sz w:val="16"/>
        </w:rPr>
        <w:t>[Aggregate/output] -----------------review rule?------&gt; [Permitted destination]</w:t>
      </w:r>
    </w:p>
    <w:p>
      <w:pPr>
        <w:spacing w:before="0" w:after="0" w:line="240" w:lineRule="auto"/>
        <w:ind w:left="259" w:right="72"/>
        <w:shd w:fill="F3F5F7"/>
        <w:pBdr>
          <w:left w:val="single" w:sz="16" w:space="8" w:color="B8C3CC"/>
        </w:pBdr>
      </w:pPr>
      <w:r>
        <w:rPr>
          <w:rFonts w:ascii="Consolas" w:hAnsi="Consolas"/>
          <w:color w:val="24313B"/>
          <w:sz w:val="16"/>
        </w:rPr>
        <w:t>[Code] -----------------------------review rule?------&gt; [Repository/collaborator]</w:t>
      </w:r>
    </w:p>
    <w:p>
      <w:r>
        <w:rPr>
          <w:rFonts w:ascii="Calibri" w:hAnsi="Calibri"/>
          <w:b/>
          <w:color w:val="222222"/>
        </w:rPr>
        <w:t>Credentials/tokens location:</w:t>
      </w:r>
      <w:r>
        <w:rPr>
          <w:rFonts w:ascii="Calibri" w:hAnsi="Calibri"/>
          <w:color w:val="222222"/>
        </w:rPr>
        <w:t xml:space="preserve"> ___________________________________________</w:t>
      </w:r>
    </w:p>
    <w:p>
      <w:r>
        <w:rPr>
          <w:rFonts w:ascii="Calibri" w:hAnsi="Calibri"/>
          <w:b/>
          <w:color w:val="222222"/>
        </w:rPr>
        <w:t>Credential rule:</w:t>
      </w:r>
      <w:r>
        <w:rPr>
          <w:rFonts w:ascii="Calibri" w:hAnsi="Calibri"/>
          <w:color w:val="222222"/>
        </w:rPr>
        <w:t xml:space="preserve"> Never enter credentials or signed URLs in this worksheet, a notebook, a cache, or version control.</w:t>
      </w:r>
    </w:p>
    <w:p>
      <w:pPr>
        <w:pStyle w:val="Heading2"/>
      </w:pPr>
      <w:r>
        <w:rPr>
          <w:rFonts w:ascii="Calibri" w:hAnsi="Calibri"/>
          <w:color w:val="222222"/>
        </w:rPr>
        <w:t>7. Risk and dependency log</w:t>
      </w:r>
    </w:p>
    <w:tbl>
      <w:tblPr>
        <w:tblStyle w:val="TableGrid"/>
        <w:tblW w:type="dxa" w:w="9360"/>
        <w:jc w:val="left"/>
        <w:tblLayout w:type="fixed"/>
        <w:tblLook w:firstColumn="1" w:firstRow="1" w:lastColumn="0" w:lastRow="0" w:noHBand="0" w:noVBand="1" w:val="04A0"/>
        <w:tblInd w:w="120" w:type="dxa"/>
      </w:tblPr>
      <w:tblGrid>
        <w:gridCol w:w="2781"/>
        <w:gridCol w:w="1527"/>
        <w:gridCol w:w="1370"/>
        <w:gridCol w:w="1683"/>
        <w:gridCol w:w="1999"/>
      </w:tblGrid>
      <w:tr>
        <w:trPr>
          <w:cantSplit w:val="true"/>
          <w:tblHeader w:val="true"/>
        </w:trPr>
        <w:tc>
          <w:tcPr>
            <w:tcW w:type="dxa" w:w="278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Risk or dependency</w:t>
            </w:r>
          </w:p>
        </w:tc>
        <w:tc>
          <w:tcPr>
            <w:tcW w:type="dxa" w:w="152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Evidence</w:t>
            </w:r>
          </w:p>
        </w:tc>
        <w:tc>
          <w:tcPr>
            <w:tcW w:type="dxa" w:w="137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Owner</w:t>
            </w:r>
          </w:p>
        </w:tc>
        <w:tc>
          <w:tcPr>
            <w:tcW w:type="dxa" w:w="168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Mitigation</w:t>
            </w:r>
          </w:p>
        </w:tc>
        <w:tc>
          <w:tcPr>
            <w:tcW w:type="dxa" w:w="199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Stop condition</w:t>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Access approval</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Dataset release/change</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Compute/storage policy</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Export/disclosure</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Identifier mapping</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Scientific compatibility</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Other</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8. Decision</w:t>
      </w:r>
    </w:p>
    <w:p>
      <w:pPr>
        <w:numPr>
          <w:ilvl w:val="0"/>
          <w:numId w:val="93"/>
        </w:numPr>
        <w:spacing w:after="80" w:line="300" w:lineRule="auto"/>
      </w:pPr>
      <w:r>
        <w:rPr>
          <w:rFonts w:ascii="Calibri" w:hAnsi="Calibri"/>
          <w:color w:val="222222"/>
        </w:rPr>
        <w:t xml:space="preserve">[ ] </w:t>
      </w:r>
      <w:r>
        <w:rPr>
          <w:rFonts w:ascii="Consolas" w:hAnsi="Consolas"/>
          <w:color w:val="1F4D78"/>
          <w:sz w:val="21"/>
          <w:shd w:fill="EEF1F4"/>
        </w:rPr>
        <w:t>GO</w:t>
      </w:r>
      <w:r>
        <w:rPr>
          <w:rFonts w:ascii="Calibri" w:hAnsi="Calibri"/>
          <w:color w:val="222222"/>
        </w:rPr>
        <w:t xml:space="preserve"> - requirements are verified and the planned action is permitted and scientifically appropriate.</w:t>
      </w:r>
    </w:p>
    <w:p>
      <w:pPr>
        <w:numPr>
          <w:ilvl w:val="0"/>
          <w:numId w:val="93"/>
        </w:numPr>
        <w:spacing w:after="80" w:line="300" w:lineRule="auto"/>
      </w:pPr>
      <w:r>
        <w:rPr>
          <w:rFonts w:ascii="Calibri" w:hAnsi="Calibri"/>
          <w:color w:val="222222"/>
        </w:rPr>
        <w:t xml:space="preserve">[ ] </w:t>
      </w:r>
      <w:r>
        <w:rPr>
          <w:rFonts w:ascii="Consolas" w:hAnsi="Consolas"/>
          <w:color w:val="1F4D78"/>
          <w:sz w:val="21"/>
          <w:shd w:fill="EEF1F4"/>
        </w:rPr>
        <w:t>REVISE</w:t>
      </w:r>
      <w:r>
        <w:rPr>
          <w:rFonts w:ascii="Calibri" w:hAnsi="Calibri"/>
          <w:color w:val="222222"/>
        </w:rPr>
        <w:t xml:space="preserve"> - the goal is possible, but architecture, scope, output, or analysis must change.</w:t>
      </w:r>
    </w:p>
    <w:p>
      <w:pPr>
        <w:numPr>
          <w:ilvl w:val="0"/>
          <w:numId w:val="93"/>
        </w:numPr>
        <w:spacing w:after="80" w:line="300" w:lineRule="auto"/>
      </w:pPr>
      <w:r>
        <w:rPr>
          <w:rFonts w:ascii="Calibri" w:hAnsi="Calibri"/>
          <w:color w:val="222222"/>
        </w:rPr>
        <w:t xml:space="preserve">[ ] </w:t>
      </w:r>
      <w:r>
        <w:rPr>
          <w:rFonts w:ascii="Consolas" w:hAnsi="Consolas"/>
          <w:color w:val="1F4D78"/>
          <w:sz w:val="21"/>
          <w:shd w:fill="EEF1F4"/>
        </w:rPr>
        <w:t>WAIT</w:t>
      </w:r>
      <w:r>
        <w:rPr>
          <w:rFonts w:ascii="Calibri" w:hAnsi="Calibri"/>
          <w:color w:val="222222"/>
        </w:rPr>
        <w:t xml:space="preserve"> - a documented approval, release, or clarification is pending.</w:t>
      </w:r>
    </w:p>
    <w:p>
      <w:pPr>
        <w:numPr>
          <w:ilvl w:val="0"/>
          <w:numId w:val="93"/>
        </w:numPr>
        <w:spacing w:after="80" w:line="300" w:lineRule="auto"/>
      </w:pPr>
      <w:r>
        <w:rPr>
          <w:rFonts w:ascii="Calibri" w:hAnsi="Calibri"/>
          <w:color w:val="222222"/>
        </w:rPr>
        <w:t xml:space="preserve">[ ] </w:t>
      </w:r>
      <w:r>
        <w:rPr>
          <w:rFonts w:ascii="Consolas" w:hAnsi="Consolas"/>
          <w:color w:val="1F4D78"/>
          <w:sz w:val="21"/>
          <w:shd w:fill="EEF1F4"/>
        </w:rPr>
        <w:t>STOP</w:t>
      </w:r>
      <w:r>
        <w:rPr>
          <w:rFonts w:ascii="Calibri" w:hAnsi="Calibri"/>
          <w:color w:val="222222"/>
        </w:rPr>
        <w:t xml:space="preserve"> - the planned action is prohibited or cannot answer the scientific question.</w:t>
      </w:r>
    </w:p>
    <w:p>
      <w:r>
        <w:rPr>
          <w:rFonts w:ascii="Calibri" w:hAnsi="Calibri"/>
          <w:b/>
          <w:color w:val="222222"/>
        </w:rPr>
        <w:t>Decision statement:</w:t>
      </w:r>
      <w:r>
        <w:rPr>
          <w:rFonts w:ascii="Calibri" w:hAnsi="Calibri"/>
          <w:color w:val="222222"/>
        </w:rPr>
        <w:t xml:space="preserve"> ____________________________________________________</w:t>
      </w:r>
    </w:p>
    <w:p>
      <w:r>
        <w:rPr>
          <w:rFonts w:ascii="Calibri" w:hAnsi="Calibri"/>
          <w:b/>
          <w:color w:val="222222"/>
        </w:rPr>
        <w:t>Unresolved items:</w:t>
      </w:r>
      <w:r>
        <w:rPr>
          <w:rFonts w:ascii="Calibri" w:hAnsi="Calibri"/>
          <w:color w:val="222222"/>
        </w:rPr>
        <w:t xml:space="preserve"> ______________________________________________________</w:t>
      </w:r>
    </w:p>
    <w:p>
      <w:r>
        <w:rPr>
          <w:rFonts w:ascii="Calibri" w:hAnsi="Calibri"/>
          <w:b/>
          <w:color w:val="222222"/>
        </w:rPr>
        <w:t>Next evidence check and date:</w:t>
      </w:r>
      <w:r>
        <w:rPr>
          <w:rFonts w:ascii="Calibri" w:hAnsi="Calibri"/>
          <w:color w:val="222222"/>
        </w:rPr>
        <w:t xml:space="preserve"> __________________________________________</w:t>
      </w:r>
    </w:p>
    <w:p>
      <w:pPr>
        <w:pStyle w:val="Heading2"/>
      </w:pPr>
      <w:r>
        <w:rPr>
          <w:rFonts w:ascii="Calibri" w:hAnsi="Calibri"/>
          <w:color w:val="222222"/>
        </w:rPr>
        <w:t>Final safety check</w:t>
      </w:r>
    </w:p>
    <w:p>
      <w:pPr>
        <w:numPr>
          <w:ilvl w:val="0"/>
          <w:numId w:val="94"/>
        </w:numPr>
        <w:spacing w:after="80" w:line="300" w:lineRule="auto"/>
      </w:pPr>
      <w:r>
        <w:rPr>
          <w:rFonts w:ascii="Calibri" w:hAnsi="Calibri"/>
          <w:color w:val="222222"/>
        </w:rPr>
        <w:t>[ ] I evaluated an exact dataset, release, and action.</w:t>
      </w:r>
    </w:p>
    <w:p>
      <w:pPr>
        <w:numPr>
          <w:ilvl w:val="0"/>
          <w:numId w:val="94"/>
        </w:numPr>
        <w:spacing w:after="80" w:line="300" w:lineRule="auto"/>
      </w:pPr>
      <w:r>
        <w:rPr>
          <w:rFonts w:ascii="Calibri" w:hAnsi="Calibri"/>
          <w:color w:val="222222"/>
        </w:rPr>
        <w:t>[ ] I used current first-party evidence and recorded a date.</w:t>
      </w:r>
    </w:p>
    <w:p>
      <w:pPr>
        <w:numPr>
          <w:ilvl w:val="0"/>
          <w:numId w:val="94"/>
        </w:numPr>
        <w:spacing w:after="80" w:line="300" w:lineRule="auto"/>
      </w:pPr>
      <w:r>
        <w:rPr>
          <w:rFonts w:ascii="Calibri" w:hAnsi="Calibri"/>
          <w:color w:val="222222"/>
        </w:rPr>
        <w:t>[ ] I separated policy evidence from my inference.</w:t>
      </w:r>
    </w:p>
    <w:p>
      <w:pPr>
        <w:numPr>
          <w:ilvl w:val="0"/>
          <w:numId w:val="94"/>
        </w:numPr>
        <w:spacing w:after="80" w:line="300" w:lineRule="auto"/>
      </w:pPr>
      <w:r>
        <w:rPr>
          <w:rFonts w:ascii="Calibri" w:hAnsi="Calibri"/>
          <w:color w:val="222222"/>
        </w:rPr>
        <w:t>[ ] I did not copy credentials or governed data into the worksheet.</w:t>
      </w:r>
    </w:p>
    <w:p>
      <w:pPr>
        <w:numPr>
          <w:ilvl w:val="0"/>
          <w:numId w:val="94"/>
        </w:numPr>
        <w:spacing w:after="80" w:line="300" w:lineRule="auto"/>
      </w:pPr>
      <w:r>
        <w:rPr>
          <w:rFonts w:ascii="Calibri" w:hAnsi="Calibri"/>
          <w:color w:val="222222"/>
        </w:rPr>
        <w:t>[ ] I separated access feasibility from scientific comparability.</w:t>
      </w:r>
    </w:p>
    <w:p>
      <w:pPr>
        <w:numPr>
          <w:ilvl w:val="0"/>
          <w:numId w:val="94"/>
        </w:numPr>
        <w:spacing w:after="80" w:line="300" w:lineRule="auto"/>
      </w:pPr>
      <w:r>
        <w:rPr>
          <w:rFonts w:ascii="Calibri" w:hAnsi="Calibri"/>
          <w:color w:val="222222"/>
        </w:rPr>
        <w:t>[ ] I identified where data, code, and outputs may move.</w:t>
      </w:r>
    </w:p>
    <w:p>
      <w:pPr>
        <w:numPr>
          <w:ilvl w:val="0"/>
          <w:numId w:val="94"/>
        </w:numPr>
        <w:spacing w:after="80" w:line="300" w:lineRule="auto"/>
      </w:pPr>
      <w:r>
        <w:rPr>
          <w:rFonts w:ascii="Calibri" w:hAnsi="Calibri"/>
          <w:color w:val="222222"/>
        </w:rPr>
        <w:t>[ ] I identified an official support path for unclear requirements.</w:t>
      </w:r>
    </w:p>
    <w:p>
      <w:pPr>
        <w:numPr>
          <w:ilvl w:val="0"/>
          <w:numId w:val="94"/>
        </w:numPr>
        <w:spacing w:after="80" w:line="300" w:lineRule="auto"/>
      </w:pPr>
      <w:r>
        <w:rPr>
          <w:rFonts w:ascii="Calibri" w:hAnsi="Calibri"/>
          <w:color w:val="222222"/>
        </w:rPr>
        <w:t>[ ] My decision can be revisited when the release or policy changes.</w:t>
      </w:r>
    </w:p>
    <w:p>
      <w:r>
        <w:br w:type="page"/>
      </w:r>
    </w:p>
    <w:p>
      <w:pPr>
        <w:pStyle w:val="Heading1"/>
      </w:pPr>
      <w:r>
        <w:rPr>
          <w:rFonts w:ascii="Calibri" w:hAnsi="Calibri"/>
          <w:color w:val="222222"/>
        </w:rPr>
        <w:t>Metabo-Diet glossary</w:t>
      </w:r>
    </w:p>
    <w:p>
      <w:r>
        <w:rPr>
          <w:rFonts w:ascii="Calibri" w:hAnsi="Calibri"/>
          <w:color w:val="222222"/>
        </w:rPr>
        <w:t>Terms are defined for this module's workflow. A repository or program may use a term more narrowly; prefer the source's current data dictionary when applying the workflow elsewhere.</w:t>
      </w:r>
    </w:p>
    <w:p>
      <w:pPr>
        <w:pStyle w:val="Heading2"/>
      </w:pPr>
      <w:r>
        <w:rPr>
          <w:rFonts w:ascii="Calibri" w:hAnsi="Calibri"/>
          <w:color w:val="222222"/>
        </w:rPr>
        <w:t>A</w:t>
      </w:r>
    </w:p>
    <w:p>
      <w:r>
        <w:rPr>
          <w:rFonts w:ascii="Calibri" w:hAnsi="Calibri"/>
          <w:b/>
          <w:color w:val="222222"/>
        </w:rPr>
        <w:t>Access pattern</w:t>
      </w:r>
    </w:p>
    <w:p>
      <w:r>
        <w:rPr>
          <w:rFonts w:ascii="Calibri" w:hAnsi="Calibri"/>
          <w:color w:val="222222"/>
        </w:rPr>
        <w:t>The practical combination of identity, agreement, approval, compute, storage, and output rules governing a specific dataset, release, and action. This module uses open, agreement- or approval-gated, and controlled-compute patterns as planning aids rather than universal legal categories.</w:t>
      </w:r>
    </w:p>
    <w:p>
      <w:r>
        <w:rPr>
          <w:rFonts w:ascii="Calibri" w:hAnsi="Calibri"/>
          <w:b/>
          <w:color w:val="222222"/>
        </w:rPr>
        <w:t>Acute exercise response</w:t>
      </w:r>
    </w:p>
    <w:p>
      <w:r>
        <w:rPr>
          <w:rFonts w:ascii="Calibri" w:hAnsi="Calibri"/>
          <w:color w:val="222222"/>
        </w:rPr>
        <w:t>A physiological or molecular change associated with a single exercise bout. Its interpretation depends on exercise modality, intensity, duration, specimen timing, feeding state, and recovery interval.</w:t>
      </w:r>
    </w:p>
    <w:p>
      <w:r>
        <w:rPr>
          <w:rFonts w:ascii="Calibri" w:hAnsi="Calibri"/>
          <w:b/>
          <w:color w:val="222222"/>
        </w:rPr>
        <w:t>Adduct</w:t>
      </w:r>
    </w:p>
    <w:p>
      <w:r>
        <w:rPr>
          <w:rFonts w:ascii="Calibri" w:hAnsi="Calibri"/>
          <w:color w:val="222222"/>
        </w:rPr>
        <w:t>An ion formed when a molecule associates with or loses a species during ionization, such as a proton or sodium ion. An adduct label is not automatically a unique metabolite identity.</w:t>
      </w:r>
    </w:p>
    <w:p>
      <w:r>
        <w:rPr>
          <w:rFonts w:ascii="Calibri" w:hAnsi="Calibri"/>
          <w:b/>
          <w:color w:val="222222"/>
        </w:rPr>
        <w:t>Analysis identifier</w:t>
      </w:r>
    </w:p>
    <w:p>
      <w:r>
        <w:rPr>
          <w:rFonts w:ascii="Calibri" w:hAnsi="Calibri"/>
          <w:color w:val="222222"/>
        </w:rPr>
        <w:t xml:space="preserve">A Metabolomics Workbench </w:t>
      </w:r>
      <w:r>
        <w:rPr>
          <w:rFonts w:ascii="Consolas" w:hAnsi="Consolas"/>
          <w:color w:val="1F4D78"/>
          <w:sz w:val="21"/>
          <w:shd w:fill="EEF1F4"/>
        </w:rPr>
        <w:t>AN...</w:t>
      </w:r>
      <w:r>
        <w:rPr>
          <w:rFonts w:ascii="Calibri" w:hAnsi="Calibri"/>
          <w:color w:val="222222"/>
        </w:rPr>
        <w:t xml:space="preserve"> identifier for a particular assay or analysis within a study. A study accession may contain multiple analyses with different chromatography, ion mode, platform, or data tables.</w:t>
      </w:r>
    </w:p>
    <w:p>
      <w:r>
        <w:rPr>
          <w:rFonts w:ascii="Calibri" w:hAnsi="Calibri"/>
          <w:b/>
          <w:color w:val="222222"/>
        </w:rPr>
        <w:t>Annotation resolution</w:t>
      </w:r>
    </w:p>
    <w:p>
      <w:r>
        <w:rPr>
          <w:rFonts w:ascii="Calibri" w:hAnsi="Calibri"/>
          <w:color w:val="222222"/>
        </w:rPr>
        <w:t>The structural detail supported for an analyte, such as a discrete structure, lipid molecular species, lipid sum composition, compound class, or unknown feature.</w:t>
      </w:r>
    </w:p>
    <w:p>
      <w:pPr>
        <w:pStyle w:val="Heading2"/>
      </w:pPr>
      <w:r>
        <w:rPr>
          <w:rFonts w:ascii="Calibri" w:hAnsi="Calibri"/>
          <w:color w:val="222222"/>
        </w:rPr>
        <w:t>B</w:t>
      </w:r>
    </w:p>
    <w:p>
      <w:r>
        <w:rPr>
          <w:rFonts w:ascii="Calibri" w:hAnsi="Calibri"/>
          <w:b/>
          <w:color w:val="222222"/>
        </w:rPr>
        <w:t>Batch effect</w:t>
      </w:r>
    </w:p>
    <w:p>
      <w:r>
        <w:rPr>
          <w:rFonts w:ascii="Calibri" w:hAnsi="Calibri"/>
          <w:color w:val="222222"/>
        </w:rPr>
        <w:t>Systematic variation associated with processing order, laboratory conditions, instrument behavior, reagent lot, or another technical grouping rather than the target biology.</w:t>
      </w:r>
    </w:p>
    <w:p>
      <w:r>
        <w:rPr>
          <w:rFonts w:ascii="Calibri" w:hAnsi="Calibri"/>
          <w:b/>
          <w:color w:val="222222"/>
        </w:rPr>
        <w:t>Biological sample</w:t>
      </w:r>
    </w:p>
    <w:p>
      <w:r>
        <w:rPr>
          <w:rFonts w:ascii="Calibri" w:hAnsi="Calibri"/>
          <w:color w:val="222222"/>
        </w:rPr>
        <w:t>A specimen collected from a participant or experimental unit for biological inference. It is distinct from a pooled QC, blank, or technical standard.</w:t>
      </w:r>
    </w:p>
    <w:p>
      <w:pPr>
        <w:pStyle w:val="Heading2"/>
      </w:pPr>
      <w:r>
        <w:rPr>
          <w:rFonts w:ascii="Calibri" w:hAnsi="Calibri"/>
          <w:color w:val="222222"/>
        </w:rPr>
        <w:t>C</w:t>
      </w:r>
    </w:p>
    <w:p>
      <w:r>
        <w:rPr>
          <w:rFonts w:ascii="Calibri" w:hAnsi="Calibri"/>
          <w:b/>
          <w:color w:val="222222"/>
        </w:rPr>
        <w:t>Cached fallback</w:t>
      </w:r>
    </w:p>
    <w:p>
      <w:r>
        <w:rPr>
          <w:rFonts w:ascii="Calibri" w:hAnsi="Calibri"/>
          <w:color w:val="222222"/>
        </w:rPr>
        <w:t>A versioned copy of a public API response used when live retrieval is unavailable. It must have a retrieval timestamp and integrity evidence and must be labeled as cached when used.</w:t>
      </w:r>
    </w:p>
    <w:p>
      <w:r>
        <w:rPr>
          <w:rFonts w:ascii="Calibri" w:hAnsi="Calibri"/>
          <w:b/>
          <w:color w:val="222222"/>
        </w:rPr>
        <w:t>CFDE</w:t>
      </w:r>
    </w:p>
    <w:p>
      <w:r>
        <w:rPr>
          <w:rFonts w:ascii="Calibri" w:hAnsi="Calibri"/>
          <w:color w:val="222222"/>
        </w:rPr>
        <w:t>Common Fund Data Ecosystem, an NIH Common Fund effort supporting discovery, access, interoperability, and reuse across Common Fund data resources.</w:t>
      </w:r>
    </w:p>
    <w:p>
      <w:r>
        <w:rPr>
          <w:rFonts w:ascii="Calibri" w:hAnsi="Calibri"/>
          <w:b/>
          <w:color w:val="222222"/>
        </w:rPr>
        <w:t>Chemical class</w:t>
      </w:r>
    </w:p>
    <w:p>
      <w:r>
        <w:rPr>
          <w:rFonts w:ascii="Calibri" w:hAnsi="Calibri"/>
          <w:color w:val="222222"/>
        </w:rPr>
        <w:t>A group of compounds sharing a defined chemical relationship. A class-level count of reported metabolites describes dataset coverage, not the total concentration or abundance of that class.</w:t>
      </w:r>
    </w:p>
    <w:p>
      <w:r>
        <w:rPr>
          <w:rFonts w:ascii="Calibri" w:hAnsi="Calibri"/>
          <w:b/>
          <w:color w:val="222222"/>
        </w:rPr>
        <w:t>Clinical or behavioral phenotype</w:t>
      </w:r>
    </w:p>
    <w:p>
      <w:r>
        <w:rPr>
          <w:rFonts w:ascii="Calibri" w:hAnsi="Calibri"/>
          <w:color w:val="222222"/>
        </w:rPr>
        <w:t>A measured characteristic or exposure such as diet pattern, exercise dose, age, disease status, fitness, or adherence. The protocol and timing define what the field means.</w:t>
      </w:r>
    </w:p>
    <w:p>
      <w:r>
        <w:rPr>
          <w:rFonts w:ascii="Calibri" w:hAnsi="Calibri"/>
          <w:b/>
          <w:color w:val="222222"/>
        </w:rPr>
        <w:t>Controlled-compute environment</w:t>
      </w:r>
    </w:p>
    <w:p>
      <w:r>
        <w:rPr>
          <w:rFonts w:ascii="Calibri" w:hAnsi="Calibri"/>
          <w:color w:val="222222"/>
        </w:rPr>
        <w:t>An approved workspace in which governed data remain and analyses run. Only policy-permitted outputs may leave the environment.</w:t>
      </w:r>
    </w:p>
    <w:p>
      <w:r>
        <w:rPr>
          <w:rFonts w:ascii="Calibri" w:hAnsi="Calibri"/>
          <w:b/>
          <w:color w:val="222222"/>
        </w:rPr>
        <w:t>Cross-study pooling</w:t>
      </w:r>
    </w:p>
    <w:p>
      <w:r>
        <w:rPr>
          <w:rFonts w:ascii="Calibri" w:hAnsi="Calibri"/>
          <w:color w:val="222222"/>
        </w:rPr>
        <w:t>Combining participant-level or sample-level quantitative values from separate studies into one analysis as though they formed a common measurement process. Name harmonization alone does not justify pooling.</w:t>
      </w:r>
    </w:p>
    <w:p>
      <w:r>
        <w:rPr>
          <w:rFonts w:ascii="Calibri" w:hAnsi="Calibri"/>
          <w:b/>
          <w:color w:val="222222"/>
        </w:rPr>
        <w:t>Crosswalk</w:t>
      </w:r>
    </w:p>
    <w:p>
      <w:r>
        <w:rPr>
          <w:rFonts w:ascii="Calibri" w:hAnsi="Calibri"/>
          <w:color w:val="222222"/>
        </w:rPr>
        <w:t>A provenance-preserving table linking source fields or analytes to harmonized representations, with transformation rules, evidence, information loss, status, and downstream eligibility.</w:t>
      </w:r>
    </w:p>
    <w:p>
      <w:pPr>
        <w:pStyle w:val="Heading2"/>
      </w:pPr>
      <w:r>
        <w:rPr>
          <w:rFonts w:ascii="Calibri" w:hAnsi="Calibri"/>
          <w:color w:val="222222"/>
        </w:rPr>
        <w:t>D</w:t>
      </w:r>
    </w:p>
    <w:p>
      <w:r>
        <w:rPr>
          <w:rFonts w:ascii="Calibri" w:hAnsi="Calibri"/>
          <w:b/>
          <w:color w:val="222222"/>
        </w:rPr>
        <w:t>Data provenance</w:t>
      </w:r>
    </w:p>
    <w:p>
      <w:r>
        <w:rPr>
          <w:rFonts w:ascii="Calibri" w:hAnsi="Calibri"/>
          <w:color w:val="222222"/>
        </w:rPr>
        <w:t>Evidence describing where a value came from and how it was retrieved, transformed, reviewed, and used. In this module it includes accession, analysis ID, endpoint, timestamp, source label, mapping query, rule version, and decision.</w:t>
      </w:r>
    </w:p>
    <w:p>
      <w:r>
        <w:rPr>
          <w:rFonts w:ascii="Calibri" w:hAnsi="Calibri"/>
          <w:b/>
          <w:color w:val="222222"/>
        </w:rPr>
        <w:t>Data-use agreement (DUA)</w:t>
      </w:r>
    </w:p>
    <w:p>
      <w:r>
        <w:rPr>
          <w:rFonts w:ascii="Calibri" w:hAnsi="Calibri"/>
          <w:color w:val="222222"/>
        </w:rPr>
        <w:t>An agreement defining permitted use, security, confidentiality, sharing, publication, and other responsibilities for a dataset. Requirements are resource- and release-specific.</w:t>
      </w:r>
    </w:p>
    <w:p>
      <w:r>
        <w:rPr>
          <w:rFonts w:ascii="Calibri" w:hAnsi="Calibri"/>
          <w:b/>
          <w:color w:val="222222"/>
        </w:rPr>
        <w:t>Directly comparable</w:t>
      </w:r>
    </w:p>
    <w:p>
      <w:r>
        <w:rPr>
          <w:rFonts w:ascii="Calibri" w:hAnsi="Calibri"/>
          <w:color w:val="222222"/>
        </w:rPr>
        <w:t>Two fields represent the same construct at sufficient granularity for a stated use, with compatible coding or a transparent lossless conversion.</w:t>
      </w:r>
    </w:p>
    <w:p>
      <w:pPr>
        <w:pStyle w:val="Heading2"/>
      </w:pPr>
      <w:r>
        <w:rPr>
          <w:rFonts w:ascii="Calibri" w:hAnsi="Calibri"/>
          <w:color w:val="222222"/>
        </w:rPr>
        <w:t>E</w:t>
      </w:r>
    </w:p>
    <w:p>
      <w:r>
        <w:rPr>
          <w:rFonts w:ascii="Calibri" w:hAnsi="Calibri"/>
          <w:b/>
          <w:color w:val="222222"/>
        </w:rPr>
        <w:t>EEN</w:t>
      </w:r>
    </w:p>
    <w:p>
      <w:r>
        <w:rPr>
          <w:rFonts w:ascii="Calibri" w:hAnsi="Calibri"/>
          <w:color w:val="222222"/>
        </w:rPr>
        <w:t xml:space="preserve">Exclusive enteral nutrition. In the </w:t>
      </w:r>
      <w:r>
        <w:rPr>
          <w:rFonts w:ascii="Consolas" w:hAnsi="Consolas"/>
          <w:color w:val="1F4D78"/>
          <w:sz w:val="21"/>
          <w:shd w:fill="EEF1F4"/>
        </w:rPr>
        <w:t>ST001521</w:t>
      </w:r>
      <w:r>
        <w:rPr>
          <w:rFonts w:ascii="Calibri" w:hAnsi="Calibri"/>
          <w:color w:val="222222"/>
        </w:rPr>
        <w:t xml:space="preserve"> study summary, an EEN diet is one of the diet conditions. The deposited factor label </w:t>
      </w:r>
      <w:r>
        <w:rPr>
          <w:rFonts w:ascii="Consolas" w:hAnsi="Consolas"/>
          <w:color w:val="1F4D78"/>
          <w:sz w:val="21"/>
          <w:shd w:fill="EEF1F4"/>
        </w:rPr>
        <w:t>Modulen</w:t>
      </w:r>
      <w:r>
        <w:rPr>
          <w:rFonts w:ascii="Calibri" w:hAnsi="Calibri"/>
          <w:color w:val="222222"/>
        </w:rPr>
        <w:t xml:space="preserve"> refers to the named EEN product in the protocol; preserve both the source label and protocol interpretation.</w:t>
      </w:r>
    </w:p>
    <w:p>
      <w:r>
        <w:rPr>
          <w:rFonts w:ascii="Calibri" w:hAnsi="Calibri"/>
          <w:b/>
          <w:color w:val="222222"/>
        </w:rPr>
        <w:t>Eligibility rule</w:t>
      </w:r>
    </w:p>
    <w:p>
      <w:r>
        <w:rPr>
          <w:rFonts w:ascii="Calibri" w:hAnsi="Calibri"/>
          <w:color w:val="222222"/>
        </w:rPr>
        <w:t>An explicit rule determining whether a sample, feature, or mapping participates in a particular analysis. Eligibility may differ for exact-name overlap, class summaries, QC diagnostics, and quantitative analysis.</w:t>
      </w:r>
    </w:p>
    <w:p>
      <w:r>
        <w:rPr>
          <w:rFonts w:ascii="Calibri" w:hAnsi="Calibri"/>
          <w:b/>
          <w:color w:val="222222"/>
        </w:rPr>
        <w:t>Estimand</w:t>
      </w:r>
    </w:p>
    <w:p>
      <w:r>
        <w:rPr>
          <w:rFonts w:ascii="Calibri" w:hAnsi="Calibri"/>
          <w:color w:val="222222"/>
        </w:rPr>
        <w:t>A precise description of the quantity a study or analysis aims to estimate, including population, exposure or intervention, outcome, time, and summary measure.</w:t>
      </w:r>
    </w:p>
    <w:p>
      <w:pPr>
        <w:pStyle w:val="Heading2"/>
      </w:pPr>
      <w:r>
        <w:rPr>
          <w:rFonts w:ascii="Calibri" w:hAnsi="Calibri"/>
          <w:color w:val="222222"/>
        </w:rPr>
        <w:t>F</w:t>
      </w:r>
    </w:p>
    <w:p>
      <w:r>
        <w:rPr>
          <w:rFonts w:ascii="Calibri" w:hAnsi="Calibri"/>
          <w:b/>
          <w:color w:val="222222"/>
        </w:rPr>
        <w:t>FAIR</w:t>
      </w:r>
    </w:p>
    <w:p>
      <w:r>
        <w:rPr>
          <w:rFonts w:ascii="Calibri" w:hAnsi="Calibri"/>
          <w:color w:val="222222"/>
        </w:rPr>
        <w:t>Findable, accessible, interoperable, and reusable. FAIR does not mean unrestricted or free of governance; controlled data can be FAIR when access conditions are clear and machine-actionable.</w:t>
      </w:r>
    </w:p>
    <w:p>
      <w:r>
        <w:rPr>
          <w:rFonts w:ascii="Calibri" w:hAnsi="Calibri"/>
          <w:b/>
          <w:color w:val="222222"/>
        </w:rPr>
        <w:t>FARMM</w:t>
      </w:r>
    </w:p>
    <w:p>
      <w:r>
        <w:rPr>
          <w:rFonts w:ascii="Calibri" w:hAnsi="Calibri"/>
          <w:color w:val="222222"/>
        </w:rPr>
        <w:t xml:space="preserve">Food And Resulting Microbial Metabolites, the study context represented by </w:t>
      </w:r>
      <w:r>
        <w:rPr>
          <w:rFonts w:ascii="Consolas" w:hAnsi="Consolas"/>
          <w:color w:val="1F4D78"/>
          <w:sz w:val="21"/>
          <w:shd w:fill="EEF1F4"/>
        </w:rPr>
        <w:t>ST001521</w:t>
      </w:r>
      <w:r>
        <w:rPr>
          <w:rFonts w:ascii="Calibri" w:hAnsi="Calibri"/>
          <w:color w:val="222222"/>
        </w:rPr>
        <w:t>. Its longitudinal design includes three diet groups and an antibiotic/polyethylene glycol intervention.</w:t>
      </w:r>
    </w:p>
    <w:p>
      <w:r>
        <w:rPr>
          <w:rFonts w:ascii="Calibri" w:hAnsi="Calibri"/>
          <w:b/>
          <w:color w:val="222222"/>
        </w:rPr>
        <w:t>Fasting state</w:t>
      </w:r>
    </w:p>
    <w:p>
      <w:r>
        <w:rPr>
          <w:rFonts w:ascii="Calibri" w:hAnsi="Calibri"/>
          <w:color w:val="222222"/>
        </w:rPr>
        <w:t xml:space="preserve">Whether and for how long a participant abstained from caloric intake before collection. A binary </w:t>
      </w:r>
      <w:r>
        <w:rPr>
          <w:rFonts w:ascii="Consolas" w:hAnsi="Consolas"/>
          <w:color w:val="1F4D78"/>
          <w:sz w:val="21"/>
          <w:shd w:fill="EEF1F4"/>
        </w:rPr>
        <w:t>fasted</w:t>
      </w:r>
      <w:r>
        <w:rPr>
          <w:rFonts w:ascii="Calibri" w:hAnsi="Calibri"/>
          <w:color w:val="222222"/>
        </w:rPr>
        <w:t xml:space="preserve"> field and a measured fasting duration are only partially comparable for some purposes.</w:t>
      </w:r>
    </w:p>
    <w:p>
      <w:r>
        <w:rPr>
          <w:rFonts w:ascii="Calibri" w:hAnsi="Calibri"/>
          <w:b/>
          <w:color w:val="222222"/>
        </w:rPr>
        <w:t>Feature</w:t>
      </w:r>
    </w:p>
    <w:p>
      <w:r>
        <w:rPr>
          <w:rFonts w:ascii="Calibri" w:hAnsi="Calibri"/>
          <w:color w:val="222222"/>
        </w:rPr>
        <w:t>An analytical signal, often defined by mass-to-charge ratio, retention time, and other attributes. An untargeted feature may be unidentified or map ambiguously to compounds.</w:t>
      </w:r>
    </w:p>
    <w:p>
      <w:pPr>
        <w:pStyle w:val="Heading2"/>
      </w:pPr>
      <w:r>
        <w:rPr>
          <w:rFonts w:ascii="Calibri" w:hAnsi="Calibri"/>
          <w:color w:val="222222"/>
        </w:rPr>
        <w:t>H</w:t>
      </w:r>
    </w:p>
    <w:p>
      <w:r>
        <w:rPr>
          <w:rFonts w:ascii="Calibri" w:hAnsi="Calibri"/>
          <w:b/>
          <w:color w:val="222222"/>
        </w:rPr>
        <w:t>Harmonization</w:t>
      </w:r>
    </w:p>
    <w:p>
      <w:r>
        <w:rPr>
          <w:rFonts w:ascii="Calibri" w:hAnsi="Calibri"/>
          <w:color w:val="222222"/>
        </w:rPr>
        <w:t>The documented alignment of representations while preserving provenance, incompatibility, and information loss. It improves structural comparability; it does not guarantee statistical exchangeability.</w:t>
      </w:r>
    </w:p>
    <w:p>
      <w:r>
        <w:rPr>
          <w:rFonts w:ascii="Calibri" w:hAnsi="Calibri"/>
          <w:b/>
          <w:color w:val="222222"/>
        </w:rPr>
        <w:t>HMDB ID</w:t>
      </w:r>
    </w:p>
    <w:p>
      <w:r>
        <w:rPr>
          <w:rFonts w:ascii="Calibri" w:hAnsi="Calibri"/>
          <w:color w:val="222222"/>
        </w:rPr>
        <w:t>An identifier in the Human Metabolome Database. It can provide a useful cross-reference but is not interchangeable with a RefMet name or proof of an experimental identification.</w:t>
      </w:r>
    </w:p>
    <w:p>
      <w:pPr>
        <w:pStyle w:val="Heading2"/>
      </w:pPr>
      <w:r>
        <w:rPr>
          <w:rFonts w:ascii="Calibri" w:hAnsi="Calibri"/>
          <w:color w:val="222222"/>
        </w:rPr>
        <w:t>I</w:t>
      </w:r>
    </w:p>
    <w:p>
      <w:r>
        <w:rPr>
          <w:rFonts w:ascii="Calibri" w:hAnsi="Calibri"/>
          <w:b/>
          <w:color w:val="222222"/>
        </w:rPr>
        <w:t>Identification confidence</w:t>
      </w:r>
    </w:p>
    <w:p>
      <w:r>
        <w:rPr>
          <w:rFonts w:ascii="Calibri" w:hAnsi="Calibri"/>
          <w:color w:val="222222"/>
        </w:rPr>
        <w:t>The evidence supporting a metabolite assignment. A standardized name does not increase the experimental evidence originally reported.</w:t>
      </w:r>
    </w:p>
    <w:p>
      <w:r>
        <w:rPr>
          <w:rFonts w:ascii="Calibri" w:hAnsi="Calibri"/>
          <w:b/>
          <w:color w:val="222222"/>
        </w:rPr>
        <w:t>InChIKey</w:t>
      </w:r>
    </w:p>
    <w:p>
      <w:r>
        <w:rPr>
          <w:rFonts w:ascii="Calibri" w:hAnsi="Calibri"/>
          <w:color w:val="222222"/>
        </w:rPr>
        <w:t>A fixed-length hash derived from an InChI chemical representation. Its blocks encode different layers of structural and protonation information. Representation differences can yield different keys for related forms.</w:t>
      </w:r>
    </w:p>
    <w:p>
      <w:r>
        <w:rPr>
          <w:rFonts w:ascii="Calibri" w:hAnsi="Calibri"/>
          <w:b/>
          <w:color w:val="222222"/>
        </w:rPr>
        <w:t>Information loss</w:t>
      </w:r>
    </w:p>
    <w:p>
      <w:r>
        <w:rPr>
          <w:rFonts w:ascii="Calibri" w:hAnsi="Calibri"/>
          <w:color w:val="222222"/>
        </w:rPr>
        <w:t>Detail removed or collapsed during harmonization, such as reducing fasting hours to a binary flag or combining plasma and serum under a broad blood-derived-fluid category.</w:t>
      </w:r>
    </w:p>
    <w:p>
      <w:r>
        <w:rPr>
          <w:rFonts w:ascii="Calibri" w:hAnsi="Calibri"/>
          <w:b/>
          <w:color w:val="222222"/>
        </w:rPr>
        <w:t>Ion mode</w:t>
      </w:r>
    </w:p>
    <w:p>
      <w:r>
        <w:rPr>
          <w:rFonts w:ascii="Calibri" w:hAnsi="Calibri"/>
          <w:color w:val="222222"/>
        </w:rPr>
        <w:t>Positive or negative ionization mode in mass spectrometry. Different modes can detect different subsets of metabolites and can create analysis-specific duplicates.</w:t>
      </w:r>
    </w:p>
    <w:p>
      <w:pPr>
        <w:pStyle w:val="Heading2"/>
      </w:pPr>
      <w:r>
        <w:rPr>
          <w:rFonts w:ascii="Calibri" w:hAnsi="Calibri"/>
          <w:color w:val="222222"/>
        </w:rPr>
        <w:t>J</w:t>
      </w:r>
    </w:p>
    <w:p>
      <w:r>
        <w:rPr>
          <w:rFonts w:ascii="Calibri" w:hAnsi="Calibri"/>
          <w:b/>
          <w:color w:val="222222"/>
        </w:rPr>
        <w:t>Join cardinality</w:t>
      </w:r>
    </w:p>
    <w:p>
      <w:r>
        <w:rPr>
          <w:rFonts w:ascii="Calibri" w:hAnsi="Calibri"/>
          <w:color w:val="222222"/>
        </w:rPr>
        <w:t>The relationship between keys in two tables: one-to-one, one-to-many, many-to-one, or many-to-many. An unexpected many-to-many join can duplicate measurements and must be resolved before analysis.</w:t>
      </w:r>
    </w:p>
    <w:p>
      <w:pPr>
        <w:pStyle w:val="Heading2"/>
      </w:pPr>
      <w:r>
        <w:rPr>
          <w:rFonts w:ascii="Calibri" w:hAnsi="Calibri"/>
          <w:color w:val="222222"/>
        </w:rPr>
        <w:t>K</w:t>
      </w:r>
    </w:p>
    <w:p>
      <w:r>
        <w:rPr>
          <w:rFonts w:ascii="Calibri" w:hAnsi="Calibri"/>
          <w:b/>
          <w:color w:val="222222"/>
        </w:rPr>
        <w:t>KEGG compound ID</w:t>
      </w:r>
    </w:p>
    <w:p>
      <w:r>
        <w:rPr>
          <w:rFonts w:ascii="Calibri" w:hAnsi="Calibri"/>
          <w:color w:val="222222"/>
        </w:rPr>
        <w:t>An identifier used in the KEGG compound resource and pathway ecosystem. It is useful for pathway linking but is not a universal identity key.</w:t>
      </w:r>
    </w:p>
    <w:p>
      <w:pPr>
        <w:pStyle w:val="Heading2"/>
      </w:pPr>
      <w:r>
        <w:rPr>
          <w:rFonts w:ascii="Calibri" w:hAnsi="Calibri"/>
          <w:color w:val="222222"/>
        </w:rPr>
        <w:t>L</w:t>
      </w:r>
    </w:p>
    <w:p>
      <w:r>
        <w:rPr>
          <w:rFonts w:ascii="Calibri" w:hAnsi="Calibri"/>
          <w:b/>
          <w:color w:val="222222"/>
        </w:rPr>
        <w:t>LC-MS</w:t>
      </w:r>
    </w:p>
    <w:p>
      <w:r>
        <w:rPr>
          <w:rFonts w:ascii="Calibri" w:hAnsi="Calibri"/>
          <w:color w:val="222222"/>
        </w:rPr>
        <w:t>Liquid chromatography coupled with mass spectrometry. Chromatography, ionization, instrument, acquisition, and preprocessing choices influence coverage and measurement values.</w:t>
      </w:r>
    </w:p>
    <w:p>
      <w:r>
        <w:rPr>
          <w:rFonts w:ascii="Calibri" w:hAnsi="Calibri"/>
          <w:b/>
          <w:color w:val="222222"/>
        </w:rPr>
        <w:t>Longitudinal design</w:t>
      </w:r>
    </w:p>
    <w:p>
      <w:r>
        <w:rPr>
          <w:rFonts w:ascii="Calibri" w:hAnsi="Calibri"/>
          <w:color w:val="222222"/>
        </w:rPr>
        <w:t>A design with repeated observations over time. Samples from the same participant are correlated and must not be treated as independent people.</w:t>
      </w:r>
    </w:p>
    <w:p>
      <w:pPr>
        <w:pStyle w:val="Heading2"/>
      </w:pPr>
      <w:r>
        <w:rPr>
          <w:rFonts w:ascii="Calibri" w:hAnsi="Calibri"/>
          <w:color w:val="222222"/>
        </w:rPr>
        <w:t>M</w:t>
      </w:r>
    </w:p>
    <w:p>
      <w:r>
        <w:rPr>
          <w:rFonts w:ascii="Calibri" w:hAnsi="Calibri"/>
          <w:b/>
          <w:color w:val="222222"/>
        </w:rPr>
        <w:t>Mapping status</w:t>
      </w:r>
    </w:p>
    <w:p>
      <w:r>
        <w:rPr>
          <w:rFonts w:ascii="Calibri" w:hAnsi="Calibri"/>
          <w:color w:val="222222"/>
        </w:rPr>
        <w:t>The reviewed state of a crosswalk row, such as accepted exact, accepted broader, review required, unmapped, excluded nonbiological, or not evaluated.</w:t>
      </w:r>
    </w:p>
    <w:p>
      <w:r>
        <w:rPr>
          <w:rFonts w:ascii="Calibri" w:hAnsi="Calibri"/>
          <w:b/>
          <w:color w:val="222222"/>
        </w:rPr>
        <w:t>Matrix</w:t>
      </w:r>
    </w:p>
    <w:p>
      <w:r>
        <w:rPr>
          <w:rFonts w:ascii="Calibri" w:hAnsi="Calibri"/>
          <w:color w:val="222222"/>
        </w:rPr>
        <w:t>The biological material measured, such as plasma or serum. Plasma and serum are both blood-derived but differ in collection and composition and remain distinct in this module.</w:t>
      </w:r>
    </w:p>
    <w:p>
      <w:r>
        <w:rPr>
          <w:rFonts w:ascii="Calibri" w:hAnsi="Calibri"/>
          <w:b/>
          <w:color w:val="222222"/>
        </w:rPr>
        <w:t>Metabolite overlap</w:t>
      </w:r>
    </w:p>
    <w:p>
      <w:r>
        <w:rPr>
          <w:rFonts w:ascii="Calibri" w:hAnsi="Calibri"/>
          <w:color w:val="222222"/>
        </w:rPr>
        <w:t>The intersection of two explicitly defined analyte sets. The result depends on mapping status, annotation resolution, artifact exclusions, duplicate collapse, and denominator.</w:t>
      </w:r>
    </w:p>
    <w:p>
      <w:r>
        <w:rPr>
          <w:rFonts w:ascii="Calibri" w:hAnsi="Calibri"/>
          <w:b/>
          <w:color w:val="222222"/>
        </w:rPr>
        <w:t>Metabolomics Workbench</w:t>
      </w:r>
    </w:p>
    <w:p>
      <w:r>
        <w:rPr>
          <w:rFonts w:ascii="Calibri" w:hAnsi="Calibri"/>
          <w:color w:val="222222"/>
        </w:rPr>
        <w:t>The platform hosting the National Metabolomics Data Repository and tools including the REST service and RefMet.</w:t>
      </w:r>
    </w:p>
    <w:p>
      <w:r>
        <w:rPr>
          <w:rFonts w:ascii="Calibri" w:hAnsi="Calibri"/>
          <w:b/>
          <w:color w:val="222222"/>
        </w:rPr>
        <w:t>MetENP</w:t>
      </w:r>
    </w:p>
    <w:p>
      <w:r>
        <w:rPr>
          <w:rFonts w:ascii="Calibri" w:hAnsi="Calibri"/>
          <w:color w:val="222222"/>
        </w:rPr>
        <w:t>A CFDE-supported resource for metabolite enrichment and network/pathway interpretation. Its output inherits the identification, background-universe, and coverage limits of its inputs.</w:t>
      </w:r>
    </w:p>
    <w:p>
      <w:r>
        <w:rPr>
          <w:rFonts w:ascii="Calibri" w:hAnsi="Calibri"/>
          <w:b/>
          <w:color w:val="222222"/>
        </w:rPr>
        <w:t>MoTrPAC</w:t>
      </w:r>
    </w:p>
    <w:p>
      <w:r>
        <w:rPr>
          <w:rFonts w:ascii="Calibri" w:hAnsi="Calibri"/>
          <w:color w:val="222222"/>
        </w:rPr>
        <w:t>Molecular Transducers of Physical Activity Consortium. It develops molecular maps of physical activity and provides public and restricted data pathways depending on the specific release.</w:t>
      </w:r>
    </w:p>
    <w:p>
      <w:r>
        <w:rPr>
          <w:rFonts w:ascii="Calibri" w:hAnsi="Calibri"/>
          <w:b/>
          <w:color w:val="222222"/>
        </w:rPr>
        <w:t>mwTab</w:t>
      </w:r>
    </w:p>
    <w:p>
      <w:r>
        <w:rPr>
          <w:rFonts w:ascii="Calibri" w:hAnsi="Calibri"/>
          <w:color w:val="222222"/>
        </w:rPr>
        <w:t>The sectioned data and metadata format used by Metabolomics Workbench. Blocks can describe study, subject, factors, collection, sample preparation, analytical methods, and metabolite measurements.</w:t>
      </w:r>
    </w:p>
    <w:p>
      <w:pPr>
        <w:pStyle w:val="Heading2"/>
      </w:pPr>
      <w:r>
        <w:rPr>
          <w:rFonts w:ascii="Calibri" w:hAnsi="Calibri"/>
          <w:color w:val="222222"/>
        </w:rPr>
        <w:t>N</w:t>
      </w:r>
    </w:p>
    <w:p>
      <w:r>
        <w:rPr>
          <w:rFonts w:ascii="Calibri" w:hAnsi="Calibri"/>
          <w:b/>
          <w:color w:val="222222"/>
        </w:rPr>
        <w:t>NMDR</w:t>
      </w:r>
    </w:p>
    <w:p>
      <w:r>
        <w:rPr>
          <w:rFonts w:ascii="Calibri" w:hAnsi="Calibri"/>
          <w:color w:val="222222"/>
        </w:rPr>
        <w:t>National Metabolomics Data Repository, hosted through Metabolomics Workbench.</w:t>
      </w:r>
    </w:p>
    <w:p>
      <w:r>
        <w:rPr>
          <w:rFonts w:ascii="Calibri" w:hAnsi="Calibri"/>
          <w:b/>
          <w:color w:val="222222"/>
        </w:rPr>
        <w:t>NPH</w:t>
      </w:r>
    </w:p>
    <w:p>
      <w:r>
        <w:rPr>
          <w:rFonts w:ascii="Calibri" w:hAnsi="Calibri"/>
          <w:color w:val="222222"/>
        </w:rPr>
        <w:t>Nutrition for Precision Health, powered by the All of Us Research Program. Public NIH documentation describes a modular precision nutrition study whose data are stored and analyzed in the All of Us Researcher Workbench.</w:t>
      </w:r>
    </w:p>
    <w:p>
      <w:r>
        <w:rPr>
          <w:rFonts w:ascii="Calibri" w:hAnsi="Calibri"/>
          <w:b/>
          <w:color w:val="222222"/>
        </w:rPr>
        <w:t>Not yet assessable</w:t>
      </w:r>
    </w:p>
    <w:p>
      <w:r>
        <w:rPr>
          <w:rFonts w:ascii="Calibri" w:hAnsi="Calibri"/>
          <w:color w:val="222222"/>
        </w:rPr>
        <w:t>A compatibility status used when essential evidence is missing or unresolved. It must not be silently converted to comparable or not comparable.</w:t>
      </w:r>
    </w:p>
    <w:p>
      <w:pPr>
        <w:pStyle w:val="Heading2"/>
      </w:pPr>
      <w:r>
        <w:rPr>
          <w:rFonts w:ascii="Calibri" w:hAnsi="Calibri"/>
          <w:color w:val="222222"/>
        </w:rPr>
        <w:t>P</w:t>
      </w:r>
    </w:p>
    <w:p>
      <w:r>
        <w:rPr>
          <w:rFonts w:ascii="Calibri" w:hAnsi="Calibri"/>
          <w:b/>
          <w:color w:val="222222"/>
        </w:rPr>
        <w:t>Partially comparable</w:t>
      </w:r>
    </w:p>
    <w:p>
      <w:r>
        <w:rPr>
          <w:rFonts w:ascii="Calibri" w:hAnsi="Calibri"/>
          <w:color w:val="222222"/>
        </w:rPr>
        <w:t>Two fields share a broader construct but differ in granularity, timing, protocol, matrix, or measurement. They may support a coarser or stratified use if the difference remains visible.</w:t>
      </w:r>
    </w:p>
    <w:p>
      <w:r>
        <w:rPr>
          <w:rFonts w:ascii="Calibri" w:hAnsi="Calibri"/>
          <w:b/>
          <w:color w:val="222222"/>
        </w:rPr>
        <w:t>PCA</w:t>
      </w:r>
    </w:p>
    <w:p>
      <w:r>
        <w:rPr>
          <w:rFonts w:ascii="Calibri" w:hAnsi="Calibri"/>
          <w:color w:val="222222"/>
        </w:rPr>
        <w:t>Principal component analysis, an unsupervised linear method that summarizes major directions of variance. PCA is sensitive to preprocessing and does not identify causal mechanisms.</w:t>
      </w:r>
    </w:p>
    <w:p>
      <w:r>
        <w:rPr>
          <w:rFonts w:ascii="Calibri" w:hAnsi="Calibri"/>
          <w:b/>
          <w:color w:val="222222"/>
        </w:rPr>
        <w:t>Peak area</w:t>
      </w:r>
    </w:p>
    <w:p>
      <w:r>
        <w:rPr>
          <w:rFonts w:ascii="Calibri" w:hAnsi="Calibri"/>
          <w:color w:val="222222"/>
        </w:rPr>
        <w:t>An integrated analytical signal. Peak areas from different assays are not made directly comparable merely by scaling or using the same metabolite name.</w:t>
      </w:r>
    </w:p>
    <w:p>
      <w:r>
        <w:rPr>
          <w:rFonts w:ascii="Calibri" w:hAnsi="Calibri"/>
          <w:b/>
          <w:color w:val="222222"/>
        </w:rPr>
        <w:t>Phenotype anchor</w:t>
      </w:r>
    </w:p>
    <w:p>
      <w:r>
        <w:rPr>
          <w:rFonts w:ascii="Calibri" w:hAnsi="Calibri"/>
          <w:color w:val="222222"/>
        </w:rPr>
        <w:t>The exposure or intervention context around which a study is organized, such as controlled feeding or an acute endurance exercise bout.</w:t>
      </w:r>
    </w:p>
    <w:p>
      <w:r>
        <w:rPr>
          <w:rFonts w:ascii="Calibri" w:hAnsi="Calibri"/>
          <w:b/>
          <w:color w:val="222222"/>
        </w:rPr>
        <w:t>Physiological timepoint</w:t>
      </w:r>
    </w:p>
    <w:p>
      <w:r>
        <w:rPr>
          <w:rFonts w:ascii="Calibri" w:hAnsi="Calibri"/>
          <w:color w:val="222222"/>
        </w:rPr>
        <w:t xml:space="preserve">A time label defined by an anchor event, offset, unit, and biological state, rather than only a code such as </w:t>
      </w:r>
      <w:r>
        <w:rPr>
          <w:rFonts w:ascii="Consolas" w:hAnsi="Consolas"/>
          <w:color w:val="1F4D78"/>
          <w:sz w:val="21"/>
          <w:shd w:fill="EEF1F4"/>
        </w:rPr>
        <w:t>post</w:t>
      </w:r>
      <w:r>
        <w:rPr>
          <w:rFonts w:ascii="Calibri" w:hAnsi="Calibri"/>
          <w:color w:val="222222"/>
        </w:rPr>
        <w:t xml:space="preserve"> or </w:t>
      </w:r>
      <w:r>
        <w:rPr>
          <w:rFonts w:ascii="Consolas" w:hAnsi="Consolas"/>
          <w:color w:val="1F4D78"/>
          <w:sz w:val="21"/>
          <w:shd w:fill="EEF1F4"/>
        </w:rPr>
        <w:t>T2</w:t>
      </w:r>
      <w:r>
        <w:rPr>
          <w:rFonts w:ascii="Calibri" w:hAnsi="Calibri"/>
          <w:color w:val="222222"/>
        </w:rPr>
        <w:t>.</w:t>
      </w:r>
    </w:p>
    <w:p>
      <w:r>
        <w:rPr>
          <w:rFonts w:ascii="Calibri" w:hAnsi="Calibri"/>
          <w:b/>
          <w:color w:val="222222"/>
        </w:rPr>
        <w:t>Pooled QC</w:t>
      </w:r>
    </w:p>
    <w:p>
      <w:r>
        <w:rPr>
          <w:rFonts w:ascii="Calibri" w:hAnsi="Calibri"/>
          <w:color w:val="222222"/>
        </w:rPr>
        <w:t xml:space="preserve">A quality-control sample created by combining aliquots, often used to monitor analytical stability. In </w:t>
      </w:r>
      <w:r>
        <w:rPr>
          <w:rFonts w:ascii="Consolas" w:hAnsi="Consolas"/>
          <w:color w:val="1F4D78"/>
          <w:sz w:val="21"/>
          <w:shd w:fill="EEF1F4"/>
        </w:rPr>
        <w:t>ST001521</w:t>
      </w:r>
      <w:r>
        <w:rPr>
          <w:rFonts w:ascii="Calibri" w:hAnsi="Calibri"/>
          <w:color w:val="222222"/>
        </w:rPr>
        <w:t xml:space="preserve">, </w:t>
      </w:r>
      <w:r>
        <w:rPr>
          <w:rFonts w:ascii="Consolas" w:hAnsi="Consolas"/>
          <w:color w:val="1F4D78"/>
          <w:sz w:val="21"/>
          <w:shd w:fill="EEF1F4"/>
        </w:rPr>
        <w:t>QPP...</w:t>
      </w:r>
      <w:r>
        <w:rPr>
          <w:rFonts w:ascii="Calibri" w:hAnsi="Calibri"/>
          <w:color w:val="222222"/>
        </w:rPr>
        <w:t xml:space="preserve"> rows are pooled QC candidates and are excluded from biological participant counts.</w:t>
      </w:r>
    </w:p>
    <w:p>
      <w:r>
        <w:rPr>
          <w:rFonts w:ascii="Calibri" w:hAnsi="Calibri"/>
          <w:b/>
          <w:color w:val="222222"/>
        </w:rPr>
        <w:t>PubChem CID</w:t>
      </w:r>
    </w:p>
    <w:p>
      <w:r>
        <w:rPr>
          <w:rFonts w:ascii="Calibri" w:hAnsi="Calibri"/>
          <w:color w:val="222222"/>
        </w:rPr>
        <w:t>A record identifier in PubChem. Record form and structural specificity must be reviewed when using it as a cross-reference.</w:t>
      </w:r>
    </w:p>
    <w:p>
      <w:pPr>
        <w:pStyle w:val="Heading2"/>
      </w:pPr>
      <w:r>
        <w:rPr>
          <w:rFonts w:ascii="Calibri" w:hAnsi="Calibri"/>
          <w:color w:val="222222"/>
        </w:rPr>
        <w:t>R</w:t>
      </w:r>
    </w:p>
    <w:p>
      <w:r>
        <w:rPr>
          <w:rFonts w:ascii="Calibri" w:hAnsi="Calibri"/>
          <w:b/>
          <w:color w:val="222222"/>
        </w:rPr>
        <w:t>REC3 and REC22</w:t>
      </w:r>
    </w:p>
    <w:p>
      <w:r>
        <w:rPr>
          <w:rFonts w:ascii="Calibri" w:hAnsi="Calibri"/>
          <w:color w:val="222222"/>
        </w:rPr>
        <w:t xml:space="preserve">In </w:t>
      </w:r>
      <w:r>
        <w:rPr>
          <w:rFonts w:ascii="Consolas" w:hAnsi="Consolas"/>
          <w:color w:val="1F4D78"/>
          <w:sz w:val="21"/>
          <w:shd w:fill="EEF1F4"/>
        </w:rPr>
        <w:t>ST003348</w:t>
      </w:r>
      <w:r>
        <w:rPr>
          <w:rFonts w:ascii="Calibri" w:hAnsi="Calibri"/>
          <w:color w:val="222222"/>
        </w:rPr>
        <w:t>, collection labels for 3 hours and 22 hours after exercise, respectively.</w:t>
      </w:r>
    </w:p>
    <w:p>
      <w:r>
        <w:rPr>
          <w:rFonts w:ascii="Calibri" w:hAnsi="Calibri"/>
          <w:b/>
          <w:color w:val="222222"/>
        </w:rPr>
        <w:t>RefMet</w:t>
      </w:r>
    </w:p>
    <w:p>
      <w:r>
        <w:rPr>
          <w:rFonts w:ascii="Calibri" w:hAnsi="Calibri"/>
          <w:color w:val="222222"/>
        </w:rPr>
        <w:t>A reference nomenclature for metabolomics designed to standardize names for discrete structures and analytically reported metabolite species. A RefMet mapping is a naming result, not proof of identification or quantitative equivalence.</w:t>
      </w:r>
    </w:p>
    <w:p>
      <w:r>
        <w:rPr>
          <w:rFonts w:ascii="Calibri" w:hAnsi="Calibri"/>
          <w:b/>
          <w:color w:val="222222"/>
        </w:rPr>
        <w:t>REST</w:t>
      </w:r>
    </w:p>
    <w:p>
      <w:r>
        <w:rPr>
          <w:rFonts w:ascii="Calibri" w:hAnsi="Calibri"/>
          <w:color w:val="222222"/>
        </w:rPr>
        <w:t xml:space="preserve">Representational State Transfer. In this module, </w:t>
      </w:r>
      <w:r>
        <w:rPr>
          <w:rFonts w:ascii="Consolas" w:hAnsi="Consolas"/>
          <w:color w:val="1F4D78"/>
          <w:sz w:val="21"/>
          <w:shd w:fill="EEF1F4"/>
        </w:rPr>
        <w:t>REST</w:t>
      </w:r>
      <w:r>
        <w:rPr>
          <w:rFonts w:ascii="Calibri" w:hAnsi="Calibri"/>
          <w:color w:val="222222"/>
        </w:rPr>
        <w:t xml:space="preserve"> can also appear as the </w:t>
      </w:r>
      <w:r>
        <w:rPr>
          <w:rFonts w:ascii="Consolas" w:hAnsi="Consolas"/>
          <w:color w:val="1F4D78"/>
          <w:sz w:val="21"/>
          <w:shd w:fill="EEF1F4"/>
        </w:rPr>
        <w:t>ST003348</w:t>
      </w:r>
      <w:r>
        <w:rPr>
          <w:rFonts w:ascii="Calibri" w:hAnsi="Calibri"/>
          <w:color w:val="222222"/>
        </w:rPr>
        <w:t xml:space="preserve"> pre-exercise timepoint label. Context distinguishes the MW REST API from the exercise collection label.</w:t>
      </w:r>
    </w:p>
    <w:p>
      <w:r>
        <w:rPr>
          <w:rFonts w:ascii="Calibri" w:hAnsi="Calibri"/>
          <w:b/>
          <w:color w:val="222222"/>
        </w:rPr>
        <w:t>REST API</w:t>
      </w:r>
    </w:p>
    <w:p>
      <w:r>
        <w:rPr>
          <w:rFonts w:ascii="Calibri" w:hAnsi="Calibri"/>
          <w:color w:val="222222"/>
        </w:rPr>
        <w:t>Metabolomics Workbench's URL-based service for programmatic access to study, compound, RefMet, and other contexts.</w:t>
      </w:r>
    </w:p>
    <w:p>
      <w:pPr>
        <w:pStyle w:val="Heading2"/>
      </w:pPr>
      <w:r>
        <w:rPr>
          <w:rFonts w:ascii="Calibri" w:hAnsi="Calibri"/>
          <w:color w:val="222222"/>
        </w:rPr>
        <w:t>S</w:t>
      </w:r>
    </w:p>
    <w:p>
      <w:r>
        <w:rPr>
          <w:rFonts w:ascii="Calibri" w:hAnsi="Calibri"/>
          <w:b/>
          <w:color w:val="222222"/>
        </w:rPr>
        <w:t>Sample role</w:t>
      </w:r>
    </w:p>
    <w:p>
      <w:r>
        <w:rPr>
          <w:rFonts w:ascii="Calibri" w:hAnsi="Calibri"/>
          <w:color w:val="222222"/>
        </w:rPr>
        <w:t>The analytical purpose of a row, such as biological, pooled QC, blank, technical standard, or unknown.</w:t>
      </w:r>
    </w:p>
    <w:p>
      <w:r>
        <w:rPr>
          <w:rFonts w:ascii="Calibri" w:hAnsi="Calibri"/>
          <w:b/>
          <w:color w:val="222222"/>
        </w:rPr>
        <w:t>Serum</w:t>
      </w:r>
    </w:p>
    <w:p>
      <w:r>
        <w:rPr>
          <w:rFonts w:ascii="Calibri" w:hAnsi="Calibri"/>
          <w:color w:val="222222"/>
        </w:rPr>
        <w:t xml:space="preserve">The liquid fraction obtained after blood clotting. The </w:t>
      </w:r>
      <w:r>
        <w:rPr>
          <w:rFonts w:ascii="Consolas" w:hAnsi="Consolas"/>
          <w:color w:val="1F4D78"/>
          <w:sz w:val="21"/>
          <w:shd w:fill="EEF1F4"/>
        </w:rPr>
        <w:t>ST003348</w:t>
      </w:r>
      <w:r>
        <w:rPr>
          <w:rFonts w:ascii="Calibri" w:hAnsi="Calibri"/>
          <w:color w:val="222222"/>
        </w:rPr>
        <w:t xml:space="preserve"> factors endpoint says </w:t>
      </w:r>
      <w:r>
        <w:rPr>
          <w:rFonts w:ascii="Consolas" w:hAnsi="Consolas"/>
          <w:color w:val="1F4D78"/>
          <w:sz w:val="21"/>
          <w:shd w:fill="EEF1F4"/>
        </w:rPr>
        <w:t>blood</w:t>
      </w:r>
      <w:r>
        <w:rPr>
          <w:rFonts w:ascii="Calibri" w:hAnsi="Calibri"/>
          <w:color w:val="222222"/>
        </w:rPr>
        <w:t>, while its collection metadata specifies serum; the module preserves both and uses serum as the supported specific matrix.</w:t>
      </w:r>
    </w:p>
    <w:p>
      <w:r>
        <w:rPr>
          <w:rFonts w:ascii="Calibri" w:hAnsi="Calibri"/>
          <w:b/>
          <w:color w:val="222222"/>
        </w:rPr>
        <w:t>Specimen context</w:t>
      </w:r>
    </w:p>
    <w:p>
      <w:r>
        <w:rPr>
          <w:rFonts w:ascii="Calibri" w:hAnsi="Calibri"/>
          <w:color w:val="222222"/>
        </w:rPr>
        <w:t>Matrix, anatomical source, collection conditions, processing, storage, fasting state, and related evidence needed to interpret a measurement.</w:t>
      </w:r>
    </w:p>
    <w:p>
      <w:r>
        <w:rPr>
          <w:rFonts w:ascii="Calibri" w:hAnsi="Calibri"/>
          <w:b/>
          <w:color w:val="222222"/>
        </w:rPr>
        <w:t>STAT</w:t>
      </w:r>
    </w:p>
    <w:p>
      <w:r>
        <w:rPr>
          <w:rFonts w:ascii="Calibri" w:hAnsi="Calibri"/>
          <w:color w:val="222222"/>
        </w:rPr>
        <w:t xml:space="preserve">In </w:t>
      </w:r>
      <w:r>
        <w:rPr>
          <w:rFonts w:ascii="Consolas" w:hAnsi="Consolas"/>
          <w:color w:val="1F4D78"/>
          <w:sz w:val="21"/>
          <w:shd w:fill="EEF1F4"/>
        </w:rPr>
        <w:t>ST003348</w:t>
      </w:r>
      <w:r>
        <w:rPr>
          <w:rFonts w:ascii="Calibri" w:hAnsi="Calibri"/>
          <w:color w:val="222222"/>
        </w:rPr>
        <w:t>, the immediately post-exercise collection label. It does not mean a generic post-intervention timepoint.</w:t>
      </w:r>
    </w:p>
    <w:p>
      <w:r>
        <w:rPr>
          <w:rFonts w:ascii="Calibri" w:hAnsi="Calibri"/>
          <w:b/>
          <w:color w:val="222222"/>
        </w:rPr>
        <w:t>Structural harmonization</w:t>
      </w:r>
    </w:p>
    <w:p>
      <w:r>
        <w:rPr>
          <w:rFonts w:ascii="Calibri" w:hAnsi="Calibri"/>
          <w:color w:val="222222"/>
        </w:rPr>
        <w:t>Alignment of names, fields, categories, and relationships. It does not by itself justify combining quantitative observations.</w:t>
      </w:r>
    </w:p>
    <w:p>
      <w:r>
        <w:rPr>
          <w:rFonts w:ascii="Calibri" w:hAnsi="Calibri"/>
          <w:b/>
          <w:color w:val="222222"/>
        </w:rPr>
        <w:t>Study accession</w:t>
      </w:r>
    </w:p>
    <w:p>
      <w:r>
        <w:rPr>
          <w:rFonts w:ascii="Calibri" w:hAnsi="Calibri"/>
          <w:color w:val="222222"/>
        </w:rPr>
        <w:t xml:space="preserve">A Metabolomics Workbench </w:t>
      </w:r>
      <w:r>
        <w:rPr>
          <w:rFonts w:ascii="Consolas" w:hAnsi="Consolas"/>
          <w:color w:val="1F4D78"/>
          <w:sz w:val="21"/>
          <w:shd w:fill="EEF1F4"/>
        </w:rPr>
        <w:t>ST...</w:t>
      </w:r>
      <w:r>
        <w:rPr>
          <w:rFonts w:ascii="Calibri" w:hAnsi="Calibri"/>
          <w:color w:val="222222"/>
        </w:rPr>
        <w:t xml:space="preserve"> identifier. The locked case studies are </w:t>
      </w:r>
      <w:r>
        <w:rPr>
          <w:rFonts w:ascii="Consolas" w:hAnsi="Consolas"/>
          <w:color w:val="1F4D78"/>
          <w:sz w:val="21"/>
          <w:shd w:fill="EEF1F4"/>
        </w:rPr>
        <w:t>ST001521</w:t>
      </w:r>
      <w:r>
        <w:rPr>
          <w:rFonts w:ascii="Calibri" w:hAnsi="Calibri"/>
          <w:color w:val="222222"/>
        </w:rPr>
        <w:t xml:space="preserve"> and </w:t>
      </w:r>
      <w:r>
        <w:rPr>
          <w:rFonts w:ascii="Consolas" w:hAnsi="Consolas"/>
          <w:color w:val="1F4D78"/>
          <w:sz w:val="21"/>
          <w:shd w:fill="EEF1F4"/>
        </w:rPr>
        <w:t>ST003348</w:t>
      </w:r>
      <w:r>
        <w:rPr>
          <w:rFonts w:ascii="Calibri" w:hAnsi="Calibri"/>
          <w:color w:val="222222"/>
        </w:rPr>
        <w:t>.</w:t>
      </w:r>
    </w:p>
    <w:p>
      <w:pPr>
        <w:pStyle w:val="Heading2"/>
      </w:pPr>
      <w:r>
        <w:rPr>
          <w:rFonts w:ascii="Calibri" w:hAnsi="Calibri"/>
          <w:color w:val="222222"/>
        </w:rPr>
        <w:t>T</w:t>
      </w:r>
    </w:p>
    <w:p>
      <w:r>
        <w:rPr>
          <w:rFonts w:ascii="Calibri" w:hAnsi="Calibri"/>
          <w:b/>
          <w:color w:val="222222"/>
        </w:rPr>
        <w:t>Targeted metabolomics</w:t>
      </w:r>
    </w:p>
    <w:p>
      <w:r>
        <w:rPr>
          <w:rFonts w:ascii="Calibri" w:hAnsi="Calibri"/>
          <w:color w:val="222222"/>
        </w:rPr>
        <w:t>Measurement focused on a defined analyte panel, often with method-specific quantitative or semiquantitative procedures. It differs from untargeted coverage and must not be assumed to share scale or detection properties.</w:t>
      </w:r>
    </w:p>
    <w:p>
      <w:r>
        <w:rPr>
          <w:rFonts w:ascii="Calibri" w:hAnsi="Calibri"/>
          <w:b/>
          <w:color w:val="222222"/>
        </w:rPr>
        <w:t>Time semantics</w:t>
      </w:r>
    </w:p>
    <w:p>
      <w:r>
        <w:rPr>
          <w:rFonts w:ascii="Calibri" w:hAnsi="Calibri"/>
          <w:color w:val="222222"/>
        </w:rPr>
        <w:t>The biological meaning of a time label, including anchor event, offset, unit, state, visit or period, and repeated-measures order.</w:t>
      </w:r>
    </w:p>
    <w:p>
      <w:pPr>
        <w:pStyle w:val="Heading2"/>
      </w:pPr>
      <w:r>
        <w:rPr>
          <w:rFonts w:ascii="Calibri" w:hAnsi="Calibri"/>
          <w:color w:val="222222"/>
        </w:rPr>
        <w:t>U</w:t>
      </w:r>
    </w:p>
    <w:p>
      <w:r>
        <w:rPr>
          <w:rFonts w:ascii="Calibri" w:hAnsi="Calibri"/>
          <w:b/>
          <w:color w:val="222222"/>
        </w:rPr>
        <w:t>Unit reconciliation</w:t>
      </w:r>
    </w:p>
    <w:p>
      <w:r>
        <w:rPr>
          <w:rFonts w:ascii="Calibri" w:hAnsi="Calibri"/>
          <w:color w:val="222222"/>
        </w:rPr>
        <w:t>A documented conversion performed only when the same quantity, compatible matrix and denominator, quantification basis, and conversion relationship are established.</w:t>
      </w:r>
    </w:p>
    <w:p>
      <w:r>
        <w:rPr>
          <w:rFonts w:ascii="Calibri" w:hAnsi="Calibri"/>
          <w:b/>
          <w:color w:val="222222"/>
        </w:rPr>
        <w:t>Untargeted metabolomics</w:t>
      </w:r>
    </w:p>
    <w:p>
      <w:r>
        <w:rPr>
          <w:rFonts w:ascii="Calibri" w:hAnsi="Calibri"/>
          <w:color w:val="222222"/>
        </w:rPr>
        <w:t>Broad profiling of analytical features without limiting measurement to a small predefined panel. Feature annotation and missingness require careful interpretation.</w:t>
      </w:r>
    </w:p>
    <w:p>
      <w:pPr>
        <w:pStyle w:val="Heading2"/>
      </w:pPr>
      <w:r>
        <w:rPr>
          <w:rFonts w:ascii="Calibri" w:hAnsi="Calibri"/>
          <w:color w:val="222222"/>
        </w:rPr>
        <w:t>W</w:t>
      </w:r>
    </w:p>
    <w:p>
      <w:r>
        <w:rPr>
          <w:rFonts w:ascii="Calibri" w:hAnsi="Calibri"/>
          <w:b/>
          <w:color w:val="222222"/>
        </w:rPr>
        <w:t>Within-study analysis</w:t>
      </w:r>
    </w:p>
    <w:p>
      <w:r>
        <w:rPr>
          <w:rFonts w:ascii="Calibri" w:hAnsi="Calibri"/>
          <w:color w:val="222222"/>
        </w:rPr>
        <w:t>An analysis fit separately inside one study using its own design, repeated measures, scale, and preprocessing. It is the default quantitative strategy in this module.</w:t>
      </w:r>
    </w:p>
    <w:p>
      <w:pPr>
        <w:pStyle w:val="Heading2"/>
      </w:pPr>
      <w:r>
        <w:rPr>
          <w:rFonts w:ascii="Calibri" w:hAnsi="Calibri"/>
          <w:color w:val="222222"/>
        </w:rPr>
        <w:t>Primary sources</w:t>
      </w:r>
    </w:p>
    <w:p>
      <w:pPr>
        <w:numPr>
          <w:ilvl w:val="0"/>
          <w:numId w:val="95"/>
        </w:numPr>
        <w:spacing w:after="80" w:line="300" w:lineRule="auto"/>
      </w:pPr>
      <w:r>
        <w:rPr>
          <w:rFonts w:ascii="Calibri" w:hAnsi="Calibri"/>
          <w:color w:val="222222"/>
        </w:rPr>
        <w:t xml:space="preserve">Fahy E, Subramaniam S. </w:t>
      </w:r>
      <w:hyperlink r:id="rId14">
        <w:r>
          <w:rPr>
            <w:rFonts w:ascii="Calibri" w:hAnsi="Calibri"/>
            <w:color w:val="2E74B5"/>
            <w:u w:val="single"/>
            <w:sz w:val="22"/>
          </w:rPr>
          <w:t>RefMet: a reference nomenclature for metabolomics</w:t>
        </w:r>
      </w:hyperlink>
      <w:r>
        <w:rPr>
          <w:rFonts w:ascii="Calibri" w:hAnsi="Calibri"/>
          <w:color w:val="222222"/>
        </w:rPr>
        <w:t xml:space="preserve">. </w:t>
      </w:r>
      <w:r>
        <w:rPr>
          <w:rFonts w:ascii="Calibri" w:hAnsi="Calibri"/>
          <w:i/>
          <w:color w:val="222222"/>
        </w:rPr>
        <w:t>Nature Methods</w:t>
      </w:r>
      <w:r>
        <w:rPr>
          <w:rFonts w:ascii="Calibri" w:hAnsi="Calibri"/>
          <w:color w:val="222222"/>
        </w:rPr>
        <w:t>. 2020;17:1173-1174.</w:t>
      </w:r>
    </w:p>
    <w:p>
      <w:pPr>
        <w:numPr>
          <w:ilvl w:val="0"/>
          <w:numId w:val="95"/>
        </w:numPr>
        <w:spacing w:after="80" w:line="300" w:lineRule="auto"/>
      </w:pPr>
      <w:r>
        <w:rPr>
          <w:rFonts w:ascii="Calibri" w:hAnsi="Calibri"/>
          <w:color w:val="222222"/>
        </w:rPr>
        <w:t xml:space="preserve">Metabolomics Workbench. </w:t>
      </w:r>
      <w:hyperlink r:id="rId11">
        <w:r>
          <w:rPr>
            <w:rFonts w:ascii="Calibri" w:hAnsi="Calibri"/>
            <w:color w:val="2E74B5"/>
            <w:u w:val="single"/>
            <w:sz w:val="22"/>
          </w:rPr>
          <w:t>REST Service</w:t>
        </w:r>
      </w:hyperlink>
      <w:r>
        <w:rPr>
          <w:rFonts w:ascii="Calibri" w:hAnsi="Calibri"/>
          <w:color w:val="222222"/>
        </w:rPr>
        <w:t xml:space="preserve">, </w:t>
      </w:r>
      <w:hyperlink r:id="rId23">
        <w:r>
          <w:rPr>
            <w:rFonts w:ascii="Calibri" w:hAnsi="Calibri"/>
            <w:color w:val="2E74B5"/>
            <w:u w:val="single"/>
            <w:sz w:val="22"/>
          </w:rPr>
          <w:t>RefMet</w:t>
        </w:r>
      </w:hyperlink>
      <w:r>
        <w:rPr>
          <w:rFonts w:ascii="Calibri" w:hAnsi="Calibri"/>
          <w:color w:val="222222"/>
        </w:rPr>
        <w:t xml:space="preserve">, and </w:t>
      </w:r>
      <w:hyperlink r:id="rId12">
        <w:r>
          <w:rPr>
            <w:rFonts w:ascii="Calibri" w:hAnsi="Calibri"/>
            <w:color w:val="2E74B5"/>
            <w:u w:val="single"/>
            <w:sz w:val="22"/>
          </w:rPr>
          <w:t>mwTab documentation</w:t>
        </w:r>
      </w:hyperlink>
      <w:r>
        <w:rPr>
          <w:rFonts w:ascii="Calibri" w:hAnsi="Calibri"/>
          <w:color w:val="222222"/>
        </w:rPr>
        <w:t>. Accessed August 10, 2026.</w:t>
      </w:r>
    </w:p>
    <w:p>
      <w:pPr>
        <w:numPr>
          <w:ilvl w:val="0"/>
          <w:numId w:val="95"/>
        </w:numPr>
        <w:spacing w:after="80" w:line="300" w:lineRule="auto"/>
      </w:pPr>
      <w:r>
        <w:rPr>
          <w:rFonts w:ascii="Calibri" w:hAnsi="Calibri"/>
          <w:color w:val="222222"/>
        </w:rPr>
        <w:t xml:space="preserve">Wilkinson MD, Dumontier M, Aalbersberg IJ, et al. </w:t>
      </w:r>
      <w:hyperlink r:id="rId18">
        <w:r>
          <w:rPr>
            <w:rFonts w:ascii="Calibri" w:hAnsi="Calibri"/>
            <w:color w:val="2E74B5"/>
            <w:u w:val="single"/>
            <w:sz w:val="22"/>
          </w:rPr>
          <w:t>The FAIR Guiding Principles for scientific data management and stewardship</w:t>
        </w:r>
      </w:hyperlink>
      <w:r>
        <w:rPr>
          <w:rFonts w:ascii="Calibri" w:hAnsi="Calibri"/>
          <w:color w:val="222222"/>
        </w:rPr>
        <w:t xml:space="preserve">. </w:t>
      </w:r>
      <w:r>
        <w:rPr>
          <w:rFonts w:ascii="Calibri" w:hAnsi="Calibri"/>
          <w:i/>
          <w:color w:val="222222"/>
        </w:rPr>
        <w:t>Scientific Data</w:t>
      </w:r>
      <w:r>
        <w:rPr>
          <w:rFonts w:ascii="Calibri" w:hAnsi="Calibri"/>
          <w:color w:val="222222"/>
        </w:rPr>
        <w:t>. 2016;3:160018.</w:t>
      </w:r>
    </w:p>
    <w:p>
      <w:pPr>
        <w:numPr>
          <w:ilvl w:val="0"/>
          <w:numId w:val="95"/>
        </w:numPr>
        <w:spacing w:after="80" w:line="300" w:lineRule="auto"/>
      </w:pPr>
      <w:r>
        <w:rPr>
          <w:rFonts w:ascii="Calibri" w:hAnsi="Calibri"/>
          <w:color w:val="222222"/>
        </w:rPr>
        <w:t xml:space="preserve">Sumner LW, Amberg A, Barrett D, et al. </w:t>
      </w:r>
      <w:hyperlink r:id="rId26">
        <w:r>
          <w:rPr>
            <w:rFonts w:ascii="Calibri" w:hAnsi="Calibri"/>
            <w:color w:val="2E74B5"/>
            <w:u w:val="single"/>
            <w:sz w:val="22"/>
          </w:rPr>
          <w:t>Proposed minimum reporting standards for chemical analysis</w:t>
        </w:r>
      </w:hyperlink>
      <w:r>
        <w:rPr>
          <w:rFonts w:ascii="Calibri" w:hAnsi="Calibri"/>
          <w:color w:val="222222"/>
        </w:rPr>
        <w:t xml:space="preserve">. </w:t>
      </w:r>
      <w:r>
        <w:rPr>
          <w:rFonts w:ascii="Calibri" w:hAnsi="Calibri"/>
          <w:i/>
          <w:color w:val="222222"/>
        </w:rPr>
        <w:t>Metabolomics</w:t>
      </w:r>
      <w:r>
        <w:rPr>
          <w:rFonts w:ascii="Calibri" w:hAnsi="Calibri"/>
          <w:color w:val="222222"/>
        </w:rPr>
        <w:t>. 2007;3:211-221.</w:t>
      </w:r>
    </w:p>
    <w:p>
      <w:r>
        <w:br w:type="page"/>
      </w:r>
    </w:p>
    <w:p>
      <w:pPr>
        <w:pStyle w:val="Heading1"/>
      </w:pPr>
      <w:r>
        <w:t>Appendix - PCA worked examples</w:t>
      </w:r>
    </w:p>
    <w:p>
      <w:r>
        <w:rPr>
          <w:rFonts w:ascii="Calibri" w:hAnsi="Calibri"/>
          <w:color w:val="222222"/>
        </w:rPr>
        <w:t>These figures are the exact worked examples generated by notebook Lesson 4. Find the corresponding code at NB-L4-PCA-DIET and NB-L4-PCA-EXERCISE in module/notebooks/metabo_diet_harmonization.ipynb. Each model has its own coordinate system; do not compare point positions or axis values across figures.</w:t>
      </w:r>
    </w:p>
    <w:p>
      <w:pPr>
        <w:pStyle w:val="Heading2"/>
        <w:keepNext/>
      </w:pPr>
      <w:r>
        <w:t>Figure A1 - Diet-study plasma PCA</w:t>
      </w:r>
    </w:p>
    <w:p>
      <w:pPr>
        <w:keepNext/>
        <w:spacing w:after="80"/>
        <w:jc w:val="center"/>
      </w:pPr>
      <w:r>
        <w:drawing>
          <wp:inline xmlns:a="http://schemas.openxmlformats.org/drawingml/2006/main" xmlns:pic="http://schemas.openxmlformats.org/drawingml/2006/picture">
            <wp:extent cx="5715000" cy="4246865"/>
            <wp:docPr id="1" name="Figure A1 - Diet-study plasma PCA" title="Figure A1 - Diet-study plasma PCA" descr="Scatterplot of 150 ST001521 plasma samples in a PCA fit only to analysis AN002534. Color identifies Western, Vegan, or Modulen diet labels and marker shape identifies Baseline, Day 5, Day 9, Day 12, or Day 15. PC1 explains 34.4 percent and PC2 explains 11.6 percent of variance."/>
            <wp:cNvGraphicFramePr>
              <a:graphicFrameLocks noChangeAspect="1"/>
            </wp:cNvGraphicFramePr>
            <a:graphic>
              <a:graphicData uri="http://schemas.openxmlformats.org/drawingml/2006/picture">
                <pic:pic>
                  <pic:nvPicPr>
                    <pic:cNvPr id="0" name="ST001521_AN002534_pca.png"/>
                    <pic:cNvPicPr/>
                  </pic:nvPicPr>
                  <pic:blipFill>
                    <a:blip r:embed="rId36"/>
                    <a:stretch>
                      <a:fillRect/>
                    </a:stretch>
                  </pic:blipFill>
                  <pic:spPr>
                    <a:xfrm>
                      <a:off x="0" y="0"/>
                      <a:ext cx="5715000" cy="4246865"/>
                    </a:xfrm>
                    <a:prstGeom prst="rect"/>
                  </pic:spPr>
                </pic:pic>
              </a:graphicData>
            </a:graphic>
          </wp:inline>
        </w:drawing>
      </w:r>
    </w:p>
    <w:p>
      <w:pPr>
        <w:pStyle w:val="Caption"/>
        <w:spacing w:before="0" w:after="120"/>
        <w:jc w:val="center"/>
      </w:pPr>
      <w:r>
        <w:rPr>
          <w:rFonts w:ascii="Calibri" w:hAnsi="Calibri"/>
          <w:color w:val="5A6570"/>
          <w:sz w:val="19"/>
        </w:rPr>
        <w:t>Figure A1. ST001521 / AN002534 within-study PCA of 150 biological plasma samples. The 10 pooled QPP samples are excluded.</w:t>
      </w:r>
    </w:p>
    <w:p>
      <w:pPr>
        <w:shd w:fill="F4F6F9"/>
        <w:pBdr>
          <w:left w:val="single" w:sz="16" w:space="8" w:color="9A6B12"/>
        </w:pBdr>
      </w:pPr>
      <w:r>
        <w:rPr>
          <w:rFonts w:ascii="Calibri" w:hAnsi="Calibri"/>
          <w:color w:val="1F4D78"/>
        </w:rPr>
        <w:t>How to read it: describe clustering or overlap as exploratory structure. The plot does not isolate a diet effect because setting, prior diet, antibiotics, PEG, time, and other design features can contribute.</w:t>
      </w:r>
    </w:p>
    <w:p>
      <w:r>
        <w:br w:type="page"/>
      </w:r>
    </w:p>
    <w:p>
      <w:pPr>
        <w:pStyle w:val="Heading2"/>
        <w:keepNext/>
      </w:pPr>
      <w:r>
        <w:t>Figure A2 - Exercise-study serum PCA</w:t>
      </w:r>
    </w:p>
    <w:p>
      <w:pPr>
        <w:keepNext/>
        <w:spacing w:after="80"/>
        <w:jc w:val="center"/>
      </w:pPr>
      <w:r>
        <w:drawing>
          <wp:inline xmlns:a="http://schemas.openxmlformats.org/drawingml/2006/main" xmlns:pic="http://schemas.openxmlformats.org/drawingml/2006/picture">
            <wp:extent cx="5715000" cy="4212277"/>
            <wp:docPr id="2" name="Figure A2 - Exercise-study serum PCA" title="Figure A2 - Exercise-study serum PCA" descr="Scatterplot of 76 ST003348 serum samples in a PCA fit only to analysis AN005483. Color identifies rest, immediate post-exercise, 3-hour recovery, or 22-hour recovery. PC1 explains 16.1 percent and PC2 explains 8.4 percent of variance."/>
            <wp:cNvGraphicFramePr>
              <a:graphicFrameLocks noChangeAspect="1"/>
            </wp:cNvGraphicFramePr>
            <a:graphic>
              <a:graphicData uri="http://schemas.openxmlformats.org/drawingml/2006/picture">
                <pic:pic>
                  <pic:nvPicPr>
                    <pic:cNvPr id="0" name="ST003348_AN005483_pca.png"/>
                    <pic:cNvPicPr/>
                  </pic:nvPicPr>
                  <pic:blipFill>
                    <a:blip r:embed="rId37"/>
                    <a:stretch>
                      <a:fillRect/>
                    </a:stretch>
                  </pic:blipFill>
                  <pic:spPr>
                    <a:xfrm>
                      <a:off x="0" y="0"/>
                      <a:ext cx="5715000" cy="4212277"/>
                    </a:xfrm>
                    <a:prstGeom prst="rect"/>
                  </pic:spPr>
                </pic:pic>
              </a:graphicData>
            </a:graphic>
          </wp:inline>
        </w:drawing>
      </w:r>
    </w:p>
    <w:p>
      <w:pPr>
        <w:pStyle w:val="Caption"/>
        <w:spacing w:before="0" w:after="120"/>
        <w:jc w:val="center"/>
      </w:pPr>
      <w:r>
        <w:rPr>
          <w:rFonts w:ascii="Calibri" w:hAnsi="Calibri"/>
          <w:color w:val="5A6570"/>
          <w:sz w:val="19"/>
        </w:rPr>
        <w:t>Figure A2. ST003348 / AN005483 within-study PCA of 76 serum samples after excluding explicit isotope-labeled/internal-standard rows.</w:t>
      </w:r>
    </w:p>
    <w:p>
      <w:pPr>
        <w:shd w:fill="F4F6F9"/>
        <w:pBdr>
          <w:left w:val="single" w:sz="16" w:space="8" w:color="9A6B12"/>
        </w:pBdr>
      </w:pPr>
      <w:r>
        <w:rPr>
          <w:rFonts w:ascii="Calibri" w:hAnsi="Calibri"/>
          <w:color w:val="1F4D78"/>
        </w:rPr>
        <w:t>How to read it: the timepoint pattern is exploratory and can also reflect fasting, clock time, repeated measures, or analytical structure. PCA alone is not a repeated-measures test and does not prove causation.</w:t>
      </w:r>
    </w:p>
    <w:p>
      <w:r>
        <w:br w:type="page"/>
      </w:r>
    </w:p>
    <w:p>
      <w:pPr>
        <w:pStyle w:val="Heading1"/>
      </w:pPr>
      <w:r>
        <w:t>Appendix - Data provenance</w:t>
      </w:r>
    </w:p>
    <w:p>
      <w:r>
        <w:rPr>
          <w:rFonts w:ascii="Calibri" w:hAnsi="Calibri"/>
          <w:color w:val="222222"/>
        </w:rPr>
        <w:t>This appendix summarizes the versioned evidence trail used by the release. The machine-readable source is module/data/provenance.json.</w:t>
      </w:r>
    </w:p>
    <w:tbl>
      <w:tblPr>
        <w:tblStyle w:val="TableGrid"/>
        <w:tblW w:type="dxa" w:w="9360"/>
        <w:jc w:val="left"/>
        <w:tblLayout w:type="fixed"/>
        <w:tblLook w:firstColumn="1" w:firstRow="1" w:lastColumn="0" w:lastRow="0" w:noHBand="0" w:noVBand="1" w:val="04A0"/>
        <w:tblInd w:w="120" w:type="dxa"/>
      </w:tblPr>
      <w:tblGrid>
        <w:gridCol w:w="3356"/>
        <w:gridCol w:w="6004"/>
      </w:tblGrid>
      <w:tr>
        <w:trPr>
          <w:cantSplit w:val="true"/>
          <w:tblHeader w:val="true"/>
        </w:trPr>
        <w:tc>
          <w:tcPr>
            <w:tcW w:type="dxa" w:w="335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Provenance field</w:t>
            </w:r>
          </w:p>
        </w:tc>
        <w:tc>
          <w:tcPr>
            <w:tcW w:type="dxa" w:w="600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Release value</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Repository</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Metabolomics Workbench / National Metabolomics Data Repository</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Retrieval time (UTC)</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2026-08-10T11:44:11Z</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Access model</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open; no login, registration, credential, or data-use agreement required for the selected public REST records</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Selection status</w:t>
            </w:r>
          </w:p>
        </w:tc>
        <w:tc>
          <w:tcPr>
            <w:tcW w:type="dxa" w:w="6004"/>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locked</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Manifest schema</w:t>
            </w:r>
          </w:p>
        </w:tc>
        <w:tc>
          <w:tcPr>
            <w:tcW w:type="dxa" w:w="6004"/>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1.0.0</w:t>
            </w:r>
          </w:p>
        </w:tc>
      </w:tr>
    </w:tbl>
    <w:p>
      <w:pPr>
        <w:spacing w:before="0" w:after="40"/>
      </w:pPr>
    </w:p>
    <w:p>
      <w:pPr>
        <w:pStyle w:val="Heading2"/>
      </w:pPr>
      <w:r>
        <w:t>Locked study pair</w:t>
      </w:r>
    </w:p>
    <w:tbl>
      <w:tblPr>
        <w:tblStyle w:val="TableGrid"/>
        <w:tblW w:type="dxa" w:w="9360"/>
        <w:jc w:val="left"/>
        <w:tblLayout w:type="fixed"/>
        <w:tblLook w:firstColumn="1" w:firstRow="1" w:lastColumn="0" w:lastRow="0" w:noHBand="0" w:noVBand="1" w:val="04A0"/>
        <w:tblInd w:w="120" w:type="dxa"/>
      </w:tblPr>
      <w:tblGrid>
        <w:gridCol w:w="1313"/>
        <w:gridCol w:w="1365"/>
        <w:gridCol w:w="1623"/>
        <w:gridCol w:w="3691"/>
        <w:gridCol w:w="1368"/>
      </w:tblGrid>
      <w:tr>
        <w:trPr>
          <w:cantSplit w:val="true"/>
          <w:tblHeader w:val="true"/>
        </w:trPr>
        <w:tc>
          <w:tcPr>
            <w:tcW w:type="dxa" w:w="131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Role</w:t>
            </w:r>
          </w:p>
        </w:tc>
        <w:tc>
          <w:tcPr>
            <w:tcW w:type="dxa" w:w="136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Accession</w:t>
            </w:r>
          </w:p>
        </w:tc>
        <w:tc>
          <w:tcPr>
            <w:tcW w:type="dxa" w:w="162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Specimen</w:t>
            </w:r>
          </w:p>
        </w:tc>
        <w:tc>
          <w:tcPr>
            <w:tcW w:type="dxa" w:w="369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Design summary</w:t>
            </w:r>
          </w:p>
        </w:tc>
        <w:tc>
          <w:tcPr>
            <w:tcW w:type="dxa" w:w="136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License</w:t>
            </w:r>
          </w:p>
        </w:tc>
      </w:tr>
      <w:tr>
        <w:trPr>
          <w:cantSplit w:val="true"/>
        </w:trPr>
        <w:tc>
          <w:tcPr>
            <w:tcW w:type="dxa" w:w="131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Diet</w:t>
            </w:r>
          </w:p>
        </w:tc>
        <w:tc>
          <w:tcPr>
            <w:tcW w:type="dxa" w:w="1365"/>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ST001521</w:t>
            </w:r>
          </w:p>
        </w:tc>
        <w:tc>
          <w:tcPr>
            <w:tcW w:type="dxa" w:w="162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Blood (plasma)</w:t>
            </w:r>
          </w:p>
        </w:tc>
        <w:tc>
          <w:tcPr>
            <w:tcW w:type="dxa" w:w="369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FARMM longitudinal diet study. Twenty omnivores were randomized to inpatient Western/omnivore or exclusive enteral nutrition (Modulen) feeding; ten established vegans continued their usual diet as outpatients. Plasma was collected at baseline and days 5, 9, 12, and 15.</w:t>
            </w:r>
          </w:p>
        </w:tc>
        <w:tc>
          <w:tcPr>
            <w:tcW w:type="dxa" w:w="1368"/>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CC BY 4.0</w:t>
            </w:r>
          </w:p>
        </w:tc>
      </w:tr>
      <w:tr>
        <w:trPr>
          <w:cantSplit w:val="true"/>
        </w:trPr>
        <w:tc>
          <w:tcPr>
            <w:tcW w:type="dxa" w:w="131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Exercise</w:t>
            </w:r>
          </w:p>
        </w:tc>
        <w:tc>
          <w:tcPr>
            <w:tcW w:type="dxa" w:w="1365"/>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ST003348</w:t>
            </w:r>
          </w:p>
        </w:tc>
        <w:tc>
          <w:tcPr>
            <w:tcW w:type="dxa" w:w="162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Blood (serum)</w:t>
            </w:r>
          </w:p>
        </w:tc>
        <w:tc>
          <w:tcPr>
            <w:tcW w:type="dxa" w:w="369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Acute endurance race-walking study with fasting pre-exercise REST, immediate post-exercise STAT, 3-hour recovery REC3, and fasting 22-hour recovery REC22 serum samples.</w:t>
            </w:r>
          </w:p>
        </w:tc>
        <w:tc>
          <w:tcPr>
            <w:tcW w:type="dxa" w:w="1368"/>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CC BY 4.0</w:t>
            </w:r>
          </w:p>
        </w:tc>
      </w:tr>
    </w:tbl>
    <w:p>
      <w:pPr>
        <w:spacing w:before="0" w:after="40"/>
      </w:pPr>
    </w:p>
    <w:p>
      <w:pPr>
        <w:pStyle w:val="Heading2"/>
      </w:pPr>
      <w:r>
        <w:t>RefMet overlap audit</w:t>
      </w:r>
    </w:p>
    <w:tbl>
      <w:tblPr>
        <w:tblStyle w:val="TableGrid"/>
        <w:tblW w:type="dxa" w:w="9360"/>
        <w:jc w:val="left"/>
        <w:tblLayout w:type="fixed"/>
        <w:tblLook w:firstColumn="1" w:firstRow="1" w:lastColumn="0" w:lastRow="0" w:noHBand="0" w:noVBand="1" w:val="04A0"/>
        <w:tblInd w:w="120" w:type="dxa"/>
      </w:tblPr>
      <w:tblGrid>
        <w:gridCol w:w="6840"/>
        <w:gridCol w:w="2520"/>
      </w:tblGrid>
      <w:tr>
        <w:trPr>
          <w:cantSplit w:val="true"/>
          <w:tblHeader w:val="true"/>
        </w:trPr>
        <w:tc>
          <w:tcPr>
            <w:tcW w:type="dxa" w:w="684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Measure</w:t>
            </w:r>
          </w:p>
        </w:tc>
        <w:tc>
          <w:tcPr>
            <w:tcW w:type="dxa" w:w="252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Value</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Diet unique nonblank RefMet names</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510</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Exercise unique nonblank RefMet names</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475</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Raw exact overlap</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153</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Known isotope/internal-standard exclusions</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8</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Conservative biological overlap</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145</w:t>
            </w:r>
          </w:p>
        </w:tc>
      </w:tr>
    </w:tbl>
    <w:p>
      <w:pPr>
        <w:spacing w:before="0" w:after="40"/>
      </w:pPr>
    </w:p>
    <w:p>
      <w:r>
        <w:rPr>
          <w:rFonts w:ascii="Calibri" w:hAnsi="Calibri"/>
          <w:color w:val="222222"/>
        </w:rPr>
        <w:t>The 145-name count excludes eight known labeled/internal-standard mappings and is the operational biological crosswalk count. Further annotation curation may reduce it. Overlap supports identifier-crosswalk and class-summary exercises; it does not make raw peak areas quantitatively comparable across studies.</w:t>
      </w:r>
    </w:p>
    <w:p>
      <w:pPr>
        <w:pStyle w:val="Heading2"/>
      </w:pPr>
      <w:r>
        <w:t>Sanitization and claim boundaries</w:t>
      </w:r>
    </w:p>
    <w:p>
      <w:r>
        <w:rPr>
          <w:rFonts w:ascii="Calibri" w:hAnsi="Calibri"/>
          <w:color w:val="222222"/>
        </w:rPr>
        <w:t>Files in module/data/raw are exact source snapshots and must not be edited in place. Sanitized/derived tables must retain source IDs and record these transformations.</w:t>
      </w:r>
    </w:p>
    <w:p>
      <w:pPr>
        <w:pStyle w:val="Heading3"/>
      </w:pPr>
      <w:r>
        <w:rPr>
          <w:rFonts w:ascii="Calibri" w:hAnsi="Calibri"/>
          <w:color w:val="222222"/>
        </w:rPr>
        <w:t>St001521 Factors</w:t>
      </w:r>
    </w:p>
    <w:p>
      <w:pPr>
        <w:numPr>
          <w:ilvl w:val="0"/>
          <w:numId w:val="96"/>
        </w:numPr>
        <w:spacing w:after="80" w:line="300" w:lineRule="auto"/>
      </w:pPr>
      <w:r>
        <w:rPr>
          <w:rFonts w:ascii="Calibri" w:hAnsi="Calibri"/>
          <w:color w:val="222222"/>
        </w:rPr>
        <w:t>Trim factor-field whitespace without changing repository labels.</w:t>
      </w:r>
    </w:p>
    <w:p>
      <w:pPr>
        <w:numPr>
          <w:ilvl w:val="0"/>
          <w:numId w:val="96"/>
        </w:numPr>
        <w:spacing w:after="80" w:line="300" w:lineRule="auto"/>
      </w:pPr>
      <w:r>
        <w:rPr>
          <w:rFonts w:ascii="Calibri" w:hAnsi="Calibri"/>
          <w:color w:val="222222"/>
        </w:rPr>
        <w:t>Exclude QPP01 through QPP10 and rows whose Study_Diet, Sex, and Time factors are NA from biological analyses; retain them only as pooled-QC records.</w:t>
      </w:r>
    </w:p>
    <w:p>
      <w:pPr>
        <w:numPr>
          <w:ilvl w:val="0"/>
          <w:numId w:val="96"/>
        </w:numPr>
        <w:spacing w:after="80" w:line="300" w:lineRule="auto"/>
      </w:pPr>
      <w:r>
        <w:rPr>
          <w:rFonts w:ascii="Calibri" w:hAnsi="Calibri"/>
          <w:color w:val="222222"/>
        </w:rPr>
        <w:t>Derive biological participant_id from the leading four digits of local_sample_id and verify observed visits rather than forcing a balanced panel.</w:t>
      </w:r>
    </w:p>
    <w:p>
      <w:pPr>
        <w:numPr>
          <w:ilvl w:val="0"/>
          <w:numId w:val="96"/>
        </w:numPr>
        <w:spacing w:after="80" w:line="300" w:lineRule="auto"/>
      </w:pPr>
      <w:r>
        <w:rPr>
          <w:rFonts w:ascii="Calibri" w:hAnsi="Calibri"/>
          <w:color w:val="222222"/>
        </w:rPr>
        <w:t>Preserve Western as the factor label and document that the narrative calls this arm omnivore.</w:t>
      </w:r>
    </w:p>
    <w:p>
      <w:pPr>
        <w:numPr>
          <w:ilvl w:val="0"/>
          <w:numId w:val="96"/>
        </w:numPr>
        <w:spacing w:after="80" w:line="300" w:lineRule="auto"/>
      </w:pPr>
      <w:r>
        <w:rPr>
          <w:rFonts w:ascii="Calibri" w:hAnsi="Calibri"/>
          <w:color w:val="222222"/>
        </w:rPr>
        <w:t>Use the valid split study REST endpoints; do not ingest malformed AN002533, AN002535, or AN002536 mwTab JSON.</w:t>
      </w:r>
    </w:p>
    <w:p>
      <w:pPr>
        <w:pStyle w:val="Heading3"/>
      </w:pPr>
      <w:r>
        <w:rPr>
          <w:rFonts w:ascii="Calibri" w:hAnsi="Calibri"/>
          <w:color w:val="222222"/>
        </w:rPr>
        <w:t>St003348 Factors</w:t>
      </w:r>
    </w:p>
    <w:p>
      <w:pPr>
        <w:numPr>
          <w:ilvl w:val="0"/>
          <w:numId w:val="97"/>
        </w:numPr>
        <w:spacing w:after="80" w:line="300" w:lineRule="auto"/>
      </w:pPr>
      <w:r>
        <w:rPr>
          <w:rFonts w:ascii="Calibri" w:hAnsi="Calibri"/>
          <w:color w:val="222222"/>
        </w:rPr>
        <w:t>Derive participant_id from the integer before the underscore in local_sample_id.</w:t>
      </w:r>
    </w:p>
    <w:p>
      <w:pPr>
        <w:numPr>
          <w:ilvl w:val="0"/>
          <w:numId w:val="97"/>
        </w:numPr>
        <w:spacing w:after="80" w:line="300" w:lineRule="auto"/>
      </w:pPr>
      <w:r>
        <w:rPr>
          <w:rFonts w:ascii="Calibri" w:hAnsi="Calibri"/>
          <w:color w:val="222222"/>
        </w:rPr>
        <w:t>Validate suffixes 1, 2, 3, and 4 against rest, stat, rec3, and rec22, respectively.</w:t>
      </w:r>
    </w:p>
    <w:p>
      <w:pPr>
        <w:numPr>
          <w:ilvl w:val="0"/>
          <w:numId w:val="97"/>
        </w:numPr>
        <w:spacing w:after="80" w:line="300" w:lineRule="auto"/>
      </w:pPr>
      <w:r>
        <w:rPr>
          <w:rFonts w:ascii="Calibri" w:hAnsi="Calibri"/>
          <w:color w:val="222222"/>
        </w:rPr>
        <w:t>Retain source sample_source=blood while setting harmonized specimen to serum from the collection block.</w:t>
      </w:r>
    </w:p>
    <w:p>
      <w:pPr>
        <w:numPr>
          <w:ilvl w:val="0"/>
          <w:numId w:val="97"/>
        </w:numPr>
        <w:spacing w:after="80" w:line="300" w:lineRule="auto"/>
      </w:pPr>
      <w:r>
        <w:rPr>
          <w:rFonts w:ascii="Calibri" w:hAnsi="Calibri"/>
          <w:color w:val="222222"/>
        </w:rPr>
        <w:t>Treat the treatment-block value no treatment as a metadata defect; define the exercise contrast from the documented protocol, collection, and time factors.</w:t>
      </w:r>
    </w:p>
    <w:p>
      <w:pPr>
        <w:pStyle w:val="Heading3"/>
      </w:pPr>
      <w:r>
        <w:rPr>
          <w:rFonts w:ascii="Calibri" w:hAnsi="Calibri"/>
          <w:color w:val="222222"/>
        </w:rPr>
        <w:t>Cross Study Metabolites</w:t>
      </w:r>
    </w:p>
    <w:p>
      <w:pPr>
        <w:numPr>
          <w:ilvl w:val="0"/>
          <w:numId w:val="98"/>
        </w:numPr>
        <w:spacing w:after="80" w:line="300" w:lineRule="auto"/>
      </w:pPr>
      <w:r>
        <w:rPr>
          <w:rFonts w:ascii="Calibri" w:hAnsi="Calibri"/>
          <w:color w:val="222222"/>
        </w:rPr>
        <w:t>Remove the eight explicit isotope-labeled/internal-standard mappings listed in primary_pair.overlap before constructing the biological RefMet crosswalk.</w:t>
      </w:r>
    </w:p>
    <w:p>
      <w:pPr>
        <w:numPr>
          <w:ilvl w:val="0"/>
          <w:numId w:val="98"/>
        </w:numPr>
        <w:spacing w:after="80" w:line="300" w:lineRule="auto"/>
      </w:pPr>
      <w:r>
        <w:rPr>
          <w:rFonts w:ascii="Calibri" w:hAnsi="Calibri"/>
          <w:color w:val="222222"/>
        </w:rPr>
        <w:t>Keep analysis_id attached to duplicated RefMet names unless a documented within-study collapse rule is applied.</w:t>
      </w:r>
    </w:p>
    <w:p>
      <w:pPr>
        <w:numPr>
          <w:ilvl w:val="0"/>
          <w:numId w:val="98"/>
        </w:numPr>
        <w:spacing w:after="80" w:line="300" w:lineRule="auto"/>
      </w:pPr>
      <w:r>
        <w:rPr>
          <w:rFonts w:ascii="Calibri" w:hAnsi="Calibri"/>
          <w:color w:val="222222"/>
        </w:rPr>
        <w:t>Never concatenate uncalibrated peak areas across the plasma and serum studies.</w:t>
      </w:r>
    </w:p>
    <w:p>
      <w:pPr>
        <w:pStyle w:val="Heading2"/>
      </w:pPr>
      <w:r>
        <w:t>Cached-source integrity</w:t>
      </w:r>
    </w:p>
    <w:tbl>
      <w:tblPr>
        <w:tblStyle w:val="TableGrid"/>
        <w:tblW w:type="dxa" w:w="9360"/>
        <w:jc w:val="left"/>
        <w:tblLayout w:type="fixed"/>
        <w:tblLook w:firstColumn="1" w:firstRow="1" w:lastColumn="0" w:lastRow="0" w:noHBand="0" w:noVBand="1" w:val="04A0"/>
        <w:tblInd w:w="120" w:type="dxa"/>
      </w:tblPr>
      <w:tblGrid>
        <w:gridCol w:w="1621"/>
        <w:gridCol w:w="2445"/>
        <w:gridCol w:w="1721"/>
        <w:gridCol w:w="3573"/>
      </w:tblGrid>
      <w:tr>
        <w:trPr>
          <w:cantSplit w:val="true"/>
          <w:tblHeader w:val="true"/>
        </w:trPr>
        <w:tc>
          <w:tcPr>
            <w:tcW w:type="dxa" w:w="162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Study</w:t>
            </w:r>
          </w:p>
        </w:tc>
        <w:tc>
          <w:tcPr>
            <w:tcW w:type="dxa" w:w="244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Cached file</w:t>
            </w:r>
          </w:p>
        </w:tc>
        <w:tc>
          <w:tcPr>
            <w:tcW w:type="dxa" w:w="172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Bytes</w:t>
            </w:r>
          </w:p>
        </w:tc>
        <w:tc>
          <w:tcPr>
            <w:tcW w:type="dxa" w:w="357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SHA-256</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ST001521_summary.json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575</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d2199dc631f33c09b9d9cb13f64a9c5233e1b6b7fe3f372e4cb8e947817541d9</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ST001521_factors.json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49194</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7b88427c7434f20538aff398f8ddac7e88d666696f4e19992c85d6017fe0372f</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ST001521_analysis.json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2025</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72d60232e8a0f39eb24c790cabe7bd1585a1e852eb58f4b0288703273a0c70ac</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ST001521_metabolites.json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95806</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7686f09d81f632d3996d5a5eceaedf31632a3c160d291f21cfa574d680251a53</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ST001521_data.json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1997104</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5528f4a721189f45de65d65b325727177bc5355181f571827f6030a7e7676c06</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ST003348_summary.json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621</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3766073c903b8975c2959fbb9c562b4cee531cddc02e749f380915354b193bee</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ST003348_factors.json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11791</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e31bb851873fee1d185a2d91d8b5553637145d799793d416ecf2be6c3f8c3329</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ST003348_analysis.json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1051</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27f654c3cee086b2310ebe4aeee64f5a835949e99c8b0da4736e6316652c4a19</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ST003348_metabolites.json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106651</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492be3dd45c6bd741b64634249e4acc89a3d0c9750f98f816215305cff5ef566</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ST003348_data.json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1076605</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0610a28e0e858524adefee5ee2d0dca46cf75c9a5bab1ebcb659e2573715adfb</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RefMet</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refmet_classification.json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31375639</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b11b6f09c5f068226ac440b815c693af0255e506a2cb33736a265004a95cb50d</w:t>
            </w:r>
          </w:p>
        </w:tc>
      </w:tr>
    </w:tbl>
    <w:p>
      <w:pPr>
        <w:spacing w:before="0" w:after="40"/>
      </w:pPr>
    </w:p>
    <w:p>
      <w:pPr>
        <w:pStyle w:val="Heading1"/>
      </w:pPr>
      <w:r>
        <w:t>Data attribution and reuse</w:t>
      </w:r>
    </w:p>
    <w:p>
      <w:pPr>
        <w:keepNext/>
        <w:spacing w:before="0" w:after="20"/>
      </w:pPr>
    </w:p>
    <w:p>
      <w:pPr>
        <w:pStyle w:val="Heading2"/>
      </w:pPr>
      <w:r>
        <w:rPr>
          <w:rFonts w:ascii="Calibri" w:hAnsi="Calibri"/>
          <w:color w:val="222222"/>
        </w:rPr>
        <w:t>Primary public datasets</w:t>
      </w:r>
    </w:p>
    <w:p>
      <w:r>
        <w:rPr>
          <w:rFonts w:ascii="Calibri" w:hAnsi="Calibri"/>
          <w:color w:val="222222"/>
        </w:rPr>
        <w:t>This training package includes cached copies and derived educational artifacts from two public Metabolomics Workbench/NMDR studies. Each study's public summary endpoint reports a Creative Commons Attribution 4.0 International license.</w:t>
      </w:r>
    </w:p>
    <w:p>
      <w:pPr>
        <w:keepNext/>
        <w:spacing w:before="0" w:after="20"/>
      </w:pPr>
    </w:p>
    <w:p>
      <w:pPr>
        <w:pStyle w:val="Heading3"/>
      </w:pPr>
      <w:r>
        <w:rPr>
          <w:rFonts w:ascii="Calibri" w:hAnsi="Calibri"/>
          <w:color w:val="222222"/>
        </w:rPr>
        <w:t>Diet-anchored case study</w:t>
      </w:r>
    </w:p>
    <w:p>
      <w:pPr>
        <w:numPr>
          <w:ilvl w:val="0"/>
          <w:numId w:val="99"/>
        </w:numPr>
        <w:spacing w:after="40" w:line="264" w:lineRule="auto"/>
      </w:pPr>
      <w:r>
        <w:rPr>
          <w:rFonts w:ascii="Calibri" w:hAnsi="Calibri"/>
          <w:color w:val="222222"/>
        </w:rPr>
        <w:t xml:space="preserve">Metabolomics Workbench study: </w:t>
      </w:r>
      <w:r>
        <w:rPr>
          <w:rFonts w:ascii="Consolas" w:hAnsi="Consolas"/>
          <w:color w:val="1F4D78"/>
          <w:sz w:val="21"/>
          <w:shd w:fill="EEF1F4"/>
        </w:rPr>
        <w:t>ST001521</w:t>
      </w:r>
    </w:p>
    <w:p>
      <w:pPr>
        <w:numPr>
          <w:ilvl w:val="0"/>
          <w:numId w:val="99"/>
        </w:numPr>
        <w:spacing w:after="40" w:line="264" w:lineRule="auto"/>
      </w:pPr>
      <w:r>
        <w:rPr>
          <w:rFonts w:ascii="Calibri" w:hAnsi="Calibri"/>
          <w:color w:val="222222"/>
        </w:rPr>
        <w:t xml:space="preserve">Project: </w:t>
      </w:r>
      <w:r>
        <w:rPr>
          <w:rFonts w:ascii="Consolas" w:hAnsi="Consolas"/>
          <w:color w:val="1F4D78"/>
          <w:sz w:val="21"/>
          <w:shd w:fill="EEF1F4"/>
        </w:rPr>
        <w:t>PR001024</w:t>
      </w:r>
    </w:p>
    <w:p>
      <w:pPr>
        <w:numPr>
          <w:ilvl w:val="0"/>
          <w:numId w:val="99"/>
        </w:numPr>
        <w:spacing w:after="40" w:line="264" w:lineRule="auto"/>
      </w:pPr>
      <w:r>
        <w:rPr>
          <w:rFonts w:ascii="Calibri" w:hAnsi="Calibri"/>
          <w:color w:val="222222"/>
        </w:rPr>
        <w:t>Project DOI: &lt;https://doi.org/10.21228/M8B984&gt;</w:t>
      </w:r>
    </w:p>
    <w:p>
      <w:pPr>
        <w:numPr>
          <w:ilvl w:val="0"/>
          <w:numId w:val="99"/>
        </w:numPr>
        <w:spacing w:after="40" w:line="264" w:lineRule="auto"/>
      </w:pPr>
      <w:r>
        <w:rPr>
          <w:rFonts w:ascii="Calibri" w:hAnsi="Calibri"/>
          <w:color w:val="222222"/>
        </w:rPr>
        <w:t>Repository record: &lt;https://www.metabolomicsworkbench.org/data/DRCCMetadata.php?Mode=Study&amp;StudyID=ST001521&gt;</w:t>
      </w:r>
    </w:p>
    <w:p>
      <w:pPr>
        <w:numPr>
          <w:ilvl w:val="0"/>
          <w:numId w:val="99"/>
        </w:numPr>
        <w:spacing w:after="40" w:line="264" w:lineRule="auto"/>
      </w:pPr>
      <w:r>
        <w:rPr>
          <w:rFonts w:ascii="Calibri" w:hAnsi="Calibri"/>
          <w:color w:val="222222"/>
        </w:rPr>
        <w:t xml:space="preserve">License: </w:t>
      </w:r>
      <w:hyperlink r:id="rId38">
        <w:r>
          <w:rPr>
            <w:rFonts w:ascii="Calibri" w:hAnsi="Calibri"/>
            <w:color w:val="2E74B5"/>
            <w:u w:val="single"/>
            <w:sz w:val="22"/>
          </w:rPr>
          <w:t>CC BY 4.0</w:t>
        </w:r>
      </w:hyperlink>
    </w:p>
    <w:p>
      <w:pPr>
        <w:keepNext/>
        <w:spacing w:before="0" w:after="20"/>
      </w:pPr>
    </w:p>
    <w:p>
      <w:pPr>
        <w:pStyle w:val="Heading3"/>
      </w:pPr>
      <w:r>
        <w:rPr>
          <w:rFonts w:ascii="Calibri" w:hAnsi="Calibri"/>
          <w:color w:val="222222"/>
        </w:rPr>
        <w:t>Exercise-anchored case study</w:t>
      </w:r>
    </w:p>
    <w:p>
      <w:pPr>
        <w:numPr>
          <w:ilvl w:val="0"/>
          <w:numId w:val="100"/>
        </w:numPr>
        <w:spacing w:after="40" w:line="264" w:lineRule="auto"/>
      </w:pPr>
      <w:r>
        <w:rPr>
          <w:rFonts w:ascii="Calibri" w:hAnsi="Calibri"/>
          <w:color w:val="222222"/>
        </w:rPr>
        <w:t xml:space="preserve">Metabolomics Workbench study: </w:t>
      </w:r>
      <w:r>
        <w:rPr>
          <w:rFonts w:ascii="Consolas" w:hAnsi="Consolas"/>
          <w:color w:val="1F4D78"/>
          <w:sz w:val="21"/>
          <w:shd w:fill="EEF1F4"/>
        </w:rPr>
        <w:t>ST003348</w:t>
      </w:r>
    </w:p>
    <w:p>
      <w:pPr>
        <w:numPr>
          <w:ilvl w:val="0"/>
          <w:numId w:val="100"/>
        </w:numPr>
        <w:spacing w:after="40" w:line="264" w:lineRule="auto"/>
      </w:pPr>
      <w:r>
        <w:rPr>
          <w:rFonts w:ascii="Calibri" w:hAnsi="Calibri"/>
          <w:color w:val="222222"/>
        </w:rPr>
        <w:t xml:space="preserve">Project: </w:t>
      </w:r>
      <w:r>
        <w:rPr>
          <w:rFonts w:ascii="Consolas" w:hAnsi="Consolas"/>
          <w:color w:val="1F4D78"/>
          <w:sz w:val="21"/>
          <w:shd w:fill="EEF1F4"/>
        </w:rPr>
        <w:t>PR002083</w:t>
      </w:r>
    </w:p>
    <w:p>
      <w:pPr>
        <w:numPr>
          <w:ilvl w:val="0"/>
          <w:numId w:val="100"/>
        </w:numPr>
        <w:spacing w:after="40" w:line="264" w:lineRule="auto"/>
      </w:pPr>
      <w:r>
        <w:rPr>
          <w:rFonts w:ascii="Calibri" w:hAnsi="Calibri"/>
          <w:color w:val="222222"/>
        </w:rPr>
        <w:t>Project DOI: &lt;https://doi.org/10.21228/M8C802&gt;</w:t>
      </w:r>
    </w:p>
    <w:p>
      <w:pPr>
        <w:numPr>
          <w:ilvl w:val="0"/>
          <w:numId w:val="100"/>
        </w:numPr>
        <w:spacing w:after="40" w:line="264" w:lineRule="auto"/>
      </w:pPr>
      <w:r>
        <w:rPr>
          <w:rFonts w:ascii="Calibri" w:hAnsi="Calibri"/>
          <w:color w:val="222222"/>
        </w:rPr>
        <w:t>Repository record: &lt;https://www.metabolomicsworkbench.org/data/DRCCMetadata.php?Mode=Study&amp;StudyID=ST003348&gt;</w:t>
      </w:r>
    </w:p>
    <w:p>
      <w:pPr>
        <w:numPr>
          <w:ilvl w:val="0"/>
          <w:numId w:val="100"/>
        </w:numPr>
        <w:spacing w:after="40" w:line="264" w:lineRule="auto"/>
      </w:pPr>
      <w:r>
        <w:rPr>
          <w:rFonts w:ascii="Calibri" w:hAnsi="Calibri"/>
          <w:color w:val="222222"/>
        </w:rPr>
        <w:t xml:space="preserve">License: </w:t>
      </w:r>
      <w:hyperlink r:id="rId38">
        <w:r>
          <w:rPr>
            <w:rFonts w:ascii="Calibri" w:hAnsi="Calibri"/>
            <w:color w:val="2E74B5"/>
            <w:u w:val="single"/>
            <w:sz w:val="22"/>
          </w:rPr>
          <w:t>CC BY 4.0</w:t>
        </w:r>
      </w:hyperlink>
    </w:p>
    <w:p>
      <w:pPr>
        <w:keepNext/>
        <w:spacing w:before="0" w:after="20"/>
      </w:pPr>
    </w:p>
    <w:p>
      <w:pPr>
        <w:pStyle w:val="Heading3"/>
      </w:pPr>
      <w:r>
        <w:rPr>
          <w:rFonts w:ascii="Calibri" w:hAnsi="Calibri"/>
          <w:color w:val="222222"/>
        </w:rPr>
        <w:t>RefMet classification</w:t>
      </w:r>
    </w:p>
    <w:p>
      <w:pPr>
        <w:numPr>
          <w:ilvl w:val="0"/>
          <w:numId w:val="101"/>
        </w:numPr>
        <w:spacing w:after="40" w:line="264" w:lineRule="auto"/>
      </w:pPr>
      <w:r>
        <w:rPr>
          <w:rFonts w:ascii="Calibri" w:hAnsi="Calibri"/>
          <w:color w:val="222222"/>
        </w:rPr>
        <w:t>Source: Metabolomics Workbench RefMet REST service</w:t>
      </w:r>
    </w:p>
    <w:p>
      <w:pPr>
        <w:numPr>
          <w:ilvl w:val="0"/>
          <w:numId w:val="101"/>
        </w:numPr>
        <w:spacing w:after="40" w:line="264" w:lineRule="auto"/>
      </w:pPr>
      <w:r>
        <w:rPr>
          <w:rFonts w:ascii="Calibri" w:hAnsi="Calibri"/>
          <w:color w:val="222222"/>
        </w:rPr>
        <w:t>Endpoint: &lt;https://www.metabolomicsworkbench.org/rest/refmet/classification&gt;</w:t>
      </w:r>
    </w:p>
    <w:p>
      <w:pPr>
        <w:numPr>
          <w:ilvl w:val="0"/>
          <w:numId w:val="101"/>
        </w:numPr>
        <w:spacing w:after="40" w:line="264" w:lineRule="auto"/>
      </w:pPr>
      <w:r>
        <w:rPr>
          <w:rFonts w:ascii="Calibri" w:hAnsi="Calibri"/>
          <w:color w:val="222222"/>
        </w:rPr>
        <w:t>Documentation: &lt;https://www.metabolomicsworkbench.org/tools/mw_rest.php&gt;</w:t>
      </w:r>
    </w:p>
    <w:p>
      <w:r>
        <w:rPr>
          <w:rFonts w:ascii="Calibri" w:hAnsi="Calibri"/>
          <w:color w:val="222222"/>
        </w:rPr>
        <w:t xml:space="preserve">Exact retrieval times, response sizes, SHA-256 checksums, release fields, and transformations are recorded in </w:t>
      </w:r>
      <w:hyperlink r:id="rId39">
        <w:r>
          <w:rPr>
            <w:rFonts w:ascii="Calibri" w:hAnsi="Calibri"/>
            <w:color w:val="2E74B5"/>
            <w:u w:val="single"/>
            <w:sz w:val="22"/>
          </w:rPr>
          <w:t>`data/provenance.json`</w:t>
        </w:r>
      </w:hyperlink>
      <w:r>
        <w:rPr>
          <w:rFonts w:ascii="Calibri" w:hAnsi="Calibri"/>
          <w:color w:val="222222"/>
        </w:rPr>
        <w:t>.</w:t>
      </w:r>
    </w:p>
    <w:p>
      <w:pPr>
        <w:keepNext/>
        <w:spacing w:before="0" w:after="20"/>
      </w:pPr>
    </w:p>
    <w:p>
      <w:pPr>
        <w:pStyle w:val="Heading2"/>
      </w:pPr>
      <w:r>
        <w:rPr>
          <w:rFonts w:ascii="Calibri" w:hAnsi="Calibri"/>
          <w:color w:val="222222"/>
        </w:rPr>
        <w:t>Training materials</w:t>
      </w:r>
    </w:p>
    <w:p>
      <w:r>
        <w:rPr>
          <w:rFonts w:ascii="Calibri" w:hAnsi="Calibri"/>
          <w:color w:val="222222"/>
        </w:rPr>
        <w:t xml:space="preserve">Except for third-party material identified here or in </w:t>
      </w:r>
      <w:r>
        <w:rPr>
          <w:rFonts w:ascii="Consolas" w:hAnsi="Consolas"/>
          <w:color w:val="1F4D78"/>
          <w:sz w:val="21"/>
          <w:shd w:fill="EEF1F4"/>
        </w:rPr>
        <w:t>data/provenance.json</w:t>
      </w:r>
      <w:r>
        <w:rPr>
          <w:rFonts w:ascii="Calibri" w:hAnsi="Calibri"/>
          <w:color w:val="222222"/>
        </w:rPr>
        <w:t xml:space="preserve">, the lesson text, original templates, notebook narrative and code, scripts, figures, and assessments in this package are licensed under the </w:t>
      </w:r>
      <w:hyperlink r:id="rId38">
        <w:r>
          <w:rPr>
            <w:rFonts w:ascii="Calibri" w:hAnsi="Calibri"/>
            <w:color w:val="2E74B5"/>
            <w:u w:val="single"/>
            <w:sz w:val="22"/>
          </w:rPr>
          <w:t>Creative Commons Attribution 4.0 International Public License</w:t>
        </w:r>
      </w:hyperlink>
      <w:r>
        <w:rPr>
          <w:rFonts w:ascii="Calibri" w:hAnsi="Calibri"/>
          <w:color w:val="222222"/>
        </w:rPr>
        <w:t xml:space="preserve">. Reusers must give appropriate credit, link to the license, and indicate changes. The English repository license notice is available at </w:t>
      </w:r>
      <w:hyperlink r:id="rId40">
        <w:r>
          <w:rPr>
            <w:rFonts w:ascii="Calibri" w:hAnsi="Calibri"/>
            <w:color w:val="2E74B5"/>
            <w:u w:val="single"/>
            <w:sz w:val="22"/>
          </w:rPr>
          <w:t>`../LICENSE`</w:t>
        </w:r>
      </w:hyperlink>
      <w:r>
        <w:rPr>
          <w:rFonts w:ascii="Calibri" w:hAnsi="Calibri"/>
          <w:color w:val="222222"/>
        </w:rPr>
        <w:t>.</w:t>
      </w:r>
    </w:p>
    <w:p>
      <w:r>
        <w:rPr>
          <w:rFonts w:ascii="Calibri" w:hAnsi="Calibri"/>
          <w:color w:val="222222"/>
        </w:rPr>
        <w:t>This grant does not relicense third-party datasets, repository records, software dependencies, trademarks, or logos. Dataset attribution does not imply that the original investigators, the Metabolomics Workbench, NIH, CFDE, MoTrPAC, NPH, All of Us, or any affiliated institution reviewed or endorsed the module.</w:t>
      </w:r>
    </w:p>
    <w:p>
      <w:pPr>
        <w:keepNext/>
        <w:spacing w:before="0" w:after="20"/>
      </w:pPr>
    </w:p>
    <w:p>
      <w:pPr>
        <w:pStyle w:val="Heading2"/>
      </w:pPr>
      <w:r>
        <w:rPr>
          <w:rFonts w:ascii="Calibri" w:hAnsi="Calibri"/>
          <w:color w:val="222222"/>
        </w:rPr>
        <w:t>Interpretation notice</w:t>
      </w:r>
    </w:p>
    <w:p>
      <w:r>
        <w:rPr>
          <w:rFonts w:ascii="Calibri" w:hAnsi="Calibri"/>
          <w:color w:val="222222"/>
        </w:rPr>
        <w:t>The package uses these studies to teach metadata reasoning, identifier harmonization, and within-study exploratory analysis. It does not treat the studies as one experiment, estimate a diet-versus-exercise causal effect, or claim that plasma and serum peak areas are quantitatively interchangeable.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A6570"/>
        <w:sz w:val="17"/>
      </w:rPr>
      <w:t xml:space="preserve">Metabo-Diet  |  Page </w:t>
    </w:r>
    <w:r>
      <w:fldChar w:fldCharType="begin"/>
      <w:instrText xml:space="preserve">PAGE</w:instrText>
      <w:fldChar w:fldCharType="separate"/>
      <w:t>1</w:t>
      <w:fldChar w:fldCharType="end"/>
    </w:r>
    <w:r>
      <w:rPr>
        <w:rFonts w:ascii="Calibri" w:hAnsi="Calibri"/>
        <w:color w:val="5A6570"/>
        <w:sz w:val="17"/>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b/>
        <w:color w:val="5A6570"/>
        <w:sz w:val="17"/>
      </w:rPr>
      <w:t>METABO-DIET  |  LEARNER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multilevel"/>
    <w:lvl w:ilvl="0">
      <w:start w:val="1"/>
      <w:numFmt w:val="bullet"/>
      <w:lvlText w:val="•"/>
      <w:lvlJc w:val="left"/>
      <w:pPr>
        <w:tabs>
          <w:tab w:val="num" w:pos="540"/>
        </w:tabs>
        <w:ind w:left="540" w:hanging="270"/>
        <w:spacing w:after="80" w:line="300" w:lineRule="auto"/>
      </w:pPr>
      <w:rPr>
        <w:rFonts w:ascii="Symbol" w:hAnsi="Symbol"/>
      </w:rPr>
    </w:lvl>
    <w:lvl w:ilvl="1">
      <w:start w:val="1"/>
      <w:numFmt w:val="bullet"/>
      <w:lvlText w:val="•"/>
      <w:lvlJc w:val="left"/>
      <w:pPr>
        <w:tabs>
          <w:tab w:val="num" w:pos="900"/>
        </w:tabs>
        <w:ind w:left="900" w:hanging="270"/>
        <w:spacing w:after="80" w:line="300" w:lineRule="auto"/>
      </w:pPr>
      <w:rPr>
        <w:rFonts w:ascii="Symbol" w:hAnsi="Symbol"/>
      </w:rPr>
    </w:lvl>
    <w:lvl w:ilvl="2">
      <w:start w:val="1"/>
      <w:numFmt w:val="bullet"/>
      <w:lvlText w:val="•"/>
      <w:lvlJc w:val="left"/>
      <w:pPr>
        <w:tabs>
          <w:tab w:val="num" w:pos="1260"/>
        </w:tabs>
        <w:ind w:left="1260" w:hanging="270"/>
        <w:spacing w:after="80" w:line="300" w:lineRule="auto"/>
      </w:pPr>
      <w:rPr>
        <w:rFonts w:ascii="Symbol" w:hAnsi="Symbol"/>
      </w:rPr>
    </w:lvl>
  </w:abstractNum>
  <w:abstractNum w:abstractNumId="10">
    <w:nsid w:val="0000000A"/>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
    <w:abstractNumId w:val="10"/>
    <w:lvlOverride w:ilvl="0">
      <w:startOverride w:val="1"/>
    </w:lvlOverride>
    <w:lvlOverride w:ilvl="1">
      <w:startOverride w:val="1"/>
    </w:lvlOverride>
    <w:lvlOverride w:ilvl="2">
      <w:startOverride w:val="1"/>
    </w:lvlOverride>
  </w:num>
  <w:num w:numId="11">
    <w:abstractNumId w:val="9"/>
    <w:lvlOverride w:ilvl="0">
      <w:startOverride w:val="1"/>
    </w:lvlOverride>
    <w:lvlOverride w:ilvl="1">
      <w:startOverride w:val="1"/>
    </w:lvlOverride>
    <w:lvlOverride w:ilvl="2">
      <w:startOverride w:val="1"/>
    </w:lvlOverride>
  </w:num>
  <w:num w:numId="12">
    <w:abstractNumId w:val="10"/>
    <w:lvlOverride w:ilvl="0">
      <w:startOverride w:val="1"/>
    </w:lvlOverride>
    <w:lvlOverride w:ilvl="1">
      <w:startOverride w:val="1"/>
    </w:lvlOverride>
    <w:lvlOverride w:ilvl="2">
      <w:startOverride w:val="1"/>
    </w:lvlOverride>
  </w:num>
  <w:num w:numId="13">
    <w:abstractNumId w:val="9"/>
    <w:lvlOverride w:ilvl="0">
      <w:startOverride w:val="1"/>
    </w:lvlOverride>
    <w:lvlOverride w:ilvl="1">
      <w:startOverride w:val="1"/>
    </w:lvlOverride>
    <w:lvlOverride w:ilvl="2">
      <w:startOverride w:val="1"/>
    </w:lvlOverride>
  </w:num>
  <w:num w:numId="14">
    <w:abstractNumId w:val="10"/>
    <w:lvlOverride w:ilvl="0">
      <w:startOverride w:val="1"/>
    </w:lvlOverride>
    <w:lvlOverride w:ilvl="1">
      <w:startOverride w:val="1"/>
    </w:lvlOverride>
    <w:lvlOverride w:ilvl="2">
      <w:startOverride w:val="1"/>
    </w:lvlOverride>
  </w:num>
  <w:num w:numId="15">
    <w:abstractNumId w:val="9"/>
    <w:lvlOverride w:ilvl="0">
      <w:startOverride w:val="1"/>
    </w:lvlOverride>
    <w:lvlOverride w:ilvl="1">
      <w:startOverride w:val="1"/>
    </w:lvlOverride>
    <w:lvlOverride w:ilvl="2">
      <w:startOverride w:val="1"/>
    </w:lvlOverride>
  </w:num>
  <w:num w:numId="16">
    <w:abstractNumId w:val="9"/>
    <w:lvlOverride w:ilvl="0">
      <w:startOverride w:val="1"/>
    </w:lvlOverride>
    <w:lvlOverride w:ilvl="1">
      <w:startOverride w:val="1"/>
    </w:lvlOverride>
    <w:lvlOverride w:ilvl="2">
      <w:startOverride w:val="1"/>
    </w:lvlOverride>
  </w:num>
  <w:num w:numId="17">
    <w:abstractNumId w:val="10"/>
    <w:lvlOverride w:ilvl="0">
      <w:startOverride w:val="1"/>
    </w:lvlOverride>
    <w:lvlOverride w:ilvl="1">
      <w:startOverride w:val="1"/>
    </w:lvlOverride>
    <w:lvlOverride w:ilvl="2">
      <w:startOverride w:val="1"/>
    </w:lvlOverride>
  </w:num>
  <w:num w:numId="18">
    <w:abstractNumId w:val="10"/>
    <w:lvlOverride w:ilvl="0">
      <w:startOverride w:val="1"/>
    </w:lvlOverride>
    <w:lvlOverride w:ilvl="1">
      <w:startOverride w:val="1"/>
    </w:lvlOverride>
    <w:lvlOverride w:ilvl="2">
      <w:startOverride w:val="1"/>
    </w:lvlOverride>
  </w:num>
  <w:num w:numId="19">
    <w:abstractNumId w:val="9"/>
    <w:lvlOverride w:ilvl="0">
      <w:startOverride w:val="1"/>
    </w:lvlOverride>
    <w:lvlOverride w:ilvl="1">
      <w:startOverride w:val="1"/>
    </w:lvlOverride>
    <w:lvlOverride w:ilvl="2">
      <w:startOverride w:val="1"/>
    </w:lvlOverride>
  </w:num>
  <w:num w:numId="20">
    <w:abstractNumId w:val="10"/>
    <w:lvlOverride w:ilvl="0">
      <w:startOverride w:val="1"/>
    </w:lvlOverride>
    <w:lvlOverride w:ilvl="1">
      <w:startOverride w:val="1"/>
    </w:lvlOverride>
    <w:lvlOverride w:ilvl="2">
      <w:startOverride w:val="1"/>
    </w:lvlOverride>
  </w:num>
  <w:num w:numId="21">
    <w:abstractNumId w:val="10"/>
    <w:lvlOverride w:ilvl="0">
      <w:startOverride w:val="1"/>
    </w:lvlOverride>
    <w:lvlOverride w:ilvl="1">
      <w:startOverride w:val="1"/>
    </w:lvlOverride>
    <w:lvlOverride w:ilvl="2">
      <w:startOverride w:val="1"/>
    </w:lvlOverride>
  </w:num>
  <w:num w:numId="22">
    <w:abstractNumId w:val="9"/>
    <w:lvlOverride w:ilvl="0">
      <w:startOverride w:val="1"/>
    </w:lvlOverride>
    <w:lvlOverride w:ilvl="1">
      <w:startOverride w:val="1"/>
    </w:lvlOverride>
    <w:lvlOverride w:ilvl="2">
      <w:startOverride w:val="1"/>
    </w:lvlOverride>
  </w:num>
  <w:num w:numId="23">
    <w:abstractNumId w:val="9"/>
    <w:lvlOverride w:ilvl="0">
      <w:startOverride w:val="1"/>
    </w:lvlOverride>
    <w:lvlOverride w:ilvl="1">
      <w:startOverride w:val="1"/>
    </w:lvlOverride>
    <w:lvlOverride w:ilvl="2">
      <w:startOverride w:val="1"/>
    </w:lvlOverride>
  </w:num>
  <w:num w:numId="24">
    <w:abstractNumId w:val="9"/>
    <w:lvlOverride w:ilvl="0">
      <w:startOverride w:val="1"/>
    </w:lvlOverride>
    <w:lvlOverride w:ilvl="1">
      <w:startOverride w:val="1"/>
    </w:lvlOverride>
    <w:lvlOverride w:ilvl="2">
      <w:startOverride w:val="1"/>
    </w:lvlOverride>
  </w:num>
  <w:num w:numId="25">
    <w:abstractNumId w:val="9"/>
    <w:lvlOverride w:ilvl="0">
      <w:startOverride w:val="1"/>
    </w:lvlOverride>
    <w:lvlOverride w:ilvl="1">
      <w:startOverride w:val="1"/>
    </w:lvlOverride>
    <w:lvlOverride w:ilvl="2">
      <w:startOverride w:val="1"/>
    </w:lvlOverride>
  </w:num>
  <w:num w:numId="26">
    <w:abstractNumId w:val="9"/>
    <w:lvlOverride w:ilvl="0">
      <w:startOverride w:val="1"/>
    </w:lvlOverride>
    <w:lvlOverride w:ilvl="1">
      <w:startOverride w:val="1"/>
    </w:lvlOverride>
    <w:lvlOverride w:ilvl="2">
      <w:startOverride w:val="1"/>
    </w:lvlOverride>
  </w:num>
  <w:num w:numId="27">
    <w:abstractNumId w:val="9"/>
    <w:lvlOverride w:ilvl="0">
      <w:startOverride w:val="1"/>
    </w:lvlOverride>
    <w:lvlOverride w:ilvl="1">
      <w:startOverride w:val="1"/>
    </w:lvlOverride>
    <w:lvlOverride w:ilvl="2">
      <w:startOverride w:val="1"/>
    </w:lvlOverride>
  </w:num>
  <w:num w:numId="28">
    <w:abstractNumId w:val="9"/>
    <w:lvlOverride w:ilvl="0">
      <w:startOverride w:val="1"/>
    </w:lvlOverride>
    <w:lvlOverride w:ilvl="1">
      <w:startOverride w:val="1"/>
    </w:lvlOverride>
    <w:lvlOverride w:ilvl="2">
      <w:startOverride w:val="1"/>
    </w:lvlOverride>
  </w:num>
  <w:num w:numId="29">
    <w:abstractNumId w:val="9"/>
    <w:lvlOverride w:ilvl="0">
      <w:startOverride w:val="1"/>
    </w:lvlOverride>
    <w:lvlOverride w:ilvl="1">
      <w:startOverride w:val="1"/>
    </w:lvlOverride>
    <w:lvlOverride w:ilvl="2">
      <w:startOverride w:val="1"/>
    </w:lvlOverride>
  </w:num>
  <w:num w:numId="30">
    <w:abstractNumId w:val="9"/>
    <w:lvlOverride w:ilvl="0">
      <w:startOverride w:val="1"/>
    </w:lvlOverride>
    <w:lvlOverride w:ilvl="1">
      <w:startOverride w:val="1"/>
    </w:lvlOverride>
    <w:lvlOverride w:ilvl="2">
      <w:startOverride w:val="1"/>
    </w:lvlOverride>
  </w:num>
  <w:num w:numId="31">
    <w:abstractNumId w:val="10"/>
    <w:lvlOverride w:ilvl="0">
      <w:startOverride w:val="1"/>
    </w:lvlOverride>
    <w:lvlOverride w:ilvl="1">
      <w:startOverride w:val="1"/>
    </w:lvlOverride>
    <w:lvlOverride w:ilvl="2">
      <w:startOverride w:val="1"/>
    </w:lvlOverride>
  </w:num>
  <w:num w:numId="32">
    <w:abstractNumId w:val="9"/>
    <w:lvlOverride w:ilvl="0">
      <w:startOverride w:val="1"/>
    </w:lvlOverride>
    <w:lvlOverride w:ilvl="1">
      <w:startOverride w:val="1"/>
    </w:lvlOverride>
    <w:lvlOverride w:ilvl="2">
      <w:startOverride w:val="1"/>
    </w:lvlOverride>
  </w:num>
  <w:num w:numId="33">
    <w:abstractNumId w:val="9"/>
    <w:lvlOverride w:ilvl="0">
      <w:startOverride w:val="1"/>
    </w:lvlOverride>
    <w:lvlOverride w:ilvl="1">
      <w:startOverride w:val="1"/>
    </w:lvlOverride>
    <w:lvlOverride w:ilvl="2">
      <w:startOverride w:val="1"/>
    </w:lvlOverride>
  </w:num>
  <w:num w:numId="34">
    <w:abstractNumId w:val="10"/>
    <w:lvlOverride w:ilvl="0">
      <w:startOverride w:val="1"/>
    </w:lvlOverride>
    <w:lvlOverride w:ilvl="1">
      <w:startOverride w:val="1"/>
    </w:lvlOverride>
    <w:lvlOverride w:ilvl="2">
      <w:startOverride w:val="1"/>
    </w:lvlOverride>
  </w:num>
  <w:num w:numId="35">
    <w:abstractNumId w:val="10"/>
    <w:lvlOverride w:ilvl="0">
      <w:startOverride w:val="1"/>
    </w:lvlOverride>
    <w:lvlOverride w:ilvl="1">
      <w:startOverride w:val="1"/>
    </w:lvlOverride>
    <w:lvlOverride w:ilvl="2">
      <w:startOverride w:val="1"/>
    </w:lvlOverride>
  </w:num>
  <w:num w:numId="36">
    <w:abstractNumId w:val="9"/>
    <w:lvlOverride w:ilvl="0">
      <w:startOverride w:val="1"/>
    </w:lvlOverride>
    <w:lvlOverride w:ilvl="1">
      <w:startOverride w:val="1"/>
    </w:lvlOverride>
    <w:lvlOverride w:ilvl="2">
      <w:startOverride w:val="1"/>
    </w:lvlOverride>
  </w:num>
  <w:num w:numId="37">
    <w:abstractNumId w:val="9"/>
    <w:lvlOverride w:ilvl="0">
      <w:startOverride w:val="1"/>
    </w:lvlOverride>
    <w:lvlOverride w:ilvl="1">
      <w:startOverride w:val="1"/>
    </w:lvlOverride>
    <w:lvlOverride w:ilvl="2">
      <w:startOverride w:val="1"/>
    </w:lvlOverride>
  </w:num>
  <w:num w:numId="38">
    <w:abstractNumId w:val="9"/>
    <w:lvlOverride w:ilvl="0">
      <w:startOverride w:val="1"/>
    </w:lvlOverride>
    <w:lvlOverride w:ilvl="1">
      <w:startOverride w:val="1"/>
    </w:lvlOverride>
    <w:lvlOverride w:ilvl="2">
      <w:startOverride w:val="1"/>
    </w:lvlOverride>
  </w:num>
  <w:num w:numId="39">
    <w:abstractNumId w:val="9"/>
    <w:lvlOverride w:ilvl="0">
      <w:startOverride w:val="1"/>
    </w:lvlOverride>
    <w:lvlOverride w:ilvl="1">
      <w:startOverride w:val="1"/>
    </w:lvlOverride>
    <w:lvlOverride w:ilvl="2">
      <w:startOverride w:val="1"/>
    </w:lvlOverride>
  </w:num>
  <w:num w:numId="40">
    <w:abstractNumId w:val="9"/>
    <w:lvlOverride w:ilvl="0">
      <w:startOverride w:val="1"/>
    </w:lvlOverride>
    <w:lvlOverride w:ilvl="1">
      <w:startOverride w:val="1"/>
    </w:lvlOverride>
    <w:lvlOverride w:ilvl="2">
      <w:startOverride w:val="1"/>
    </w:lvlOverride>
  </w:num>
  <w:num w:numId="41">
    <w:abstractNumId w:val="10"/>
    <w:lvlOverride w:ilvl="0">
      <w:startOverride w:val="1"/>
    </w:lvlOverride>
    <w:lvlOverride w:ilvl="1">
      <w:startOverride w:val="1"/>
    </w:lvlOverride>
    <w:lvlOverride w:ilvl="2">
      <w:startOverride w:val="1"/>
    </w:lvlOverride>
  </w:num>
  <w:num w:numId="42">
    <w:abstractNumId w:val="9"/>
    <w:lvlOverride w:ilvl="0">
      <w:startOverride w:val="1"/>
    </w:lvlOverride>
    <w:lvlOverride w:ilvl="1">
      <w:startOverride w:val="1"/>
    </w:lvlOverride>
    <w:lvlOverride w:ilvl="2">
      <w:startOverride w:val="1"/>
    </w:lvlOverride>
  </w:num>
  <w:num w:numId="43">
    <w:abstractNumId w:val="9"/>
    <w:lvlOverride w:ilvl="0">
      <w:startOverride w:val="1"/>
    </w:lvlOverride>
    <w:lvlOverride w:ilvl="1">
      <w:startOverride w:val="1"/>
    </w:lvlOverride>
    <w:lvlOverride w:ilvl="2">
      <w:startOverride w:val="1"/>
    </w:lvlOverride>
  </w:num>
  <w:num w:numId="44">
    <w:abstractNumId w:val="10"/>
    <w:lvlOverride w:ilvl="0">
      <w:startOverride w:val="1"/>
    </w:lvlOverride>
    <w:lvlOverride w:ilvl="1">
      <w:startOverride w:val="1"/>
    </w:lvlOverride>
    <w:lvlOverride w:ilvl="2">
      <w:startOverride w:val="1"/>
    </w:lvlOverride>
  </w:num>
  <w:num w:numId="45">
    <w:abstractNumId w:val="9"/>
    <w:lvlOverride w:ilvl="0">
      <w:startOverride w:val="1"/>
    </w:lvlOverride>
    <w:lvlOverride w:ilvl="1">
      <w:startOverride w:val="1"/>
    </w:lvlOverride>
    <w:lvlOverride w:ilvl="2">
      <w:startOverride w:val="1"/>
    </w:lvlOverride>
  </w:num>
  <w:num w:numId="46">
    <w:abstractNumId w:val="10"/>
    <w:lvlOverride w:ilvl="0">
      <w:startOverride w:val="1"/>
    </w:lvlOverride>
    <w:lvlOverride w:ilvl="1">
      <w:startOverride w:val="1"/>
    </w:lvlOverride>
    <w:lvlOverride w:ilvl="2">
      <w:startOverride w:val="1"/>
    </w:lvlOverride>
  </w:num>
  <w:num w:numId="47">
    <w:abstractNumId w:val="9"/>
    <w:lvlOverride w:ilvl="0">
      <w:startOverride w:val="1"/>
    </w:lvlOverride>
    <w:lvlOverride w:ilvl="1">
      <w:startOverride w:val="1"/>
    </w:lvlOverride>
    <w:lvlOverride w:ilvl="2">
      <w:startOverride w:val="1"/>
    </w:lvlOverride>
  </w:num>
  <w:num w:numId="48">
    <w:abstractNumId w:val="9"/>
    <w:lvlOverride w:ilvl="0">
      <w:startOverride w:val="1"/>
    </w:lvlOverride>
    <w:lvlOverride w:ilvl="1">
      <w:startOverride w:val="1"/>
    </w:lvlOverride>
    <w:lvlOverride w:ilvl="2">
      <w:startOverride w:val="1"/>
    </w:lvlOverride>
  </w:num>
  <w:num w:numId="49">
    <w:abstractNumId w:val="9"/>
    <w:lvlOverride w:ilvl="0">
      <w:startOverride w:val="1"/>
    </w:lvlOverride>
    <w:lvlOverride w:ilvl="1">
      <w:startOverride w:val="1"/>
    </w:lvlOverride>
    <w:lvlOverride w:ilvl="2">
      <w:startOverride w:val="1"/>
    </w:lvlOverride>
  </w:num>
  <w:num w:numId="50">
    <w:abstractNumId w:val="10"/>
    <w:lvlOverride w:ilvl="0">
      <w:startOverride w:val="1"/>
    </w:lvlOverride>
    <w:lvlOverride w:ilvl="1">
      <w:startOverride w:val="1"/>
    </w:lvlOverride>
    <w:lvlOverride w:ilvl="2">
      <w:startOverride w:val="1"/>
    </w:lvlOverride>
  </w:num>
  <w:num w:numId="51">
    <w:abstractNumId w:val="10"/>
    <w:lvlOverride w:ilvl="0">
      <w:startOverride w:val="1"/>
    </w:lvlOverride>
    <w:lvlOverride w:ilvl="1">
      <w:startOverride w:val="1"/>
    </w:lvlOverride>
    <w:lvlOverride w:ilvl="2">
      <w:startOverride w:val="1"/>
    </w:lvlOverride>
  </w:num>
  <w:num w:numId="52">
    <w:abstractNumId w:val="10"/>
    <w:lvlOverride w:ilvl="0">
      <w:startOverride w:val="1"/>
    </w:lvlOverride>
    <w:lvlOverride w:ilvl="1">
      <w:startOverride w:val="1"/>
    </w:lvlOverride>
    <w:lvlOverride w:ilvl="2">
      <w:startOverride w:val="1"/>
    </w:lvlOverride>
  </w:num>
  <w:num w:numId="53">
    <w:abstractNumId w:val="9"/>
    <w:lvlOverride w:ilvl="0">
      <w:startOverride w:val="1"/>
    </w:lvlOverride>
    <w:lvlOverride w:ilvl="1">
      <w:startOverride w:val="1"/>
    </w:lvlOverride>
    <w:lvlOverride w:ilvl="2">
      <w:startOverride w:val="1"/>
    </w:lvlOverride>
  </w:num>
  <w:num w:numId="54">
    <w:abstractNumId w:val="9"/>
    <w:lvlOverride w:ilvl="0">
      <w:startOverride w:val="1"/>
    </w:lvlOverride>
    <w:lvlOverride w:ilvl="1">
      <w:startOverride w:val="1"/>
    </w:lvlOverride>
    <w:lvlOverride w:ilvl="2">
      <w:startOverride w:val="1"/>
    </w:lvlOverride>
  </w:num>
  <w:num w:numId="55">
    <w:abstractNumId w:val="9"/>
    <w:lvlOverride w:ilvl="0">
      <w:startOverride w:val="1"/>
    </w:lvlOverride>
    <w:lvlOverride w:ilvl="1">
      <w:startOverride w:val="1"/>
    </w:lvlOverride>
    <w:lvlOverride w:ilvl="2">
      <w:startOverride w:val="1"/>
    </w:lvlOverride>
  </w:num>
  <w:num w:numId="56">
    <w:abstractNumId w:val="10"/>
    <w:lvlOverride w:ilvl="0">
      <w:startOverride w:val="1"/>
    </w:lvlOverride>
    <w:lvlOverride w:ilvl="1">
      <w:startOverride w:val="1"/>
    </w:lvlOverride>
    <w:lvlOverride w:ilvl="2">
      <w:startOverride w:val="1"/>
    </w:lvlOverride>
  </w:num>
  <w:num w:numId="57">
    <w:abstractNumId w:val="9"/>
    <w:lvlOverride w:ilvl="0">
      <w:startOverride w:val="1"/>
    </w:lvlOverride>
    <w:lvlOverride w:ilvl="1">
      <w:startOverride w:val="1"/>
    </w:lvlOverride>
    <w:lvlOverride w:ilvl="2">
      <w:startOverride w:val="1"/>
    </w:lvlOverride>
  </w:num>
  <w:num w:numId="58">
    <w:abstractNumId w:val="9"/>
    <w:lvlOverride w:ilvl="0">
      <w:startOverride w:val="1"/>
    </w:lvlOverride>
    <w:lvlOverride w:ilvl="1">
      <w:startOverride w:val="1"/>
    </w:lvlOverride>
    <w:lvlOverride w:ilvl="2">
      <w:startOverride w:val="1"/>
    </w:lvlOverride>
  </w:num>
  <w:num w:numId="59">
    <w:abstractNumId w:val="9"/>
    <w:lvlOverride w:ilvl="0">
      <w:startOverride w:val="1"/>
    </w:lvlOverride>
    <w:lvlOverride w:ilvl="1">
      <w:startOverride w:val="1"/>
    </w:lvlOverride>
    <w:lvlOverride w:ilvl="2">
      <w:startOverride w:val="1"/>
    </w:lvlOverride>
  </w:num>
  <w:num w:numId="60">
    <w:abstractNumId w:val="9"/>
    <w:lvlOverride w:ilvl="0">
      <w:startOverride w:val="1"/>
    </w:lvlOverride>
    <w:lvlOverride w:ilvl="1">
      <w:startOverride w:val="1"/>
    </w:lvlOverride>
    <w:lvlOverride w:ilvl="2">
      <w:startOverride w:val="1"/>
    </w:lvlOverride>
  </w:num>
  <w:num w:numId="61">
    <w:abstractNumId w:val="10"/>
    <w:lvlOverride w:ilvl="0">
      <w:startOverride w:val="1"/>
    </w:lvlOverride>
    <w:lvlOverride w:ilvl="1">
      <w:startOverride w:val="1"/>
    </w:lvlOverride>
    <w:lvlOverride w:ilvl="2">
      <w:startOverride w:val="1"/>
    </w:lvlOverride>
  </w:num>
  <w:num w:numId="62">
    <w:abstractNumId w:val="9"/>
    <w:lvlOverride w:ilvl="0">
      <w:startOverride w:val="1"/>
    </w:lvlOverride>
    <w:lvlOverride w:ilvl="1">
      <w:startOverride w:val="1"/>
    </w:lvlOverride>
    <w:lvlOverride w:ilvl="2">
      <w:startOverride w:val="1"/>
    </w:lvlOverride>
  </w:num>
  <w:num w:numId="63">
    <w:abstractNumId w:val="9"/>
    <w:lvlOverride w:ilvl="0">
      <w:startOverride w:val="1"/>
    </w:lvlOverride>
    <w:lvlOverride w:ilvl="1">
      <w:startOverride w:val="1"/>
    </w:lvlOverride>
    <w:lvlOverride w:ilvl="2">
      <w:startOverride w:val="1"/>
    </w:lvlOverride>
  </w:num>
  <w:num w:numId="64">
    <w:abstractNumId w:val="9"/>
    <w:lvlOverride w:ilvl="0">
      <w:startOverride w:val="1"/>
    </w:lvlOverride>
    <w:lvlOverride w:ilvl="1">
      <w:startOverride w:val="1"/>
    </w:lvlOverride>
    <w:lvlOverride w:ilvl="2">
      <w:startOverride w:val="1"/>
    </w:lvlOverride>
  </w:num>
  <w:num w:numId="65">
    <w:abstractNumId w:val="9"/>
    <w:lvlOverride w:ilvl="0">
      <w:startOverride w:val="1"/>
    </w:lvlOverride>
    <w:lvlOverride w:ilvl="1">
      <w:startOverride w:val="1"/>
    </w:lvlOverride>
    <w:lvlOverride w:ilvl="2">
      <w:startOverride w:val="1"/>
    </w:lvlOverride>
  </w:num>
  <w:num w:numId="66">
    <w:abstractNumId w:val="10"/>
    <w:lvlOverride w:ilvl="0">
      <w:startOverride w:val="1"/>
    </w:lvlOverride>
    <w:lvlOverride w:ilvl="1">
      <w:startOverride w:val="1"/>
    </w:lvlOverride>
    <w:lvlOverride w:ilvl="2">
      <w:startOverride w:val="1"/>
    </w:lvlOverride>
  </w:num>
  <w:num w:numId="67">
    <w:abstractNumId w:val="10"/>
    <w:lvlOverride w:ilvl="0">
      <w:startOverride w:val="1"/>
    </w:lvlOverride>
    <w:lvlOverride w:ilvl="1">
      <w:startOverride w:val="1"/>
    </w:lvlOverride>
    <w:lvlOverride w:ilvl="2">
      <w:startOverride w:val="1"/>
    </w:lvlOverride>
  </w:num>
  <w:num w:numId="68">
    <w:abstractNumId w:val="10"/>
    <w:lvlOverride w:ilvl="0">
      <w:startOverride w:val="1"/>
    </w:lvlOverride>
    <w:lvlOverride w:ilvl="1">
      <w:startOverride w:val="1"/>
    </w:lvlOverride>
    <w:lvlOverride w:ilvl="2">
      <w:startOverride w:val="1"/>
    </w:lvlOverride>
  </w:num>
  <w:num w:numId="69">
    <w:abstractNumId w:val="10"/>
    <w:lvlOverride w:ilvl="0">
      <w:startOverride w:val="1"/>
    </w:lvlOverride>
    <w:lvlOverride w:ilvl="1">
      <w:startOverride w:val="1"/>
    </w:lvlOverride>
    <w:lvlOverride w:ilvl="2">
      <w:startOverride w:val="1"/>
    </w:lvlOverride>
  </w:num>
  <w:num w:numId="70">
    <w:abstractNumId w:val="10"/>
    <w:lvlOverride w:ilvl="0">
      <w:startOverride w:val="1"/>
    </w:lvlOverride>
    <w:lvlOverride w:ilvl="1">
      <w:startOverride w:val="1"/>
    </w:lvlOverride>
    <w:lvlOverride w:ilvl="2">
      <w:startOverride w:val="1"/>
    </w:lvlOverride>
  </w:num>
  <w:num w:numId="71">
    <w:abstractNumId w:val="10"/>
    <w:lvlOverride w:ilvl="0">
      <w:startOverride w:val="1"/>
    </w:lvlOverride>
    <w:lvlOverride w:ilvl="1">
      <w:startOverride w:val="1"/>
    </w:lvlOverride>
    <w:lvlOverride w:ilvl="2">
      <w:startOverride w:val="1"/>
    </w:lvlOverride>
  </w:num>
  <w:num w:numId="72">
    <w:abstractNumId w:val="9"/>
    <w:lvlOverride w:ilvl="0">
      <w:startOverride w:val="1"/>
    </w:lvlOverride>
    <w:lvlOverride w:ilvl="1">
      <w:startOverride w:val="1"/>
    </w:lvlOverride>
    <w:lvlOverride w:ilvl="2">
      <w:startOverride w:val="1"/>
    </w:lvlOverride>
  </w:num>
  <w:num w:numId="73">
    <w:abstractNumId w:val="10"/>
    <w:lvlOverride w:ilvl="0">
      <w:startOverride w:val="1"/>
    </w:lvlOverride>
    <w:lvlOverride w:ilvl="1">
      <w:startOverride w:val="1"/>
    </w:lvlOverride>
    <w:lvlOverride w:ilvl="2">
      <w:startOverride w:val="1"/>
    </w:lvlOverride>
  </w:num>
  <w:num w:numId="74">
    <w:abstractNumId w:val="10"/>
    <w:lvlOverride w:ilvl="0">
      <w:startOverride w:val="1"/>
    </w:lvlOverride>
    <w:lvlOverride w:ilvl="1">
      <w:startOverride w:val="1"/>
    </w:lvlOverride>
    <w:lvlOverride w:ilvl="2">
      <w:startOverride w:val="1"/>
    </w:lvlOverride>
  </w:num>
  <w:num w:numId="75">
    <w:abstractNumId w:val="9"/>
    <w:lvlOverride w:ilvl="0">
      <w:startOverride w:val="1"/>
    </w:lvlOverride>
    <w:lvlOverride w:ilvl="1">
      <w:startOverride w:val="1"/>
    </w:lvlOverride>
    <w:lvlOverride w:ilvl="2">
      <w:startOverride w:val="1"/>
    </w:lvlOverride>
  </w:num>
  <w:num w:numId="76">
    <w:abstractNumId w:val="9"/>
    <w:lvlOverride w:ilvl="0">
      <w:startOverride w:val="1"/>
    </w:lvlOverride>
    <w:lvlOverride w:ilvl="1">
      <w:startOverride w:val="1"/>
    </w:lvlOverride>
    <w:lvlOverride w:ilvl="2">
      <w:startOverride w:val="1"/>
    </w:lvlOverride>
  </w:num>
  <w:num w:numId="77">
    <w:abstractNumId w:val="9"/>
    <w:lvlOverride w:ilvl="0">
      <w:startOverride w:val="1"/>
    </w:lvlOverride>
    <w:lvlOverride w:ilvl="1">
      <w:startOverride w:val="1"/>
    </w:lvlOverride>
    <w:lvlOverride w:ilvl="2">
      <w:startOverride w:val="1"/>
    </w:lvlOverride>
  </w:num>
  <w:num w:numId="78">
    <w:abstractNumId w:val="10"/>
    <w:lvlOverride w:ilvl="0">
      <w:startOverride w:val="1"/>
    </w:lvlOverride>
    <w:lvlOverride w:ilvl="1">
      <w:startOverride w:val="1"/>
    </w:lvlOverride>
    <w:lvlOverride w:ilvl="2">
      <w:startOverride w:val="1"/>
    </w:lvlOverride>
  </w:num>
  <w:num w:numId="79">
    <w:abstractNumId w:val="9"/>
    <w:lvlOverride w:ilvl="0">
      <w:startOverride w:val="1"/>
    </w:lvlOverride>
    <w:lvlOverride w:ilvl="1">
      <w:startOverride w:val="1"/>
    </w:lvlOverride>
    <w:lvlOverride w:ilvl="2">
      <w:startOverride w:val="1"/>
    </w:lvlOverride>
  </w:num>
  <w:num w:numId="80">
    <w:abstractNumId w:val="10"/>
    <w:lvlOverride w:ilvl="0">
      <w:startOverride w:val="1"/>
    </w:lvlOverride>
    <w:lvlOverride w:ilvl="1">
      <w:startOverride w:val="1"/>
    </w:lvlOverride>
    <w:lvlOverride w:ilvl="2">
      <w:startOverride w:val="1"/>
    </w:lvlOverride>
  </w:num>
  <w:num w:numId="81">
    <w:abstractNumId w:val="9"/>
    <w:lvlOverride w:ilvl="0">
      <w:startOverride w:val="1"/>
    </w:lvlOverride>
    <w:lvlOverride w:ilvl="1">
      <w:startOverride w:val="1"/>
    </w:lvlOverride>
    <w:lvlOverride w:ilvl="2">
      <w:startOverride w:val="1"/>
    </w:lvlOverride>
  </w:num>
  <w:num w:numId="82">
    <w:abstractNumId w:val="9"/>
    <w:lvlOverride w:ilvl="0">
      <w:startOverride w:val="1"/>
    </w:lvlOverride>
    <w:lvlOverride w:ilvl="1">
      <w:startOverride w:val="1"/>
    </w:lvlOverride>
    <w:lvlOverride w:ilvl="2">
      <w:startOverride w:val="1"/>
    </w:lvlOverride>
  </w:num>
  <w:num w:numId="83">
    <w:abstractNumId w:val="9"/>
    <w:lvlOverride w:ilvl="0">
      <w:startOverride w:val="1"/>
    </w:lvlOverride>
    <w:lvlOverride w:ilvl="1">
      <w:startOverride w:val="1"/>
    </w:lvlOverride>
    <w:lvlOverride w:ilvl="2">
      <w:startOverride w:val="1"/>
    </w:lvlOverride>
  </w:num>
  <w:num w:numId="84">
    <w:abstractNumId w:val="10"/>
    <w:lvlOverride w:ilvl="0">
      <w:startOverride w:val="1"/>
    </w:lvlOverride>
    <w:lvlOverride w:ilvl="1">
      <w:startOverride w:val="1"/>
    </w:lvlOverride>
    <w:lvlOverride w:ilvl="2">
      <w:startOverride w:val="1"/>
    </w:lvlOverride>
  </w:num>
  <w:num w:numId="85">
    <w:abstractNumId w:val="9"/>
    <w:lvlOverride w:ilvl="0">
      <w:startOverride w:val="1"/>
    </w:lvlOverride>
    <w:lvlOverride w:ilvl="1">
      <w:startOverride w:val="1"/>
    </w:lvlOverride>
    <w:lvlOverride w:ilvl="2">
      <w:startOverride w:val="1"/>
    </w:lvlOverride>
  </w:num>
  <w:num w:numId="86">
    <w:abstractNumId w:val="9"/>
    <w:lvlOverride w:ilvl="0">
      <w:startOverride w:val="1"/>
    </w:lvlOverride>
    <w:lvlOverride w:ilvl="1">
      <w:startOverride w:val="1"/>
    </w:lvlOverride>
    <w:lvlOverride w:ilvl="2">
      <w:startOverride w:val="1"/>
    </w:lvlOverride>
  </w:num>
  <w:num w:numId="87">
    <w:abstractNumId w:val="9"/>
    <w:lvlOverride w:ilvl="0">
      <w:startOverride w:val="1"/>
    </w:lvlOverride>
    <w:lvlOverride w:ilvl="1">
      <w:startOverride w:val="1"/>
    </w:lvlOverride>
    <w:lvlOverride w:ilvl="2">
      <w:startOverride w:val="1"/>
    </w:lvlOverride>
  </w:num>
  <w:num w:numId="88">
    <w:abstractNumId w:val="9"/>
    <w:lvlOverride w:ilvl="0">
      <w:startOverride w:val="1"/>
    </w:lvlOverride>
    <w:lvlOverride w:ilvl="1">
      <w:startOverride w:val="1"/>
    </w:lvlOverride>
    <w:lvlOverride w:ilvl="2">
      <w:startOverride w:val="1"/>
    </w:lvlOverride>
  </w:num>
  <w:num w:numId="89">
    <w:abstractNumId w:val="9"/>
    <w:lvlOverride w:ilvl="0">
      <w:startOverride w:val="1"/>
    </w:lvlOverride>
    <w:lvlOverride w:ilvl="1">
      <w:startOverride w:val="1"/>
    </w:lvlOverride>
    <w:lvlOverride w:ilvl="2">
      <w:startOverride w:val="1"/>
    </w:lvlOverride>
  </w:num>
  <w:num w:numId="90">
    <w:abstractNumId w:val="9"/>
    <w:lvlOverride w:ilvl="0">
      <w:startOverride w:val="1"/>
    </w:lvlOverride>
    <w:lvlOverride w:ilvl="1">
      <w:startOverride w:val="1"/>
    </w:lvlOverride>
    <w:lvlOverride w:ilvl="2">
      <w:startOverride w:val="1"/>
    </w:lvlOverride>
  </w:num>
  <w:num w:numId="91">
    <w:abstractNumId w:val="9"/>
    <w:lvlOverride w:ilvl="0">
      <w:startOverride w:val="1"/>
    </w:lvlOverride>
    <w:lvlOverride w:ilvl="1">
      <w:startOverride w:val="1"/>
    </w:lvlOverride>
    <w:lvlOverride w:ilvl="2">
      <w:startOverride w:val="1"/>
    </w:lvlOverride>
  </w:num>
  <w:num w:numId="92">
    <w:abstractNumId w:val="9"/>
    <w:lvlOverride w:ilvl="0">
      <w:startOverride w:val="1"/>
    </w:lvlOverride>
    <w:lvlOverride w:ilvl="1">
      <w:startOverride w:val="1"/>
    </w:lvlOverride>
    <w:lvlOverride w:ilvl="2">
      <w:startOverride w:val="1"/>
    </w:lvlOverride>
  </w:num>
  <w:num w:numId="93">
    <w:abstractNumId w:val="9"/>
    <w:lvlOverride w:ilvl="0">
      <w:startOverride w:val="1"/>
    </w:lvlOverride>
    <w:lvlOverride w:ilvl="1">
      <w:startOverride w:val="1"/>
    </w:lvlOverride>
    <w:lvlOverride w:ilvl="2">
      <w:startOverride w:val="1"/>
    </w:lvlOverride>
  </w:num>
  <w:num w:numId="94">
    <w:abstractNumId w:val="9"/>
    <w:lvlOverride w:ilvl="0">
      <w:startOverride w:val="1"/>
    </w:lvlOverride>
    <w:lvlOverride w:ilvl="1">
      <w:startOverride w:val="1"/>
    </w:lvlOverride>
    <w:lvlOverride w:ilvl="2">
      <w:startOverride w:val="1"/>
    </w:lvlOverride>
  </w:num>
  <w:num w:numId="95">
    <w:abstractNumId w:val="10"/>
    <w:lvlOverride w:ilvl="0">
      <w:startOverride w:val="1"/>
    </w:lvlOverride>
    <w:lvlOverride w:ilvl="1">
      <w:startOverride w:val="1"/>
    </w:lvlOverride>
    <w:lvlOverride w:ilvl="2">
      <w:startOverride w:val="1"/>
    </w:lvlOverride>
  </w:num>
  <w:num w:numId="96">
    <w:abstractNumId w:val="9"/>
    <w:lvlOverride w:ilvl="0">
      <w:startOverride w:val="1"/>
    </w:lvlOverride>
    <w:lvlOverride w:ilvl="1">
      <w:startOverride w:val="1"/>
    </w:lvlOverride>
    <w:lvlOverride w:ilvl="2">
      <w:startOverride w:val="1"/>
    </w:lvlOverride>
  </w:num>
  <w:num w:numId="97">
    <w:abstractNumId w:val="9"/>
    <w:lvlOverride w:ilvl="0">
      <w:startOverride w:val="1"/>
    </w:lvlOverride>
    <w:lvlOverride w:ilvl="1">
      <w:startOverride w:val="1"/>
    </w:lvlOverride>
    <w:lvlOverride w:ilvl="2">
      <w:startOverride w:val="1"/>
    </w:lvlOverride>
  </w:num>
  <w:num w:numId="98">
    <w:abstractNumId w:val="9"/>
    <w:lvlOverride w:ilvl="0">
      <w:startOverride w:val="1"/>
    </w:lvlOverride>
    <w:lvlOverride w:ilvl="1">
      <w:startOverride w:val="1"/>
    </w:lvlOverride>
    <w:lvlOverride w:ilvl="2">
      <w:startOverride w:val="1"/>
    </w:lvlOverride>
  </w:num>
  <w:num w:numId="99">
    <w:abstractNumId w:val="9"/>
    <w:lvlOverride w:ilvl="0">
      <w:startOverride w:val="1"/>
    </w:lvlOverride>
    <w:lvlOverride w:ilvl="1">
      <w:startOverride w:val="1"/>
    </w:lvlOverride>
    <w:lvlOverride w:ilvl="2">
      <w:startOverride w:val="1"/>
    </w:lvlOverride>
  </w:num>
  <w:num w:numId="100">
    <w:abstractNumId w:val="9"/>
    <w:lvlOverride w:ilvl="0">
      <w:startOverride w:val="1"/>
    </w:lvlOverride>
    <w:lvlOverride w:ilvl="1">
      <w:startOverride w:val="1"/>
    </w:lvlOverride>
    <w:lvlOverride w:ilvl="2">
      <w:startOverride w:val="1"/>
    </w:lvlOverride>
  </w:num>
  <w:num w:numId="101">
    <w:abstractNumId w:val="9"/>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30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5A657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5A657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line="264" w:lineRule="auto"/>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etabolomicsworkbench.org/tools/mw_rest.php" TargetMode="External"/><Relationship Id="rId12" Type="http://schemas.openxmlformats.org/officeDocument/2006/relationships/hyperlink" Target="https://www.metabolomicsworkbench.org/data/tutorials.php" TargetMode="External"/><Relationship Id="rId13" Type="http://schemas.openxmlformats.org/officeDocument/2006/relationships/hyperlink" Target="https://academic.oup.com/nar/article/44/D1/D463/2502588" TargetMode="External"/><Relationship Id="rId14" Type="http://schemas.openxmlformats.org/officeDocument/2006/relationships/hyperlink" Target="https://doi.org/10.1038/s41592-020-01009-y" TargetMode="External"/><Relationship Id="rId15" Type="http://schemas.openxmlformats.org/officeDocument/2006/relationships/hyperlink" Target="https://www.motrpac-data.org/knowledge-center/project-overview/faq" TargetMode="External"/><Relationship Id="rId16" Type="http://schemas.openxmlformats.org/officeDocument/2006/relationships/hyperlink" Target="https://www.motrpac-data.org/knowledge-center/dissemination/data-access/data-hub" TargetMode="External"/><Relationship Id="rId17" Type="http://schemas.openxmlformats.org/officeDocument/2006/relationships/hyperlink" Target="https://commonfund.nih.gov/nutritionforprecisionhealth/frequently-asked-questions" TargetMode="External"/><Relationship Id="rId18" Type="http://schemas.openxmlformats.org/officeDocument/2006/relationships/hyperlink" Target="https://doi.org/10.1038/sdata.2016.18" TargetMode="External"/><Relationship Id="rId19" Type="http://schemas.openxmlformats.org/officeDocument/2006/relationships/hyperlink" Target="https://doi.org/10.1152/japplphysiol.00102.2024" TargetMode="External"/><Relationship Id="rId20" Type="http://schemas.openxmlformats.org/officeDocument/2006/relationships/hyperlink" Target="https://d1yw74buhe0ts0.cloudfront.net/docs/MoTrPAC_Adult_Study_Protocol.pdf" TargetMode="External"/><Relationship Id="rId21" Type="http://schemas.openxmlformats.org/officeDocument/2006/relationships/hyperlink" Target="https://commonfund.nih.gov/nutritionforprecisionhealth" TargetMode="External"/><Relationship Id="rId22" Type="http://schemas.openxmlformats.org/officeDocument/2006/relationships/hyperlink" Target="https://support.researchallofus.org/hc/en-us/articles/41981123613716-Researcher-Workbench" TargetMode="External"/><Relationship Id="rId23" Type="http://schemas.openxmlformats.org/officeDocument/2006/relationships/hyperlink" Target="https://www.metabolomicsworkbench.org/databases/refmet/index.php" TargetMode="External"/><Relationship Id="rId24" Type="http://schemas.openxmlformats.org/officeDocument/2006/relationships/hyperlink" Target="https://www.metabolomicsworkbench.org/databases/refmet/refmet_help.php" TargetMode="External"/><Relationship Id="rId25" Type="http://schemas.openxmlformats.org/officeDocument/2006/relationships/hyperlink" Target="https://doi.org/10.3390/metabo11030163" TargetMode="External"/><Relationship Id="rId26" Type="http://schemas.openxmlformats.org/officeDocument/2006/relationships/hyperlink" Target="https://doi.org/10.1007/s11306-007-0082-2" TargetMode="External"/><Relationship Id="rId27" Type="http://schemas.openxmlformats.org/officeDocument/2006/relationships/hyperlink" Target="https://www.metabolomicsworkbench.org/data/DRCCMetadata.php?StudyID=ST001521" TargetMode="External"/><Relationship Id="rId28" Type="http://schemas.openxmlformats.org/officeDocument/2006/relationships/hyperlink" Target="https://www.metabolomicsworkbench.org/rest/study/study_id/ST001521/summary" TargetMode="External"/><Relationship Id="rId29" Type="http://schemas.openxmlformats.org/officeDocument/2006/relationships/hyperlink" Target="https://www.metabolomicsworkbench.org/data/DRCCMetadata.php?StudyID=ST003348" TargetMode="External"/><Relationship Id="rId30" Type="http://schemas.openxmlformats.org/officeDocument/2006/relationships/hyperlink" Target="https://www.metabolomicsworkbench.org/rest/study/study_id/ST003348/summary" TargetMode="External"/><Relationship Id="rId31" Type="http://schemas.openxmlformats.org/officeDocument/2006/relationships/hyperlink" Target="https://doi.org/10.1098/rsta.2015.0202" TargetMode="External"/><Relationship Id="rId32" Type="http://schemas.openxmlformats.org/officeDocument/2006/relationships/hyperlink" Target="https://www.metabolomicsworkbench.org/data/MW-MetENP-demo.pdf" TargetMode="External"/><Relationship Id="rId33" Type="http://schemas.openxmlformats.org/officeDocument/2006/relationships/hyperlink" Target="https://motrpac-data.org/knowledge-center/dissemination/data-access/onboarding" TargetMode="External"/><Relationship Id="rId34" Type="http://schemas.openxmlformats.org/officeDocument/2006/relationships/hyperlink" Target="https://support.researchallofus.org/hc/en-us/articles/34814131370388-Policy-Questions" TargetMode="External"/><Relationship Id="rId35" Type="http://schemas.openxmlformats.org/officeDocument/2006/relationships/hyperlink" Target="https://www.allofus.nih.gov/protecting-data-and-privacy/research-projects-all-us-data/" TargetMode="External"/><Relationship Id="rId36" Type="http://schemas.openxmlformats.org/officeDocument/2006/relationships/image" Target="media/image1.png"/><Relationship Id="rId37" Type="http://schemas.openxmlformats.org/officeDocument/2006/relationships/image" Target="media/image2.png"/><Relationship Id="rId38" Type="http://schemas.openxmlformats.org/officeDocument/2006/relationships/hyperlink" Target="https://creativecommons.org/licenses/by/4.0/" TargetMode="External"/><Relationship Id="rId39" Type="http://schemas.openxmlformats.org/officeDocument/2006/relationships/hyperlink" Target="data/provenance.json" TargetMode="External"/><Relationship Id="rId40" Type="http://schemas.openxmlformats.org/officeDocument/2006/relationships/hyperlink" Target="../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Metabo-Diet Learner Guide</dc:title>
  <dc:subject>Five-lesson learner guide for phenotype-to-metabolome harmonization.</dc:subject>
  <dc:creator>Metabo-Diet Training Module</dc:creator>
  <cp:keywords>metabolomics, harmonization, diet, exercise, Metabolomics Workbench, CFDE</cp:keywords>
  <dc:description>Generated from version-controlled curriculum sources.</dc:description>
  <cp:lastModifiedBy/>
  <cp:revision>1</cp:revision>
  <dcterms:created xsi:type="dcterms:W3CDTF">2013-12-23T23:15:00Z</dcterms:created>
  <dcterms:modified xsi:type="dcterms:W3CDTF">2013-12-23T23:15:00Z</dcterms:modified>
  <cp:category/>
</cp:coreProperties>
</file>