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60"/>
        <w:jc w:val="center"/>
      </w:pPr>
      <w:r>
        <w:rPr>
          <w:rFonts w:ascii="Calibri" w:hAnsi="Calibri"/>
          <w:b/>
          <w:color w:val="9A6B12"/>
          <w:sz w:val="21"/>
        </w:rPr>
        <w:t>INSTRUCTOR PACKET</w:t>
      </w:r>
    </w:p>
    <w:p>
      <w:pPr>
        <w:pStyle w:val="Title"/>
        <w:jc w:val="center"/>
      </w:pPr>
      <w:r>
        <w:t>Metabo-Diet</w:t>
      </w:r>
    </w:p>
    <w:p>
      <w:pPr>
        <w:pStyle w:val="Subtitle"/>
        <w:jc w:val="center"/>
      </w:pPr>
      <w:r>
        <w:t>Harmonizing Dietary and Exercise Phenotypes</w:t>
      </w:r>
    </w:p>
    <w:p>
      <w:pPr>
        <w:pStyle w:val="Subtitle"/>
        <w:spacing w:after="560"/>
        <w:jc w:val="center"/>
      </w:pPr>
      <w:r>
        <w:t>with Metabolomics Across CFDE Resources</w:t>
      </w:r>
    </w:p>
    <w:p>
      <w:pPr>
        <w:spacing w:after="1440"/>
        <w:jc w:val="center"/>
      </w:pPr>
      <w:r>
        <w:rPr>
          <w:rFonts w:ascii="Calibri" w:hAnsi="Calibri"/>
          <w:b/>
          <w:color w:val="9A6B12"/>
          <w:sz w:val="21"/>
        </w:rPr>
        <w:t>Facilitation, assessment, and scientific-safety resources</w:t>
      </w:r>
    </w:p>
    <w:p>
      <w:pPr>
        <w:spacing w:after="80"/>
        <w:jc w:val="center"/>
      </w:pPr>
      <w:r>
        <w:rPr>
          <w:rFonts w:ascii="Calibri" w:hAnsi="Calibri"/>
          <w:b/>
          <w:color w:val="203748"/>
          <w:sz w:val="24"/>
        </w:rPr>
        <w:t>Release 1.0  |  August 2026</w:t>
      </w:r>
    </w:p>
    <w:p>
      <w:pPr>
        <w:spacing w:after="360"/>
        <w:jc w:val="center"/>
      </w:pPr>
      <w:r>
        <w:rPr>
          <w:rFonts w:ascii="Calibri" w:hAnsi="Calibri"/>
          <w:i/>
          <w:color w:val="5A6570"/>
          <w:sz w:val="19"/>
        </w:rPr>
        <w:t>Instructor-only: keep assessment keys hidden until learner submission</w:t>
      </w:r>
    </w:p>
    <w:p>
      <w:r>
        <w:br w:type="page"/>
      </w:r>
    </w:p>
    <w:p>
      <w:pPr>
        <w:pStyle w:val="Heading1"/>
      </w:pPr>
      <w:r>
        <w:t>Contents</w:t>
      </w:r>
    </w:p>
    <w:p>
      <w:r>
        <w:rPr>
          <w:rFonts w:ascii="Calibri" w:hAnsi="Calibri"/>
          <w:color w:val="222222"/>
        </w:rPr>
        <w:t>In Word, use the Navigation pane. In the PDF, use this contents list or search for a descriptive heading.</w:t>
      </w:r>
    </w:p>
    <w:p>
      <w:pPr>
        <w:ind w:left="259" w:hanging="259"/>
      </w:pPr>
      <w:r>
        <w:rPr>
          <w:rFonts w:ascii="Calibri" w:hAnsi="Calibri"/>
          <w:b/>
          <w:color w:val="9A6B12"/>
          <w:sz w:val="21"/>
        </w:rPr>
        <w:t xml:space="preserve">01  </w:t>
      </w:r>
      <w:r>
        <w:rPr>
          <w:rFonts w:ascii="Calibri" w:hAnsi="Calibri"/>
          <w:b/>
          <w:color w:val="203748"/>
          <w:sz w:val="22"/>
        </w:rPr>
        <w:t>Instructor guide and session plan</w:t>
      </w:r>
    </w:p>
    <w:p>
      <w:pPr>
        <w:ind w:left="259" w:hanging="259"/>
      </w:pPr>
      <w:r>
        <w:rPr>
          <w:rFonts w:ascii="Calibri" w:hAnsi="Calibri"/>
          <w:b/>
          <w:color w:val="9A6B12"/>
          <w:sz w:val="21"/>
        </w:rPr>
        <w:t xml:space="preserve">02  </w:t>
      </w:r>
      <w:r>
        <w:rPr>
          <w:rFonts w:ascii="Calibri" w:hAnsi="Calibri"/>
          <w:b/>
          <w:color w:val="203748"/>
          <w:sz w:val="22"/>
        </w:rPr>
        <w:t>Objective-instruction-assessment map</w:t>
      </w:r>
    </w:p>
    <w:p>
      <w:pPr>
        <w:ind w:left="259" w:hanging="259"/>
      </w:pPr>
      <w:r>
        <w:rPr>
          <w:rFonts w:ascii="Calibri" w:hAnsi="Calibri"/>
          <w:b/>
          <w:color w:val="9A6B12"/>
          <w:sz w:val="21"/>
        </w:rPr>
        <w:t xml:space="preserve">03  </w:t>
      </w:r>
      <w:r>
        <w:rPr>
          <w:rFonts w:ascii="Calibri" w:hAnsi="Calibri"/>
          <w:b/>
          <w:color w:val="203748"/>
          <w:sz w:val="22"/>
        </w:rPr>
        <w:t>Scientific guardrails and troubleshooting</w:t>
      </w:r>
    </w:p>
    <w:p>
      <w:pPr>
        <w:ind w:left="259" w:hanging="259"/>
      </w:pPr>
      <w:r>
        <w:rPr>
          <w:rFonts w:ascii="Calibri" w:hAnsi="Calibri"/>
          <w:b/>
          <w:color w:val="9A6B12"/>
          <w:sz w:val="21"/>
        </w:rPr>
        <w:t xml:space="preserve">04  </w:t>
      </w:r>
      <w:r>
        <w:rPr>
          <w:rFonts w:ascii="Calibri" w:hAnsi="Calibri"/>
          <w:b/>
          <w:color w:val="203748"/>
          <w:sz w:val="22"/>
        </w:rPr>
        <w:t>Answer and rationale keys</w:t>
      </w:r>
    </w:p>
    <w:p>
      <w:pPr>
        <w:ind w:left="259" w:hanging="259"/>
      </w:pPr>
      <w:r>
        <w:rPr>
          <w:rFonts w:ascii="Calibri" w:hAnsi="Calibri"/>
          <w:b/>
          <w:color w:val="9A6B12"/>
          <w:sz w:val="21"/>
        </w:rPr>
        <w:t xml:space="preserve">05  </w:t>
      </w:r>
      <w:r>
        <w:rPr>
          <w:rFonts w:ascii="Calibri" w:hAnsi="Calibri"/>
          <w:b/>
          <w:color w:val="203748"/>
          <w:sz w:val="22"/>
        </w:rPr>
        <w:t>Instructor cohort-comparison worksheet</w:t>
      </w:r>
    </w:p>
    <w:p>
      <w:pPr>
        <w:ind w:left="259" w:hanging="259"/>
      </w:pPr>
      <w:r>
        <w:rPr>
          <w:rFonts w:ascii="Calibri" w:hAnsi="Calibri"/>
          <w:b/>
          <w:color w:val="9A6B12"/>
          <w:sz w:val="21"/>
        </w:rPr>
        <w:t xml:space="preserve">06  </w:t>
      </w:r>
      <w:r>
        <w:rPr>
          <w:rFonts w:ascii="Calibri" w:hAnsi="Calibri"/>
          <w:b/>
          <w:color w:val="203748"/>
          <w:sz w:val="22"/>
        </w:rPr>
        <w:t>Instructor metabolite/metadata crosswalk</w:t>
      </w:r>
    </w:p>
    <w:p>
      <w:pPr>
        <w:ind w:left="259" w:hanging="259"/>
      </w:pPr>
      <w:r>
        <w:rPr>
          <w:rFonts w:ascii="Calibri" w:hAnsi="Calibri"/>
          <w:b/>
          <w:color w:val="9A6B12"/>
          <w:sz w:val="21"/>
        </w:rPr>
        <w:t xml:space="preserve">07  </w:t>
      </w:r>
      <w:r>
        <w:rPr>
          <w:rFonts w:ascii="Calibri" w:hAnsi="Calibri"/>
          <w:b/>
          <w:color w:val="203748"/>
          <w:sz w:val="22"/>
        </w:rPr>
        <w:t>Instructor access-tier transfer checklist</w:t>
      </w:r>
    </w:p>
    <w:p>
      <w:pPr>
        <w:ind w:left="259" w:hanging="259"/>
      </w:pPr>
      <w:r>
        <w:rPr>
          <w:rFonts w:ascii="Calibri" w:hAnsi="Calibri"/>
          <w:b/>
          <w:color w:val="9A6B12"/>
          <w:sz w:val="21"/>
        </w:rPr>
        <w:t xml:space="preserve">08  </w:t>
      </w:r>
      <w:r>
        <w:rPr>
          <w:rFonts w:ascii="Calibri" w:hAnsi="Calibri"/>
          <w:b/>
          <w:color w:val="203748"/>
          <w:sz w:val="22"/>
        </w:rPr>
        <w:t>Release provenance</w:t>
      </w:r>
    </w:p>
    <w:p>
      <w:r>
        <w:br w:type="page"/>
      </w:r>
    </w:p>
    <w:p>
      <w:pPr>
        <w:pStyle w:val="Heading1"/>
      </w:pPr>
      <w:r>
        <w:rPr>
          <w:rFonts w:ascii="Calibri" w:hAnsi="Calibri"/>
          <w:color w:val="222222"/>
        </w:rPr>
        <w:t>Metabo-Diet instructor guide</w:t>
      </w:r>
    </w:p>
    <w:p>
      <w:pPr>
        <w:pStyle w:val="Heading2"/>
      </w:pPr>
      <w:r>
        <w:rPr>
          <w:rFonts w:ascii="Calibri" w:hAnsi="Calibri"/>
          <w:color w:val="222222"/>
        </w:rPr>
        <w:t>Module at a glance</w:t>
      </w:r>
    </w:p>
    <w:p>
      <w:r>
        <w:rPr>
          <w:rFonts w:ascii="Calibri" w:hAnsi="Calibri"/>
          <w:b/>
          <w:color w:val="222222"/>
        </w:rPr>
        <w:t>Title:</w:t>
      </w:r>
      <w:r>
        <w:rPr>
          <w:rFonts w:ascii="Calibri" w:hAnsi="Calibri"/>
          <w:color w:val="222222"/>
        </w:rPr>
        <w:t xml:space="preserve"> Metabo-Diet: Harmonizing Dietary and Exercise Phenotypes with Metabolomics Across CFDE Resources</w:t>
      </w:r>
    </w:p>
    <w:p>
      <w:r>
        <w:rPr>
          <w:rFonts w:ascii="Calibri" w:hAnsi="Calibri"/>
          <w:b/>
          <w:color w:val="222222"/>
        </w:rPr>
        <w:t>Level:</w:t>
      </w:r>
      <w:r>
        <w:rPr>
          <w:rFonts w:ascii="Calibri" w:hAnsi="Calibri"/>
          <w:color w:val="222222"/>
        </w:rPr>
        <w:t xml:space="preserve"> Intermediate</w:t>
      </w:r>
    </w:p>
    <w:p>
      <w:r>
        <w:rPr>
          <w:rFonts w:ascii="Calibri" w:hAnsi="Calibri"/>
          <w:b/>
          <w:color w:val="222222"/>
        </w:rPr>
        <w:t>Instructional time:</w:t>
      </w:r>
      <w:r>
        <w:rPr>
          <w:rFonts w:ascii="Calibri" w:hAnsi="Calibri"/>
          <w:color w:val="222222"/>
        </w:rPr>
        <w:t xml:space="preserve"> 140 minutes</w:t>
      </w:r>
    </w:p>
    <w:p>
      <w:r>
        <w:rPr>
          <w:rFonts w:ascii="Calibri" w:hAnsi="Calibri"/>
          <w:b/>
          <w:color w:val="222222"/>
        </w:rPr>
        <w:t>Primary format:</w:t>
      </w:r>
      <w:r>
        <w:rPr>
          <w:rFonts w:ascii="Calibri" w:hAnsi="Calibri"/>
          <w:color w:val="222222"/>
        </w:rPr>
        <w:t xml:space="preserve"> Guided mini-lessons, structured worksheets, and an interactive Python notebook</w:t>
      </w:r>
    </w:p>
    <w:p>
      <w:r>
        <w:rPr>
          <w:rFonts w:ascii="Calibri" w:hAnsi="Calibri"/>
          <w:b/>
          <w:color w:val="222222"/>
        </w:rPr>
        <w:t>Hands-on data source:</w:t>
      </w:r>
      <w:r>
        <w:rPr>
          <w:rFonts w:ascii="Calibri" w:hAnsi="Calibri"/>
          <w:color w:val="222222"/>
        </w:rPr>
        <w:t xml:space="preserve"> Public Metabolomics Workbench studies only</w:t>
      </w:r>
    </w:p>
    <w:p>
      <w:r>
        <w:rPr>
          <w:rFonts w:ascii="Calibri" w:hAnsi="Calibri"/>
          <w:b/>
          <w:color w:val="222222"/>
        </w:rPr>
        <w:t>Design framework:</w:t>
      </w:r>
      <w:r>
        <w:rPr>
          <w:rFonts w:ascii="Calibri" w:hAnsi="Calibri"/>
          <w:color w:val="222222"/>
        </w:rPr>
        <w:t xml:space="preserve"> Backward design with Bloom progression from understand to apply, analyze, evaluate, and create</w:t>
      </w:r>
    </w:p>
    <w:p>
      <w:r>
        <w:rPr>
          <w:rFonts w:ascii="Calibri" w:hAnsi="Calibri"/>
          <w:color w:val="222222"/>
        </w:rPr>
        <w:t>This module teaches learners to decide what the two studies can support. Keeping an incompatible field, feature, matrix, timepoint, or quantitative table separate is an acceptable result.</w:t>
      </w:r>
    </w:p>
    <w:p>
      <w:pPr>
        <w:spacing w:before="100" w:after="120"/>
        <w:ind w:left="259" w:right="115"/>
        <w:shd w:fill="F4F6F9"/>
        <w:pBdr>
          <w:left w:val="single" w:sz="16" w:space="8" w:color="2E74B5"/>
        </w:pBdr>
      </w:pPr>
      <w:r>
        <w:rPr>
          <w:rFonts w:ascii="Calibri" w:hAnsi="Calibri"/>
          <w:b/>
          <w:color w:val="1F4D78"/>
        </w:rPr>
        <w:t>Scope:</w:t>
      </w:r>
      <w:r>
        <w:rPr>
          <w:rFonts w:ascii="Calibri" w:hAnsi="Calibri"/>
          <w:color w:val="1F4D78"/>
        </w:rPr>
        <w:t xml:space="preserve"> The module compares metadata structure and reviewed analyte-name coverage and performs quantitative exploration within each study. It does not pool quantitative values across the two studies or estimate a diet-versus-exercise causal effect.</w:t>
      </w:r>
    </w:p>
    <w:p>
      <w:pPr>
        <w:pStyle w:val="Heading2"/>
      </w:pPr>
      <w:r>
        <w:rPr>
          <w:rFonts w:ascii="Calibri" w:hAnsi="Calibri"/>
          <w:color w:val="222222"/>
        </w:rPr>
        <w:t>Audience and prerequisites</w:t>
      </w:r>
    </w:p>
    <w:p>
      <w:r>
        <w:rPr>
          <w:rFonts w:ascii="Calibri" w:hAnsi="Calibri"/>
          <w:color w:val="222222"/>
        </w:rPr>
        <w:t>The module is intended for graduate students, postdoctoral scholars, research staff, and analysts in metabolomics, nutrition, exercise biology, translational omics, or computational biology.</w:t>
      </w:r>
    </w:p>
    <w:p>
      <w:r>
        <w:rPr>
          <w:rFonts w:ascii="Calibri" w:hAnsi="Calibri"/>
          <w:color w:val="222222"/>
        </w:rPr>
        <w:t>Learners should be able to:</w:t>
      </w:r>
    </w:p>
    <w:p>
      <w:pPr>
        <w:numPr>
          <w:ilvl w:val="0"/>
          <w:numId w:val="10"/>
        </w:numPr>
        <w:spacing w:after="80" w:line="300" w:lineRule="auto"/>
      </w:pPr>
      <w:r>
        <w:rPr>
          <w:rFonts w:ascii="Calibri" w:hAnsi="Calibri"/>
          <w:color w:val="222222"/>
        </w:rPr>
        <w:t>Read a rectangular data table.</w:t>
      </w:r>
    </w:p>
    <w:p>
      <w:pPr>
        <w:numPr>
          <w:ilvl w:val="0"/>
          <w:numId w:val="10"/>
        </w:numPr>
        <w:spacing w:after="80" w:line="300" w:lineRule="auto"/>
      </w:pPr>
      <w:r>
        <w:rPr>
          <w:rFonts w:ascii="Calibri" w:hAnsi="Calibri"/>
          <w:color w:val="222222"/>
        </w:rPr>
        <w:t>Read guided Python and pandas cells and change the named values when prompted.</w:t>
      </w:r>
    </w:p>
    <w:p>
      <w:pPr>
        <w:numPr>
          <w:ilvl w:val="0"/>
          <w:numId w:val="10"/>
        </w:numPr>
        <w:spacing w:after="80" w:line="300" w:lineRule="auto"/>
      </w:pPr>
      <w:r>
        <w:rPr>
          <w:rFonts w:ascii="Calibri" w:hAnsi="Calibri"/>
          <w:color w:val="222222"/>
        </w:rPr>
        <w:t>Interpret a scatterplot.</w:t>
      </w:r>
    </w:p>
    <w:p>
      <w:pPr>
        <w:numPr>
          <w:ilvl w:val="0"/>
          <w:numId w:val="10"/>
        </w:numPr>
        <w:spacing w:after="80" w:line="300" w:lineRule="auto"/>
      </w:pPr>
      <w:r>
        <w:rPr>
          <w:rFonts w:ascii="Calibri" w:hAnsi="Calibri"/>
          <w:color w:val="222222"/>
        </w:rPr>
        <w:t>Recognize samples, variables, and missing values.</w:t>
      </w:r>
    </w:p>
    <w:p>
      <w:pPr>
        <w:numPr>
          <w:ilvl w:val="0"/>
          <w:numId w:val="10"/>
        </w:numPr>
        <w:spacing w:after="80" w:line="300" w:lineRule="auto"/>
      </w:pPr>
      <w:r>
        <w:rPr>
          <w:rFonts w:ascii="Calibri" w:hAnsi="Calibri"/>
          <w:color w:val="222222"/>
        </w:rPr>
        <w:t>Explain at a basic level what metabolomics measures.</w:t>
      </w:r>
    </w:p>
    <w:p>
      <w:r>
        <w:rPr>
          <w:rFonts w:ascii="Calibri" w:hAnsi="Calibri"/>
          <w:color w:val="222222"/>
        </w:rPr>
        <w:t>No prior Metabolomics Workbench, RefMet, MoTrPAC, NPH, or All of Us experience is required.</w:t>
      </w:r>
    </w:p>
    <w:p>
      <w:r>
        <w:rPr>
          <w:rFonts w:ascii="Calibri" w:hAnsi="Calibri"/>
          <w:color w:val="222222"/>
        </w:rPr>
        <w:t>No prior terminal or Jupyter experience is required for the guided path, but learners need basic familiarity with tables and scatterplots. The module is not a general Python course. Direct first-time setup appears before the pretest; R is optional.</w:t>
      </w:r>
    </w:p>
    <w:p>
      <w:pPr>
        <w:pStyle w:val="Heading2"/>
      </w:pPr>
      <w:r>
        <w:rPr>
          <w:rFonts w:ascii="Calibri" w:hAnsi="Calibri"/>
          <w:color w:val="222222"/>
        </w:rPr>
        <w:t>Learning objectives</w:t>
      </w:r>
    </w:p>
    <w:p>
      <w:r>
        <w:rPr>
          <w:rFonts w:ascii="Calibri" w:hAnsi="Calibri"/>
          <w:color w:val="222222"/>
        </w:rPr>
        <w:t>By the end of the module, learners will be able to:</w:t>
      </w:r>
    </w:p>
    <w:p>
      <w:pPr>
        <w:numPr>
          <w:ilvl w:val="0"/>
          <w:numId w:val="11"/>
        </w:numPr>
        <w:spacing w:after="80" w:line="300" w:lineRule="auto"/>
      </w:pPr>
      <w:r>
        <w:rPr>
          <w:rFonts w:ascii="Calibri" w:hAnsi="Calibri"/>
          <w:b/>
          <w:color w:val="222222"/>
        </w:rPr>
        <w:t>LO1:</w:t>
      </w:r>
      <w:r>
        <w:rPr>
          <w:rFonts w:ascii="Calibri" w:hAnsi="Calibri"/>
          <w:color w:val="222222"/>
        </w:rPr>
        <w:t xml:space="preserve"> Identify and compare intervention structure, specimen context, timepoint design, and clinical or behavioral phenotype representation across the two Metabolomics Workbench studies.</w:t>
      </w:r>
    </w:p>
    <w:p>
      <w:pPr>
        <w:numPr>
          <w:ilvl w:val="0"/>
          <w:numId w:val="11"/>
        </w:numPr>
        <w:spacing w:after="80" w:line="300" w:lineRule="auto"/>
      </w:pPr>
      <w:r>
        <w:rPr>
          <w:rFonts w:ascii="Calibri" w:hAnsi="Calibri"/>
          <w:b/>
          <w:color w:val="222222"/>
        </w:rPr>
        <w:t>LO2:</w:t>
      </w:r>
      <w:r>
        <w:rPr>
          <w:rFonts w:ascii="Calibri" w:hAnsi="Calibri"/>
          <w:color w:val="222222"/>
        </w:rPr>
        <w:t xml:space="preserve"> Describe how study design, metadata provenance, analytical platform, and preprocessing influence what can and cannot be concluded from cross-study comparison.</w:t>
      </w:r>
    </w:p>
    <w:p>
      <w:pPr>
        <w:numPr>
          <w:ilvl w:val="0"/>
          <w:numId w:val="11"/>
        </w:numPr>
        <w:spacing w:after="80" w:line="300" w:lineRule="auto"/>
      </w:pPr>
      <w:r>
        <w:rPr>
          <w:rFonts w:ascii="Calibri" w:hAnsi="Calibri"/>
          <w:b/>
          <w:color w:val="222222"/>
        </w:rPr>
        <w:t>LO3:</w:t>
      </w:r>
      <w:r>
        <w:rPr>
          <w:rFonts w:ascii="Calibri" w:hAnsi="Calibri"/>
          <w:color w:val="222222"/>
        </w:rPr>
        <w:t xml:space="preserve"> Apply a RefMet-centered workflow that aligns analyte names, specimen and time semantics, variables, and units while recording field-level decisions.</w:t>
      </w:r>
    </w:p>
    <w:p>
      <w:pPr>
        <w:numPr>
          <w:ilvl w:val="0"/>
          <w:numId w:val="11"/>
        </w:numPr>
        <w:spacing w:after="80" w:line="300" w:lineRule="auto"/>
      </w:pPr>
      <w:r>
        <w:rPr>
          <w:rFonts w:ascii="Calibri" w:hAnsi="Calibri"/>
          <w:b/>
          <w:color w:val="222222"/>
        </w:rPr>
        <w:t>LO4:</w:t>
      </w:r>
      <w:r>
        <w:rPr>
          <w:rFonts w:ascii="Calibri" w:hAnsi="Calibri"/>
          <w:color w:val="222222"/>
        </w:rPr>
        <w:t xml:space="preserve"> Retrieve and analyze public MW data through the REST API and interpret overlap, class summaries, and within-study PCA in context.</w:t>
      </w:r>
    </w:p>
    <w:p>
      <w:pPr>
        <w:numPr>
          <w:ilvl w:val="0"/>
          <w:numId w:val="11"/>
        </w:numPr>
        <w:spacing w:after="80" w:line="300" w:lineRule="auto"/>
      </w:pPr>
      <w:r>
        <w:rPr>
          <w:rFonts w:ascii="Calibri" w:hAnsi="Calibri"/>
          <w:b/>
          <w:color w:val="222222"/>
        </w:rPr>
        <w:t>LO5:</w:t>
      </w:r>
      <w:r>
        <w:rPr>
          <w:rFonts w:ascii="Calibri" w:hAnsi="Calibri"/>
          <w:color w:val="222222"/>
        </w:rPr>
        <w:t xml:space="preserve"> Evaluate the current access pattern of a candidate resource and adapt retrieval, compute, storage, cache, and output architecture accordingly.</w:t>
      </w:r>
    </w:p>
    <w:p>
      <w:pPr>
        <w:pStyle w:val="Heading2"/>
      </w:pPr>
      <w:r>
        <w:rPr>
          <w:rFonts w:ascii="Calibri" w:hAnsi="Calibri"/>
          <w:color w:val="222222"/>
        </w:rPr>
        <w:t>Objective-instruction-assessment alignment</w:t>
      </w:r>
    </w:p>
    <w:tbl>
      <w:tblPr>
        <w:tblStyle w:val="TableGrid"/>
        <w:tblW w:type="dxa" w:w="9360"/>
        <w:jc w:val="left"/>
        <w:tblLayout w:type="fixed"/>
        <w:tblLook w:firstColumn="1" w:firstRow="1" w:lastColumn="0" w:lastRow="0" w:noHBand="0" w:noVBand="1" w:val="04A0"/>
        <w:tblInd w:w="120" w:type="dxa"/>
      </w:tblPr>
      <w:tblGrid>
        <w:gridCol w:w="1508"/>
        <w:gridCol w:w="2648"/>
        <w:gridCol w:w="2555"/>
        <w:gridCol w:w="2649"/>
      </w:tblGrid>
      <w:tr>
        <w:trPr>
          <w:cantSplit w:val="true"/>
          <w:tblHeader w:val="true"/>
        </w:trPr>
        <w:tc>
          <w:tcPr>
            <w:tcW w:type="dxa" w:w="150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Objective</w:t>
            </w:r>
          </w:p>
        </w:tc>
        <w:tc>
          <w:tcPr>
            <w:tcW w:type="dxa" w:w="264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Instruction and practice</w:t>
            </w:r>
          </w:p>
        </w:tc>
        <w:tc>
          <w:tcPr>
            <w:tcW w:type="dxa" w:w="255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Embedded evidence</w:t>
            </w:r>
          </w:p>
        </w:tc>
        <w:tc>
          <w:tcPr>
            <w:tcW w:type="dxa" w:w="264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Summative evidence</w:t>
            </w:r>
          </w:p>
        </w:tc>
      </w:tr>
      <w:tr>
        <w:trPr>
          <w:cantSplit w:val="true"/>
        </w:trPr>
        <w:tc>
          <w:tcPr>
            <w:tcW w:type="dxa" w:w="150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LO1</w:t>
            </w:r>
          </w:p>
        </w:tc>
        <w:tc>
          <w:tcPr>
            <w:tcW w:type="dxa" w:w="26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Lessons 1-2; cohort-comparison worksheet; sample/time audit in Lesson 4</w:t>
            </w:r>
          </w:p>
        </w:tc>
        <w:tc>
          <w:tcPr>
            <w:tcW w:type="dxa" w:w="255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KC2-01 to KC2-03; sourced compatibility decisions</w:t>
            </w:r>
          </w:p>
        </w:tc>
        <w:tc>
          <w:tcPr>
            <w:tcW w:type="dxa" w:w="26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POST-01 to POST-03; completed comparison worksheet</w:t>
            </w:r>
          </w:p>
        </w:tc>
      </w:tr>
      <w:tr>
        <w:trPr>
          <w:cantSplit w:val="true"/>
        </w:trPr>
        <w:tc>
          <w:tcPr>
            <w:tcW w:type="dxa" w:w="150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LO2</w:t>
            </w:r>
          </w:p>
        </w:tc>
        <w:tc>
          <w:tcPr>
            <w:tcW w:type="dxa" w:w="26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Lessons 1-4; interpretation limits; bounded-claim exercise</w:t>
            </w:r>
          </w:p>
        </w:tc>
        <w:tc>
          <w:tcPr>
            <w:tcW w:type="dxa" w:w="255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KC1-01, KC1-03, KC2 items, KC3-02, KC4-03</w:t>
            </w:r>
          </w:p>
        </w:tc>
        <w:tc>
          <w:tcPr>
            <w:tcW w:type="dxa" w:w="26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POST-02 to POST-04, POST-08; four-sentence interpretation</w:t>
            </w:r>
          </w:p>
        </w:tc>
      </w:tr>
      <w:tr>
        <w:trPr>
          <w:cantSplit w:val="true"/>
        </w:trPr>
        <w:tc>
          <w:tcPr>
            <w:tcW w:type="dxa" w:w="150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LO3</w:t>
            </w:r>
          </w:p>
        </w:tc>
        <w:tc>
          <w:tcPr>
            <w:tcW w:type="dxa" w:w="26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Lesson 3; crosswalk and overlap audit</w:t>
            </w:r>
          </w:p>
        </w:tc>
        <w:tc>
          <w:tcPr>
            <w:tcW w:type="dxa" w:w="255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KC3-01 to KC3-03; reviewed ambiguous/unmapped rows</w:t>
            </w:r>
          </w:p>
        </w:tc>
        <w:tc>
          <w:tcPr>
            <w:tcW w:type="dxa" w:w="26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POST-05 to POST-07, POST-12; crosswalk rubric</w:t>
            </w:r>
          </w:p>
        </w:tc>
      </w:tr>
      <w:tr>
        <w:trPr>
          <w:cantSplit w:val="true"/>
        </w:trPr>
        <w:tc>
          <w:tcPr>
            <w:tcW w:type="dxa" w:w="150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LO4</w:t>
            </w:r>
          </w:p>
        </w:tc>
        <w:tc>
          <w:tcPr>
            <w:tcW w:type="dxa" w:w="26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Lesson 4; REST retrieval, audit, overlap, class summary, PCA</w:t>
            </w:r>
          </w:p>
        </w:tc>
        <w:tc>
          <w:tcPr>
            <w:tcW w:type="dxa" w:w="255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KC4-01 to KC4-03; notebook audit outputs</w:t>
            </w:r>
          </w:p>
        </w:tc>
        <w:tc>
          <w:tcPr>
            <w:tcW w:type="dxa" w:w="26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POST-07 to POST-09, POST-12; reproducible notebook execution</w:t>
            </w:r>
          </w:p>
        </w:tc>
      </w:tr>
      <w:tr>
        <w:trPr>
          <w:cantSplit w:val="true"/>
        </w:trPr>
        <w:tc>
          <w:tcPr>
            <w:tcW w:type="dxa" w:w="150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LO5</w:t>
            </w:r>
          </w:p>
        </w:tc>
        <w:tc>
          <w:tcPr>
            <w:tcW w:type="dxa" w:w="26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Lessons 1 and 5; transfer checklist</w:t>
            </w:r>
          </w:p>
        </w:tc>
        <w:tc>
          <w:tcPr>
            <w:tcW w:type="dxa" w:w="255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KC1-02 and KC5-01 to KC5-03</w:t>
            </w:r>
          </w:p>
        </w:tc>
        <w:tc>
          <w:tcPr>
            <w:tcW w:type="dxa" w:w="26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POST-10 and POST-11; sourced go/revise/wait/stop decision</w:t>
            </w:r>
          </w:p>
        </w:tc>
      </w:tr>
    </w:tbl>
    <w:p>
      <w:pPr>
        <w:spacing w:before="0" w:after="40"/>
      </w:pPr>
    </w:p>
    <w:p>
      <w:r>
        <w:rPr>
          <w:rFonts w:ascii="Calibri" w:hAnsi="Calibri"/>
          <w:color w:val="222222"/>
        </w:rPr>
        <w:t>The pretest contains at least two items per objective domain when cross-listed items are included. Use objective-level change, not only total score, when evaluating module value.</w:t>
      </w:r>
    </w:p>
    <w:p>
      <w:pPr>
        <w:pStyle w:val="Heading2"/>
      </w:pPr>
      <w:r>
        <w:rPr>
          <w:rFonts w:ascii="Calibri" w:hAnsi="Calibri"/>
          <w:color w:val="222222"/>
        </w:rPr>
        <w:t>Instructional schedule</w:t>
      </w:r>
    </w:p>
    <w:tbl>
      <w:tblPr>
        <w:tblStyle w:val="TableGrid"/>
        <w:tblW w:type="dxa" w:w="9360"/>
        <w:jc w:val="left"/>
        <w:tblLayout w:type="fixed"/>
        <w:tblLook w:firstColumn="1" w:firstRow="1" w:lastColumn="0" w:lastRow="0" w:noHBand="0" w:noVBand="1" w:val="04A0"/>
        <w:tblInd w:w="120" w:type="dxa"/>
      </w:tblPr>
      <w:tblGrid>
        <w:gridCol w:w="3736"/>
        <w:gridCol w:w="1801"/>
        <w:gridCol w:w="3823"/>
      </w:tblGrid>
      <w:tr>
        <w:trPr>
          <w:cantSplit w:val="true"/>
          <w:tblHeader w:val="true"/>
        </w:trPr>
        <w:tc>
          <w:tcPr>
            <w:tcW w:type="dxa" w:w="373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Lesson</w:t>
            </w:r>
          </w:p>
        </w:tc>
        <w:tc>
          <w:tcPr>
            <w:tcW w:type="dxa" w:w="180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c>
          <w:tcPr>
            <w:tcW w:type="dxa" w:w="382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Main learner artifact</w:t>
            </w:r>
          </w:p>
        </w:tc>
      </w:tr>
      <w:tr>
        <w:trPr>
          <w:cantSplit w:val="true"/>
        </w:trPr>
        <w:tc>
          <w:tcPr>
            <w:tcW w:type="dxa" w:w="373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1. Why phenotype-to-metabolome harmonization matters</w:t>
            </w:r>
          </w:p>
        </w:tc>
        <w:tc>
          <w:tcPr>
            <w:tcW w:type="dxa" w:w="180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20</w:t>
            </w:r>
          </w:p>
        </w:tc>
        <w:tc>
          <w:tcPr>
            <w:tcW w:type="dxa" w:w="382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Pretest, access evidence, reflection</w:t>
            </w:r>
          </w:p>
        </w:tc>
      </w:tr>
      <w:tr>
        <w:trPr>
          <w:cantSplit w:val="true"/>
        </w:trPr>
        <w:tc>
          <w:tcPr>
            <w:tcW w:type="dxa" w:w="373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2. Comparing study design and phenotype capture</w:t>
            </w:r>
          </w:p>
        </w:tc>
        <w:tc>
          <w:tcPr>
            <w:tcW w:type="dxa" w:w="180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30</w:t>
            </w:r>
          </w:p>
        </w:tc>
        <w:tc>
          <w:tcPr>
            <w:tcW w:type="dxa" w:w="382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Cohort-comparison worksheet</w:t>
            </w:r>
          </w:p>
        </w:tc>
      </w:tr>
      <w:tr>
        <w:trPr>
          <w:cantSplit w:val="true"/>
        </w:trPr>
        <w:tc>
          <w:tcPr>
            <w:tcW w:type="dxa" w:w="373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3. Harmonizing metabolomics and metadata</w:t>
            </w:r>
          </w:p>
        </w:tc>
        <w:tc>
          <w:tcPr>
            <w:tcW w:type="dxa" w:w="180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35</w:t>
            </w:r>
          </w:p>
        </w:tc>
        <w:tc>
          <w:tcPr>
            <w:tcW w:type="dxa" w:w="382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Metabolite/metadata crosswalk</w:t>
            </w:r>
          </w:p>
        </w:tc>
      </w:tr>
      <w:tr>
        <w:trPr>
          <w:cantSplit w:val="true"/>
        </w:trPr>
        <w:tc>
          <w:tcPr>
            <w:tcW w:type="dxa" w:w="373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4. Guided analysis and biological interpretation</w:t>
            </w:r>
          </w:p>
        </w:tc>
        <w:tc>
          <w:tcPr>
            <w:tcW w:type="dxa" w:w="180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40</w:t>
            </w:r>
          </w:p>
        </w:tc>
        <w:tc>
          <w:tcPr>
            <w:tcW w:type="dxa" w:w="382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Retrieval audit, overlap flow, class summary, within-study PCA, bounded interpretation</w:t>
            </w:r>
          </w:p>
        </w:tc>
      </w:tr>
      <w:tr>
        <w:trPr>
          <w:cantSplit w:val="true"/>
        </w:trPr>
        <w:tc>
          <w:tcPr>
            <w:tcW w:type="dxa" w:w="373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5. Access patterns and transfer</w:t>
            </w:r>
          </w:p>
        </w:tc>
        <w:tc>
          <w:tcPr>
            <w:tcW w:type="dxa" w:w="180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15</w:t>
            </w:r>
          </w:p>
        </w:tc>
        <w:tc>
          <w:tcPr>
            <w:tcW w:type="dxa" w:w="382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Transfer checklist and posttest</w:t>
            </w:r>
          </w:p>
        </w:tc>
      </w:tr>
      <w:tr>
        <w:trPr>
          <w:cantSplit w:val="true"/>
        </w:trPr>
        <w:tc>
          <w:tcPr>
            <w:tcW w:type="dxa" w:w="3736"/>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Total</w:t>
            </w:r>
          </w:p>
        </w:tc>
        <w:tc>
          <w:tcPr>
            <w:tcW w:type="dxa" w:w="1801"/>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140</w:t>
            </w:r>
          </w:p>
        </w:tc>
        <w:tc>
          <w:tcPr>
            <w:tcW w:type="dxa" w:w="3823"/>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color w:val="222222"/>
        </w:rPr>
        <w:t>The 140 minutes include embedded knowledge checks but exclude the 5-minute pretest, 8-minute posttest, and software installation, for an expected course total of about 153 minutes after setup. If learners are new to Python, Jupyter, PCA, or metabolomics, schedule 30 to 60 additional minutes and use the reduced worksheet path stated in each lesson.</w:t>
      </w:r>
    </w:p>
    <w:p>
      <w:pPr>
        <w:pStyle w:val="Heading2"/>
      </w:pPr>
      <w:r>
        <w:rPr>
          <w:rFonts w:ascii="Calibri" w:hAnsi="Calibri"/>
          <w:color w:val="222222"/>
        </w:rPr>
        <w:t>Locked data configuration</w:t>
      </w:r>
    </w:p>
    <w:p>
      <w:pPr>
        <w:keepNext/>
        <w:keepLines/>
        <w:spacing w:before="0" w:after="0" w:line="240" w:lineRule="auto"/>
        <w:ind w:left="259" w:right="72"/>
        <w:shd w:fill="F3F5F7"/>
        <w:pBdr>
          <w:left w:val="single" w:sz="16" w:space="8" w:color="B8C3CC"/>
        </w:pBdr>
      </w:pPr>
      <w:r>
        <w:rPr>
          <w:rFonts w:ascii="Consolas" w:hAnsi="Consolas"/>
          <w:color w:val="24313B"/>
          <w:sz w:val="16"/>
        </w:rPr>
        <w:t>DIET_ACCESSION = ST001521</w:t>
      </w:r>
    </w:p>
    <w:p>
      <w:pPr>
        <w:keepNext w:val="0"/>
        <w:keepLines/>
        <w:spacing w:before="0" w:after="120" w:line="240" w:lineRule="auto"/>
        <w:ind w:left="259" w:right="72"/>
        <w:shd w:fill="F3F5F7"/>
        <w:pBdr>
          <w:left w:val="single" w:sz="16" w:space="8" w:color="B8C3CC"/>
        </w:pBdr>
      </w:pPr>
      <w:r>
        <w:rPr>
          <w:rFonts w:ascii="Consolas" w:hAnsi="Consolas"/>
          <w:color w:val="24313B"/>
          <w:sz w:val="16"/>
        </w:rPr>
        <w:t>EXERCISE_ACCESSION = ST003348</w:t>
      </w:r>
    </w:p>
    <w:p>
      <w:pPr>
        <w:pStyle w:val="Heading3"/>
      </w:pPr>
      <w:r>
        <w:rPr>
          <w:rFonts w:ascii="Calibri" w:hAnsi="Calibri"/>
          <w:color w:val="222222"/>
        </w:rPr>
        <w:t>Diet study facts to verify before delivery</w:t>
      </w:r>
    </w:p>
    <w:p>
      <w:pPr>
        <w:numPr>
          <w:ilvl w:val="0"/>
          <w:numId w:val="12"/>
        </w:numPr>
        <w:spacing w:after="80" w:line="300" w:lineRule="auto"/>
      </w:pPr>
      <w:r>
        <w:rPr>
          <w:rFonts w:ascii="Calibri" w:hAnsi="Calibri"/>
          <w:color w:val="222222"/>
        </w:rPr>
        <w:t xml:space="preserve">Human plasma FARMM study with three deposited diet labels: </w:t>
      </w:r>
      <w:r>
        <w:rPr>
          <w:rFonts w:ascii="Consolas" w:hAnsi="Consolas"/>
          <w:color w:val="1F4D78"/>
          <w:sz w:val="21"/>
          <w:shd w:fill="EEF1F4"/>
        </w:rPr>
        <w:t>Vegan</w:t>
      </w:r>
      <w:r>
        <w:rPr>
          <w:rFonts w:ascii="Calibri" w:hAnsi="Calibri"/>
          <w:color w:val="222222"/>
        </w:rPr>
        <w:t xml:space="preserve">, </w:t>
      </w:r>
      <w:r>
        <w:rPr>
          <w:rFonts w:ascii="Consolas" w:hAnsi="Consolas"/>
          <w:color w:val="1F4D78"/>
          <w:sz w:val="21"/>
          <w:shd w:fill="EEF1F4"/>
        </w:rPr>
        <w:t>Western</w:t>
      </w:r>
      <w:r>
        <w:rPr>
          <w:rFonts w:ascii="Calibri" w:hAnsi="Calibri"/>
          <w:color w:val="222222"/>
        </w:rPr>
        <w:t xml:space="preserve">, and </w:t>
      </w:r>
      <w:r>
        <w:rPr>
          <w:rFonts w:ascii="Consolas" w:hAnsi="Consolas"/>
          <w:color w:val="1F4D78"/>
          <w:sz w:val="21"/>
          <w:shd w:fill="EEF1F4"/>
        </w:rPr>
        <w:t>Modulen</w:t>
      </w:r>
      <w:r>
        <w:rPr>
          <w:rFonts w:ascii="Calibri" w:hAnsi="Calibri"/>
          <w:color w:val="222222"/>
        </w:rPr>
        <w:t>.</w:t>
      </w:r>
    </w:p>
    <w:p>
      <w:pPr>
        <w:numPr>
          <w:ilvl w:val="0"/>
          <w:numId w:val="12"/>
        </w:numPr>
        <w:spacing w:after="80" w:line="300" w:lineRule="auto"/>
      </w:pPr>
      <w:r>
        <w:rPr>
          <w:rFonts w:ascii="Calibri" w:hAnsi="Calibri"/>
          <w:color w:val="222222"/>
        </w:rPr>
        <w:t>Study summary describes 30 volunteers and five biological timepoints.</w:t>
      </w:r>
    </w:p>
    <w:p>
      <w:pPr>
        <w:numPr>
          <w:ilvl w:val="0"/>
          <w:numId w:val="12"/>
        </w:numPr>
        <w:spacing w:after="80" w:line="300" w:lineRule="auto"/>
      </w:pPr>
      <w:r>
        <w:rPr>
          <w:rFonts w:ascii="Calibri" w:hAnsi="Calibri"/>
          <w:color w:val="222222"/>
        </w:rPr>
        <w:t xml:space="preserve">Current factors response contains 160 rows: 150 participant-timepoint rows and 10 </w:t>
      </w:r>
      <w:r>
        <w:rPr>
          <w:rFonts w:ascii="Consolas" w:hAnsi="Consolas"/>
          <w:color w:val="1F4D78"/>
          <w:sz w:val="21"/>
          <w:shd w:fill="EEF1F4"/>
        </w:rPr>
        <w:t>QPP...</w:t>
      </w:r>
      <w:r>
        <w:rPr>
          <w:rFonts w:ascii="Calibri" w:hAnsi="Calibri"/>
          <w:color w:val="222222"/>
        </w:rPr>
        <w:t xml:space="preserve"> pooled QC candidates.</w:t>
      </w:r>
    </w:p>
    <w:p>
      <w:pPr>
        <w:numPr>
          <w:ilvl w:val="0"/>
          <w:numId w:val="12"/>
        </w:numPr>
        <w:spacing w:after="80" w:line="300" w:lineRule="auto"/>
      </w:pPr>
      <w:r>
        <w:rPr>
          <w:rFonts w:ascii="Calibri" w:hAnsi="Calibri"/>
          <w:color w:val="222222"/>
        </w:rPr>
        <w:t>Longitudinal time course includes an antibiotic intervention on days 6-8 and polyethylene glycol on day 7.</w:t>
      </w:r>
    </w:p>
    <w:p>
      <w:pPr>
        <w:numPr>
          <w:ilvl w:val="0"/>
          <w:numId w:val="12"/>
        </w:numPr>
        <w:spacing w:after="80" w:line="300" w:lineRule="auto"/>
      </w:pPr>
      <w:r>
        <w:rPr>
          <w:rFonts w:ascii="Calibri" w:hAnsi="Calibri"/>
          <w:color w:val="222222"/>
        </w:rPr>
        <w:t>Vegan participants were established vegans and remained outpatients; 20 omnivores were randomized to omnivore versus EEN in an inpatient setting.</w:t>
      </w:r>
    </w:p>
    <w:p>
      <w:pPr>
        <w:numPr>
          <w:ilvl w:val="0"/>
          <w:numId w:val="12"/>
        </w:numPr>
        <w:spacing w:after="80" w:line="300" w:lineRule="auto"/>
      </w:pPr>
      <w:r>
        <w:rPr>
          <w:rFonts w:ascii="Calibri" w:hAnsi="Calibri"/>
          <w:color w:val="222222"/>
        </w:rPr>
        <w:t>Four analyses: AN002533 through AN002536, reporting unitless peak areas.</w:t>
      </w:r>
    </w:p>
    <w:p>
      <w:pPr>
        <w:pStyle w:val="Heading3"/>
      </w:pPr>
      <w:r>
        <w:rPr>
          <w:rFonts w:ascii="Calibri" w:hAnsi="Calibri"/>
          <w:color w:val="222222"/>
        </w:rPr>
        <w:t>Exercise study facts to verify before delivery</w:t>
      </w:r>
    </w:p>
    <w:p>
      <w:pPr>
        <w:numPr>
          <w:ilvl w:val="0"/>
          <w:numId w:val="13"/>
        </w:numPr>
        <w:spacing w:after="80" w:line="300" w:lineRule="auto"/>
      </w:pPr>
      <w:r>
        <w:rPr>
          <w:rFonts w:ascii="Calibri" w:hAnsi="Calibri"/>
          <w:color w:val="222222"/>
        </w:rPr>
        <w:t>Human endurance race-walking study with 19 athletes represented at four timepoints and 76 samples.</w:t>
      </w:r>
    </w:p>
    <w:p>
      <w:pPr>
        <w:numPr>
          <w:ilvl w:val="0"/>
          <w:numId w:val="13"/>
        </w:numPr>
        <w:spacing w:after="80" w:line="300" w:lineRule="auto"/>
      </w:pPr>
      <w:r>
        <w:rPr>
          <w:rFonts w:ascii="Consolas" w:hAnsi="Consolas"/>
          <w:color w:val="1F4D78"/>
          <w:sz w:val="21"/>
          <w:shd w:fill="EEF1F4"/>
        </w:rPr>
        <w:t>REST</w:t>
      </w:r>
      <w:r>
        <w:rPr>
          <w:rFonts w:ascii="Calibri" w:hAnsi="Calibri"/>
          <w:color w:val="222222"/>
        </w:rPr>
        <w:t xml:space="preserve">: pre-exercise; </w:t>
      </w:r>
      <w:r>
        <w:rPr>
          <w:rFonts w:ascii="Consolas" w:hAnsi="Consolas"/>
          <w:color w:val="1F4D78"/>
          <w:sz w:val="21"/>
          <w:shd w:fill="EEF1F4"/>
        </w:rPr>
        <w:t>STAT</w:t>
      </w:r>
      <w:r>
        <w:rPr>
          <w:rFonts w:ascii="Calibri" w:hAnsi="Calibri"/>
          <w:color w:val="222222"/>
        </w:rPr>
        <w:t xml:space="preserve">: immediately post-exercise; </w:t>
      </w:r>
      <w:r>
        <w:rPr>
          <w:rFonts w:ascii="Consolas" w:hAnsi="Consolas"/>
          <w:color w:val="1F4D78"/>
          <w:sz w:val="21"/>
          <w:shd w:fill="EEF1F4"/>
        </w:rPr>
        <w:t>REC3</w:t>
      </w:r>
      <w:r>
        <w:rPr>
          <w:rFonts w:ascii="Calibri" w:hAnsi="Calibri"/>
          <w:color w:val="222222"/>
        </w:rPr>
        <w:t xml:space="preserve">: 3-hour recovery; </w:t>
      </w:r>
      <w:r>
        <w:rPr>
          <w:rFonts w:ascii="Consolas" w:hAnsi="Consolas"/>
          <w:color w:val="1F4D78"/>
          <w:sz w:val="21"/>
          <w:shd w:fill="EEF1F4"/>
        </w:rPr>
        <w:t>REC22</w:t>
      </w:r>
      <w:r>
        <w:rPr>
          <w:rFonts w:ascii="Calibri" w:hAnsi="Calibri"/>
          <w:color w:val="222222"/>
        </w:rPr>
        <w:t>: 22-hour recovery.</w:t>
      </w:r>
    </w:p>
    <w:p>
      <w:pPr>
        <w:numPr>
          <w:ilvl w:val="0"/>
          <w:numId w:val="13"/>
        </w:numPr>
        <w:spacing w:after="80" w:line="300" w:lineRule="auto"/>
      </w:pPr>
      <w:r>
        <w:rPr>
          <w:rFonts w:ascii="Calibri" w:hAnsi="Calibri"/>
          <w:color w:val="222222"/>
        </w:rPr>
        <w:t xml:space="preserve">Factors endpoint reports broad source </w:t>
      </w:r>
      <w:r>
        <w:rPr>
          <w:rFonts w:ascii="Consolas" w:hAnsi="Consolas"/>
          <w:color w:val="1F4D78"/>
          <w:sz w:val="21"/>
          <w:shd w:fill="EEF1F4"/>
        </w:rPr>
        <w:t>blood</w:t>
      </w:r>
      <w:r>
        <w:rPr>
          <w:rFonts w:ascii="Calibri" w:hAnsi="Calibri"/>
          <w:color w:val="222222"/>
        </w:rPr>
        <w:t>; collection metadata specifies serum and describes clotting and processing.</w:t>
      </w:r>
    </w:p>
    <w:p>
      <w:pPr>
        <w:numPr>
          <w:ilvl w:val="0"/>
          <w:numId w:val="13"/>
        </w:numPr>
        <w:spacing w:after="80" w:line="300" w:lineRule="auto"/>
      </w:pPr>
      <w:r>
        <w:rPr>
          <w:rFonts w:ascii="Calibri" w:hAnsi="Calibri"/>
          <w:color w:val="222222"/>
        </w:rPr>
        <w:t>Two analyses: AN005483 and AN005484, reporting peak area.</w:t>
      </w:r>
    </w:p>
    <w:p>
      <w:pPr>
        <w:pStyle w:val="Heading3"/>
      </w:pPr>
      <w:r>
        <w:rPr>
          <w:rFonts w:ascii="Calibri" w:hAnsi="Calibri"/>
          <w:color w:val="222222"/>
        </w:rPr>
        <w:t>Overlap audit targets</w:t>
      </w:r>
    </w:p>
    <w:p>
      <w:pPr>
        <w:numPr>
          <w:ilvl w:val="0"/>
          <w:numId w:val="14"/>
        </w:numPr>
        <w:spacing w:after="80" w:line="300" w:lineRule="auto"/>
      </w:pPr>
      <w:r>
        <w:rPr>
          <w:rFonts w:ascii="Calibri" w:hAnsi="Calibri"/>
          <w:color w:val="222222"/>
        </w:rPr>
        <w:t>153 shared nonblank exact RefMet strings before artifact and eligibility exclusions.</w:t>
      </w:r>
    </w:p>
    <w:p>
      <w:pPr>
        <w:numPr>
          <w:ilvl w:val="0"/>
          <w:numId w:val="14"/>
        </w:numPr>
        <w:spacing w:after="80" w:line="300" w:lineRule="auto"/>
      </w:pPr>
      <w:r>
        <w:rPr>
          <w:rFonts w:ascii="Calibri" w:hAnsi="Calibri"/>
          <w:color w:val="222222"/>
        </w:rPr>
        <w:t xml:space="preserve">Eight </w:t>
      </w:r>
      <w:r>
        <w:rPr>
          <w:rFonts w:ascii="Consolas" w:hAnsi="Consolas"/>
          <w:color w:val="1F4D78"/>
          <w:sz w:val="21"/>
          <w:shd w:fill="EEF1F4"/>
        </w:rPr>
        <w:t>ST003348</w:t>
      </w:r>
      <w:r>
        <w:rPr>
          <w:rFonts w:ascii="Calibri" w:hAnsi="Calibri"/>
          <w:color w:val="222222"/>
        </w:rPr>
        <w:t xml:space="preserve"> isotope/internal-standard rows map to ordinary RefMet labels and are excluded from biological overlap.</w:t>
      </w:r>
    </w:p>
    <w:p>
      <w:pPr>
        <w:numPr>
          <w:ilvl w:val="0"/>
          <w:numId w:val="14"/>
        </w:numPr>
        <w:spacing w:after="80" w:line="300" w:lineRule="auto"/>
      </w:pPr>
      <w:r>
        <w:rPr>
          <w:rFonts w:ascii="Calibri" w:hAnsi="Calibri"/>
          <w:color w:val="222222"/>
        </w:rPr>
        <w:t>145 conservative biological overlaps after that filter.</w:t>
      </w:r>
    </w:p>
    <w:p>
      <w:r>
        <w:rPr>
          <w:rFonts w:ascii="Calibri" w:hAnsi="Calibri"/>
          <w:color w:val="222222"/>
        </w:rPr>
        <w:t>These are versioned reproducibility checks, not scientific constants. If live data differ, investigate version, selected analyses, blank handling, duplicate collapse, and artifact rules. Do not change logic simply to force the expected values.</w:t>
      </w:r>
    </w:p>
    <w:p>
      <w:pPr>
        <w:pStyle w:val="Heading3"/>
      </w:pPr>
      <w:r>
        <w:rPr>
          <w:rFonts w:ascii="Calibri" w:hAnsi="Calibri"/>
          <w:color w:val="222222"/>
        </w:rPr>
        <w:t>Reserve pair</w:t>
      </w:r>
    </w:p>
    <w:p>
      <w:r>
        <w:rPr>
          <w:rFonts w:ascii="Calibri" w:hAnsi="Calibri"/>
          <w:color w:val="222222"/>
        </w:rPr>
        <w:t>If a locked study is withdrawn or no longer usable, the recommended reserve pair from the scoping audit is:</w:t>
      </w:r>
    </w:p>
    <w:p>
      <w:pPr>
        <w:keepNext/>
        <w:keepLines/>
        <w:spacing w:before="0" w:after="0" w:line="240" w:lineRule="auto"/>
        <w:ind w:left="259" w:right="72"/>
        <w:shd w:fill="F3F5F7"/>
        <w:pBdr>
          <w:left w:val="single" w:sz="16" w:space="8" w:color="B8C3CC"/>
        </w:pBdr>
      </w:pPr>
      <w:r>
        <w:rPr>
          <w:rFonts w:ascii="Consolas" w:hAnsi="Consolas"/>
          <w:color w:val="24313B"/>
          <w:sz w:val="16"/>
        </w:rPr>
        <w:t>DIET_ACCESSION = ST000292</w:t>
      </w:r>
    </w:p>
    <w:p>
      <w:pPr>
        <w:keepNext w:val="0"/>
        <w:keepLines/>
        <w:spacing w:before="0" w:after="120" w:line="240" w:lineRule="auto"/>
        <w:ind w:left="259" w:right="72"/>
        <w:shd w:fill="F3F5F7"/>
        <w:pBdr>
          <w:left w:val="single" w:sz="16" w:space="8" w:color="B8C3CC"/>
        </w:pBdr>
      </w:pPr>
      <w:r>
        <w:rPr>
          <w:rFonts w:ascii="Consolas" w:hAnsi="Consolas"/>
          <w:color w:val="24313B"/>
          <w:sz w:val="16"/>
        </w:rPr>
        <w:t>EXERCISE_ACCESSION = ST001789</w:t>
      </w:r>
    </w:p>
    <w:p>
      <w:r>
        <w:rPr>
          <w:rFonts w:ascii="Calibri" w:hAnsi="Calibri"/>
          <w:color w:val="222222"/>
        </w:rPr>
        <w:t xml:space="preserve">Both are plasma candidates, and the scoping audit found 122 raw exact-name overlaps. </w:t>
      </w:r>
      <w:r>
        <w:rPr>
          <w:rFonts w:ascii="Consolas" w:hAnsi="Consolas"/>
          <w:color w:val="1F4D78"/>
          <w:sz w:val="21"/>
          <w:shd w:fill="EEF1F4"/>
        </w:rPr>
        <w:t>ST000291</w:t>
      </w:r>
      <w:r>
        <w:rPr>
          <w:rFonts w:ascii="Calibri" w:hAnsi="Calibri"/>
          <w:color w:val="222222"/>
        </w:rPr>
        <w:t xml:space="preserve"> is the urine companion to the diet project and should not be substituted for </w:t>
      </w:r>
      <w:r>
        <w:rPr>
          <w:rFonts w:ascii="Consolas" w:hAnsi="Consolas"/>
          <w:color w:val="1F4D78"/>
          <w:sz w:val="21"/>
          <w:shd w:fill="EEF1F4"/>
        </w:rPr>
        <w:t>ST000292</w:t>
      </w:r>
      <w:r>
        <w:rPr>
          <w:rFonts w:ascii="Calibri" w:hAnsi="Calibri"/>
          <w:color w:val="222222"/>
        </w:rPr>
        <w:t xml:space="preserve"> without redesigning the specimen comparison. Before activation, rerun all release, metadata-completeness, overlap, sample-role, and licensing checks and generate a new provenance manifest. Never switch pairs silently during a cohort.</w:t>
      </w:r>
    </w:p>
    <w:p>
      <w:pPr>
        <w:pStyle w:val="Heading2"/>
      </w:pPr>
      <w:r>
        <w:rPr>
          <w:rFonts w:ascii="Calibri" w:hAnsi="Calibri"/>
          <w:color w:val="222222"/>
        </w:rPr>
        <w:t>Instructor setup checklist</w:t>
      </w:r>
    </w:p>
    <w:p>
      <w:r>
        <w:rPr>
          <w:rFonts w:ascii="Calibri" w:hAnsi="Calibri"/>
          <w:color w:val="222222"/>
        </w:rPr>
        <w:t>Complete within 48 hours of delivery:</w:t>
      </w:r>
    </w:p>
    <w:p>
      <w:pPr>
        <w:numPr>
          <w:ilvl w:val="0"/>
          <w:numId w:val="15"/>
        </w:numPr>
        <w:spacing w:after="80" w:line="300" w:lineRule="auto"/>
      </w:pPr>
      <w:r>
        <w:rPr>
          <w:rFonts w:ascii="Calibri" w:hAnsi="Calibri"/>
          <w:color w:val="222222"/>
        </w:rPr>
        <w:t xml:space="preserve">[ ] Open the current </w:t>
      </w:r>
      <w:hyperlink r:id="rId11">
        <w:r>
          <w:rPr>
            <w:rFonts w:ascii="Calibri" w:hAnsi="Calibri"/>
            <w:color w:val="2E74B5"/>
            <w:u w:val="single"/>
            <w:sz w:val="22"/>
          </w:rPr>
          <w:t>MW REST documentation</w:t>
        </w:r>
      </w:hyperlink>
      <w:r>
        <w:rPr>
          <w:rFonts w:ascii="Calibri" w:hAnsi="Calibri"/>
          <w:color w:val="222222"/>
        </w:rPr>
        <w:t>.</w:t>
      </w:r>
    </w:p>
    <w:p>
      <w:pPr>
        <w:numPr>
          <w:ilvl w:val="0"/>
          <w:numId w:val="15"/>
        </w:numPr>
        <w:spacing w:after="80" w:line="300" w:lineRule="auto"/>
      </w:pPr>
      <w:r>
        <w:rPr>
          <w:rFonts w:ascii="Calibri" w:hAnsi="Calibri"/>
          <w:color w:val="222222"/>
        </w:rPr>
        <w:t>[ ] Confirm both study landing pages and summary, factors, analysis, metabolites, and data endpoints are public.</w:t>
      </w:r>
    </w:p>
    <w:p>
      <w:pPr>
        <w:numPr>
          <w:ilvl w:val="0"/>
          <w:numId w:val="15"/>
        </w:numPr>
        <w:spacing w:after="80" w:line="300" w:lineRule="auto"/>
      </w:pPr>
      <w:r>
        <w:rPr>
          <w:rFonts w:ascii="Calibri" w:hAnsi="Calibri"/>
          <w:color w:val="222222"/>
        </w:rPr>
        <w:t>[ ] Record UTC retrieval times and license strings.</w:t>
      </w:r>
    </w:p>
    <w:p>
      <w:pPr>
        <w:numPr>
          <w:ilvl w:val="0"/>
          <w:numId w:val="15"/>
        </w:numPr>
        <w:spacing w:after="80" w:line="300" w:lineRule="auto"/>
      </w:pPr>
      <w:r>
        <w:rPr>
          <w:rFonts w:ascii="Calibri" w:hAnsi="Calibri"/>
          <w:color w:val="222222"/>
        </w:rPr>
        <w:t>[ ] Run the notebook from a fresh environment with live retrieval.</w:t>
      </w:r>
    </w:p>
    <w:p>
      <w:pPr>
        <w:numPr>
          <w:ilvl w:val="0"/>
          <w:numId w:val="15"/>
        </w:numPr>
        <w:spacing w:after="80" w:line="300" w:lineRule="auto"/>
      </w:pPr>
      <w:r>
        <w:rPr>
          <w:rFonts w:ascii="Calibri" w:hAnsi="Calibri"/>
          <w:color w:val="222222"/>
        </w:rPr>
        <w:t>[ ] Confirm the first-time setup works before opening the pretest and that the smoke-test command writes a separate notebook.</w:t>
      </w:r>
    </w:p>
    <w:p>
      <w:pPr>
        <w:numPr>
          <w:ilvl w:val="0"/>
          <w:numId w:val="15"/>
        </w:numPr>
        <w:spacing w:after="80" w:line="300" w:lineRule="auto"/>
      </w:pPr>
      <w:r>
        <w:rPr>
          <w:rFonts w:ascii="Calibri" w:hAnsi="Calibri"/>
          <w:color w:val="222222"/>
        </w:rPr>
        <w:t xml:space="preserve">[ ] Verify structural counts, </w:t>
      </w:r>
      <w:r>
        <w:rPr>
          <w:rFonts w:ascii="Consolas" w:hAnsi="Consolas"/>
          <w:color w:val="1F4D78"/>
          <w:sz w:val="21"/>
          <w:shd w:fill="EEF1F4"/>
        </w:rPr>
        <w:t>QPP...</w:t>
      </w:r>
      <w:r>
        <w:rPr>
          <w:rFonts w:ascii="Calibri" w:hAnsi="Calibri"/>
          <w:color w:val="222222"/>
        </w:rPr>
        <w:t xml:space="preserve"> sample roles, analysis IDs, and plasma-versus-serum evidence.</w:t>
      </w:r>
    </w:p>
    <w:p>
      <w:pPr>
        <w:numPr>
          <w:ilvl w:val="0"/>
          <w:numId w:val="15"/>
        </w:numPr>
        <w:spacing w:after="80" w:line="300" w:lineRule="auto"/>
      </w:pPr>
      <w:r>
        <w:rPr>
          <w:rFonts w:ascii="Calibri" w:hAnsi="Calibri"/>
          <w:color w:val="222222"/>
        </w:rPr>
        <w:t>[ ] Verify the 153 raw and 145 conservative overlap audit stages.</w:t>
      </w:r>
    </w:p>
    <w:p>
      <w:pPr>
        <w:numPr>
          <w:ilvl w:val="0"/>
          <w:numId w:val="15"/>
        </w:numPr>
        <w:spacing w:after="80" w:line="300" w:lineRule="auto"/>
      </w:pPr>
      <w:r>
        <w:rPr>
          <w:rFonts w:ascii="Calibri" w:hAnsi="Calibri"/>
          <w:color w:val="222222"/>
        </w:rPr>
        <w:t>[ ] Test the cached fallback by simulating live-retrieval failure without overwriting the live cache.</w:t>
      </w:r>
    </w:p>
    <w:p>
      <w:pPr>
        <w:numPr>
          <w:ilvl w:val="0"/>
          <w:numId w:val="15"/>
        </w:numPr>
        <w:spacing w:after="80" w:line="300" w:lineRule="auto"/>
      </w:pPr>
      <w:r>
        <w:rPr>
          <w:rFonts w:ascii="Calibri" w:hAnsi="Calibri"/>
          <w:color w:val="222222"/>
        </w:rPr>
        <w:t>[ ] Confirm cache checksums and visible live/cached labels.</w:t>
      </w:r>
    </w:p>
    <w:p>
      <w:pPr>
        <w:numPr>
          <w:ilvl w:val="0"/>
          <w:numId w:val="15"/>
        </w:numPr>
        <w:spacing w:after="80" w:line="300" w:lineRule="auto"/>
      </w:pPr>
      <w:r>
        <w:rPr>
          <w:rFonts w:ascii="Calibri" w:hAnsi="Calibri"/>
          <w:color w:val="222222"/>
        </w:rPr>
        <w:t>[ ] Confirm no credentials, tokens, signed URLs, governed data, or personal information appear in materials or outputs.</w:t>
      </w:r>
    </w:p>
    <w:p>
      <w:pPr>
        <w:numPr>
          <w:ilvl w:val="0"/>
          <w:numId w:val="15"/>
        </w:numPr>
        <w:spacing w:after="80" w:line="300" w:lineRule="auto"/>
      </w:pPr>
      <w:r>
        <w:rPr>
          <w:rFonts w:ascii="Calibri" w:hAnsi="Calibri"/>
          <w:color w:val="222222"/>
        </w:rPr>
        <w:t>[ ] Validate all JSON assessment files.</w:t>
      </w:r>
    </w:p>
    <w:p>
      <w:pPr>
        <w:numPr>
          <w:ilvl w:val="0"/>
          <w:numId w:val="15"/>
        </w:numPr>
        <w:spacing w:after="80" w:line="300" w:lineRule="auto"/>
      </w:pPr>
      <w:r>
        <w:rPr>
          <w:rFonts w:ascii="Calibri" w:hAnsi="Calibri"/>
          <w:color w:val="222222"/>
        </w:rPr>
        <w:t>[ ] Check every external link and label any time-sensitive access claim with a date.</w:t>
      </w:r>
    </w:p>
    <w:p>
      <w:pPr>
        <w:numPr>
          <w:ilvl w:val="0"/>
          <w:numId w:val="15"/>
        </w:numPr>
        <w:spacing w:after="80" w:line="300" w:lineRule="auto"/>
      </w:pPr>
      <w:r>
        <w:rPr>
          <w:rFonts w:ascii="Calibri" w:hAnsi="Calibri"/>
          <w:color w:val="222222"/>
        </w:rPr>
        <w:t>[ ] Review MoTrPAC and All of Us first-party access documentation for changes.</w:t>
      </w:r>
    </w:p>
    <w:p>
      <w:pPr>
        <w:numPr>
          <w:ilvl w:val="0"/>
          <w:numId w:val="15"/>
        </w:numPr>
        <w:spacing w:after="80" w:line="300" w:lineRule="auto"/>
      </w:pPr>
      <w:r>
        <w:rPr>
          <w:rFonts w:ascii="Calibri" w:hAnsi="Calibri"/>
          <w:color w:val="222222"/>
        </w:rPr>
        <w:t>[ ] Test keyboard-only lesson, form, and notebook navigation.</w:t>
      </w:r>
    </w:p>
    <w:p>
      <w:pPr>
        <w:numPr>
          <w:ilvl w:val="0"/>
          <w:numId w:val="15"/>
        </w:numPr>
        <w:spacing w:after="80" w:line="300" w:lineRule="auto"/>
      </w:pPr>
      <w:r>
        <w:rPr>
          <w:rFonts w:ascii="Calibri" w:hAnsi="Calibri"/>
          <w:color w:val="222222"/>
        </w:rPr>
        <w:t>[ ] Test headings, table headers, link labels, figure descriptions, and color contrast with accessibility tooling.</w:t>
      </w:r>
    </w:p>
    <w:p>
      <w:pPr>
        <w:numPr>
          <w:ilvl w:val="0"/>
          <w:numId w:val="15"/>
        </w:numPr>
        <w:spacing w:after="80" w:line="300" w:lineRule="auto"/>
      </w:pPr>
      <w:r>
        <w:rPr>
          <w:rFonts w:ascii="Calibri" w:hAnsi="Calibri"/>
          <w:color w:val="222222"/>
        </w:rPr>
        <w:t>[ ] Ensure answer rationales are hidden until submission.</w:t>
      </w:r>
    </w:p>
    <w:p>
      <w:pPr>
        <w:pStyle w:val="Heading2"/>
      </w:pPr>
      <w:r>
        <w:rPr>
          <w:rFonts w:ascii="Calibri" w:hAnsi="Calibri"/>
          <w:color w:val="222222"/>
        </w:rPr>
        <w:t>Facilitation guidance by lesson</w:t>
      </w:r>
    </w:p>
    <w:p>
      <w:pPr>
        <w:pStyle w:val="Heading3"/>
      </w:pPr>
      <w:r>
        <w:rPr>
          <w:rFonts w:ascii="Calibri" w:hAnsi="Calibri"/>
          <w:color w:val="222222"/>
        </w:rPr>
        <w:t>Lesson 1</w:t>
      </w:r>
    </w:p>
    <w:p>
      <w:r>
        <w:rPr>
          <w:rFonts w:ascii="Calibri" w:hAnsi="Calibri"/>
          <w:color w:val="222222"/>
        </w:rPr>
        <w:t>Emphasize the difference between common retrieval, structural harmonization, and statistical exchangeability. Ask learners to identify a familiar situation where a shared column label hid a protocol difference. Do not introduce the module as a method for combining cohorts; introduce it as a method for making a defensible comparability decision.</w:t>
      </w:r>
    </w:p>
    <w:p>
      <w:r>
        <w:rPr>
          <w:rFonts w:ascii="Calibri" w:hAnsi="Calibri"/>
          <w:color w:val="222222"/>
        </w:rPr>
        <w:t>Current-access correction: the July proposal described MoTrPAC as registration-gated. Current MoTrPAC documentation distinguishes public and restricted pathways. Explain that the module intentionally updates the proposal because access is a time-stamped dataset property.</w:t>
      </w:r>
    </w:p>
    <w:p>
      <w:pPr>
        <w:pStyle w:val="Heading3"/>
      </w:pPr>
      <w:r>
        <w:rPr>
          <w:rFonts w:ascii="Calibri" w:hAnsi="Calibri"/>
          <w:color w:val="222222"/>
        </w:rPr>
        <w:t>Lesson 2</w:t>
      </w:r>
    </w:p>
    <w:p>
      <w:r>
        <w:rPr>
          <w:rFonts w:ascii="Calibri" w:hAnsi="Calibri"/>
          <w:color w:val="222222"/>
        </w:rPr>
        <w:t>Have learners extract each study independently before comparing columns. Watch for three common errors:</w:t>
      </w:r>
    </w:p>
    <w:p>
      <w:pPr>
        <w:numPr>
          <w:ilvl w:val="0"/>
          <w:numId w:val="16"/>
        </w:numPr>
        <w:spacing w:after="80" w:line="300" w:lineRule="auto"/>
      </w:pPr>
      <w:r>
        <w:rPr>
          <w:rFonts w:ascii="Calibri" w:hAnsi="Calibri"/>
          <w:color w:val="222222"/>
        </w:rPr>
        <w:t xml:space="preserve">Calling 160 factor rows in </w:t>
      </w:r>
      <w:r>
        <w:rPr>
          <w:rFonts w:ascii="Consolas" w:hAnsi="Consolas"/>
          <w:color w:val="1F4D78"/>
          <w:sz w:val="21"/>
          <w:shd w:fill="EEF1F4"/>
        </w:rPr>
        <w:t>ST001521</w:t>
      </w:r>
      <w:r>
        <w:rPr>
          <w:rFonts w:ascii="Calibri" w:hAnsi="Calibri"/>
          <w:color w:val="222222"/>
        </w:rPr>
        <w:t xml:space="preserve"> participants.</w:t>
      </w:r>
    </w:p>
    <w:p>
      <w:pPr>
        <w:numPr>
          <w:ilvl w:val="0"/>
          <w:numId w:val="16"/>
        </w:numPr>
        <w:spacing w:after="80" w:line="300" w:lineRule="auto"/>
      </w:pPr>
      <w:r>
        <w:rPr>
          <w:rFonts w:ascii="Calibri" w:hAnsi="Calibri"/>
          <w:color w:val="222222"/>
        </w:rPr>
        <w:t>Calling all three diet groups randomized.</w:t>
      </w:r>
    </w:p>
    <w:p>
      <w:pPr>
        <w:numPr>
          <w:ilvl w:val="0"/>
          <w:numId w:val="16"/>
        </w:numPr>
        <w:spacing w:after="80" w:line="300" w:lineRule="auto"/>
      </w:pPr>
      <w:r>
        <w:rPr>
          <w:rFonts w:ascii="Calibri" w:hAnsi="Calibri"/>
          <w:color w:val="222222"/>
        </w:rPr>
        <w:t>Calling the exercise matrix simply blood and overlooking the serum-specific collection block.</w:t>
      </w:r>
    </w:p>
    <w:p>
      <w:r>
        <w:rPr>
          <w:rFonts w:ascii="Calibri" w:hAnsi="Calibri"/>
          <w:color w:val="222222"/>
        </w:rPr>
        <w:t xml:space="preserve">Treat a documented </w:t>
      </w:r>
      <w:r>
        <w:rPr>
          <w:rFonts w:ascii="Consolas" w:hAnsi="Consolas"/>
          <w:color w:val="1F4D78"/>
          <w:sz w:val="21"/>
          <w:shd w:fill="EEF1F4"/>
        </w:rPr>
        <w:t>not reported</w:t>
      </w:r>
      <w:r>
        <w:rPr>
          <w:rFonts w:ascii="Calibri" w:hAnsi="Calibri"/>
          <w:color w:val="222222"/>
        </w:rPr>
        <w:t xml:space="preserve"> or </w:t>
      </w:r>
      <w:r>
        <w:rPr>
          <w:rFonts w:ascii="Consolas" w:hAnsi="Consolas"/>
          <w:color w:val="1F4D78"/>
          <w:sz w:val="21"/>
          <w:shd w:fill="EEF1F4"/>
        </w:rPr>
        <w:t>not yet assessable</w:t>
      </w:r>
      <w:r>
        <w:rPr>
          <w:rFonts w:ascii="Calibri" w:hAnsi="Calibri"/>
          <w:color w:val="222222"/>
        </w:rPr>
        <w:t xml:space="preserve"> as better work than an unsupported completed cell.</w:t>
      </w:r>
    </w:p>
    <w:p>
      <w:pPr>
        <w:pStyle w:val="Heading3"/>
      </w:pPr>
      <w:r>
        <w:rPr>
          <w:rFonts w:ascii="Calibri" w:hAnsi="Calibri"/>
          <w:color w:val="222222"/>
        </w:rPr>
        <w:t>Lesson 3</w:t>
      </w:r>
    </w:p>
    <w:p>
      <w:r>
        <w:rPr>
          <w:rFonts w:ascii="Calibri" w:hAnsi="Calibri"/>
          <w:color w:val="222222"/>
        </w:rPr>
        <w:t xml:space="preserve">Reward auditability rather than mapping rate. Require at least one ambiguous, one unmapped, one many-to-one, and one artifact or nonbiological example when present. The </w:t>
      </w:r>
      <w:r>
        <w:rPr>
          <w:rFonts w:ascii="Consolas" w:hAnsi="Consolas"/>
          <w:color w:val="1F4D78"/>
          <w:sz w:val="21"/>
          <w:shd w:fill="EEF1F4"/>
        </w:rPr>
        <w:t>Palmitic acid-[13C]16</w:t>
      </w:r>
      <w:r>
        <w:rPr>
          <w:rFonts w:ascii="Calibri" w:hAnsi="Calibri"/>
          <w:color w:val="222222"/>
        </w:rPr>
        <w:t xml:space="preserve"> to </w:t>
      </w:r>
      <w:r>
        <w:rPr>
          <w:rFonts w:ascii="Consolas" w:hAnsi="Consolas"/>
          <w:color w:val="1F4D78"/>
          <w:sz w:val="21"/>
          <w:shd w:fill="EEF1F4"/>
        </w:rPr>
        <w:t>Palmitic acid</w:t>
      </w:r>
      <w:r>
        <w:rPr>
          <w:rFonts w:ascii="Calibri" w:hAnsi="Calibri"/>
          <w:color w:val="222222"/>
        </w:rPr>
        <w:t xml:space="preserve"> example illustrates why a nonblank RefMet field still requires source-role review.</w:t>
      </w:r>
    </w:p>
    <w:p>
      <w:r>
        <w:rPr>
          <w:rFonts w:ascii="Calibri" w:hAnsi="Calibri"/>
          <w:color w:val="222222"/>
        </w:rPr>
        <w:t>Do not allow learners to overwrite the submitted name or discard blank mappings. Ask what analysis each eligibility flag serves.</w:t>
      </w:r>
    </w:p>
    <w:p>
      <w:pPr>
        <w:pStyle w:val="Heading3"/>
      </w:pPr>
      <w:r>
        <w:rPr>
          <w:rFonts w:ascii="Calibri" w:hAnsi="Calibri"/>
          <w:color w:val="222222"/>
        </w:rPr>
        <w:t>Lesson 4</w:t>
      </w:r>
    </w:p>
    <w:p>
      <w:r>
        <w:rPr>
          <w:rFonts w:ascii="Calibri" w:hAnsi="Calibri"/>
          <w:color w:val="222222"/>
        </w:rPr>
        <w:t>Run retrieval and validation before any figure. Pause if join cardinality increases rows. Keep pooled QC samples available for assay diagnostics and excluded from biological PCA. Fit PCA separately within studies; the release module intentionally omits a combined PCA of the uncalibrated raw matrices.</w:t>
      </w:r>
    </w:p>
    <w:p>
      <w:r>
        <w:rPr>
          <w:rFonts w:ascii="Calibri" w:hAnsi="Calibri"/>
          <w:color w:val="222222"/>
        </w:rPr>
        <w:t>When discussing the overlap, say:</w:t>
      </w:r>
    </w:p>
    <w:p>
      <w:pPr>
        <w:spacing w:before="100" w:after="120"/>
        <w:ind w:left="259" w:right="115"/>
        <w:shd w:fill="F4F6F9"/>
        <w:pBdr>
          <w:left w:val="single" w:sz="16" w:space="8" w:color="2E74B5"/>
        </w:pBdr>
      </w:pPr>
      <w:r>
        <w:rPr>
          <w:rFonts w:ascii="Calibri" w:hAnsi="Calibri"/>
          <w:color w:val="1F4D78"/>
        </w:rPr>
        <w:t>153 tests the raw nonblank exact-string step; 145 tests the conservative exclusion of eight isotope/internal-standard mappings. Neither number measures a shared intervention response.</w:t>
      </w:r>
    </w:p>
    <w:p>
      <w:r>
        <w:rPr>
          <w:rFonts w:ascii="Calibri" w:hAnsi="Calibri"/>
          <w:color w:val="222222"/>
        </w:rPr>
        <w:t>Require the four-sentence interpretation scaffold: observation, context, alternatives, boundary.</w:t>
      </w:r>
    </w:p>
    <w:p>
      <w:pPr>
        <w:pStyle w:val="Heading3"/>
      </w:pPr>
      <w:r>
        <w:rPr>
          <w:rFonts w:ascii="Calibri" w:hAnsi="Calibri"/>
          <w:color w:val="222222"/>
        </w:rPr>
        <w:t>Lesson 5</w:t>
      </w:r>
    </w:p>
    <w:p>
      <w:r>
        <w:rPr>
          <w:rFonts w:ascii="Calibri" w:hAnsi="Calibri"/>
          <w:color w:val="222222"/>
        </w:rPr>
        <w:t xml:space="preserve">Require first-party, dated evidence for the exact dataset and action. A valid transfer decision may be </w:t>
      </w:r>
      <w:r>
        <w:rPr>
          <w:rFonts w:ascii="Consolas" w:hAnsi="Consolas"/>
          <w:color w:val="1F4D78"/>
          <w:sz w:val="21"/>
          <w:shd w:fill="EEF1F4"/>
        </w:rPr>
        <w:t>WAIT</w:t>
      </w:r>
      <w:r>
        <w:rPr>
          <w:rFonts w:ascii="Calibri" w:hAnsi="Calibri"/>
          <w:color w:val="222222"/>
        </w:rPr>
        <w:t xml:space="preserve"> or </w:t>
      </w:r>
      <w:r>
        <w:rPr>
          <w:rFonts w:ascii="Consolas" w:hAnsi="Consolas"/>
          <w:color w:val="1F4D78"/>
          <w:sz w:val="21"/>
          <w:shd w:fill="EEF1F4"/>
        </w:rPr>
        <w:t>STOP</w:t>
      </w:r>
      <w:r>
        <w:rPr>
          <w:rFonts w:ascii="Calibri" w:hAnsi="Calibri"/>
          <w:color w:val="222222"/>
        </w:rPr>
        <w:t>. Correct the claim that no output can ever leave All of Us: participant-level data remain governed, while only outputs permitted under current dissemination policy may leave.</w:t>
      </w:r>
    </w:p>
    <w:p>
      <w:pPr>
        <w:pStyle w:val="Heading2"/>
      </w:pPr>
      <w:r>
        <w:rPr>
          <w:rFonts w:ascii="Calibri" w:hAnsi="Calibri"/>
          <w:color w:val="222222"/>
        </w:rPr>
        <w:t>Assessment administration</w:t>
      </w:r>
    </w:p>
    <w:p>
      <w:pPr>
        <w:pStyle w:val="Heading3"/>
      </w:pPr>
      <w:r>
        <w:rPr>
          <w:rFonts w:ascii="Calibri" w:hAnsi="Calibri"/>
          <w:color w:val="222222"/>
        </w:rPr>
        <w:t>Pretest</w:t>
      </w:r>
    </w:p>
    <w:p>
      <w:pPr>
        <w:numPr>
          <w:ilvl w:val="0"/>
          <w:numId w:val="17"/>
        </w:numPr>
        <w:spacing w:after="80" w:line="300" w:lineRule="auto"/>
      </w:pPr>
      <w:r>
        <w:rPr>
          <w:rFonts w:ascii="Calibri" w:hAnsi="Calibri"/>
          <w:color w:val="222222"/>
        </w:rPr>
        <w:t>Administer before Lesson 1 content.</w:t>
      </w:r>
    </w:p>
    <w:p>
      <w:pPr>
        <w:numPr>
          <w:ilvl w:val="0"/>
          <w:numId w:val="17"/>
        </w:numPr>
        <w:spacing w:after="80" w:line="300" w:lineRule="auto"/>
      </w:pPr>
      <w:r>
        <w:rPr>
          <w:rFonts w:ascii="Calibri" w:hAnsi="Calibri"/>
          <w:color w:val="222222"/>
        </w:rPr>
        <w:t>Do not show answers until submission.</w:t>
      </w:r>
    </w:p>
    <w:p>
      <w:pPr>
        <w:numPr>
          <w:ilvl w:val="0"/>
          <w:numId w:val="17"/>
        </w:numPr>
        <w:spacing w:after="80" w:line="300" w:lineRule="auto"/>
      </w:pPr>
      <w:r>
        <w:rPr>
          <w:rFonts w:ascii="Calibri" w:hAnsi="Calibri"/>
          <w:color w:val="222222"/>
        </w:rPr>
        <w:t>Use as a baseline and diagnostic, not as a gate.</w:t>
      </w:r>
    </w:p>
    <w:p>
      <w:pPr>
        <w:numPr>
          <w:ilvl w:val="0"/>
          <w:numId w:val="17"/>
        </w:numPr>
        <w:spacing w:after="80" w:line="300" w:lineRule="auto"/>
      </w:pPr>
      <w:r>
        <w:rPr>
          <w:rFonts w:ascii="Calibri" w:hAnsi="Calibri"/>
          <w:color w:val="222222"/>
        </w:rPr>
        <w:t>Maximum: 10 points.</w:t>
      </w:r>
    </w:p>
    <w:p>
      <w:pPr>
        <w:pStyle w:val="Heading3"/>
      </w:pPr>
      <w:r>
        <w:rPr>
          <w:rFonts w:ascii="Calibri" w:hAnsi="Calibri"/>
          <w:color w:val="222222"/>
        </w:rPr>
        <w:t>Embedded knowledge checks</w:t>
      </w:r>
    </w:p>
    <w:p>
      <w:pPr>
        <w:numPr>
          <w:ilvl w:val="0"/>
          <w:numId w:val="18"/>
        </w:numPr>
        <w:spacing w:after="80" w:line="300" w:lineRule="auto"/>
      </w:pPr>
      <w:r>
        <w:rPr>
          <w:rFonts w:ascii="Calibri" w:hAnsi="Calibri"/>
          <w:color w:val="222222"/>
        </w:rPr>
        <w:t>Use immediate feedback with rationale after each response.</w:t>
      </w:r>
    </w:p>
    <w:p>
      <w:pPr>
        <w:numPr>
          <w:ilvl w:val="0"/>
          <w:numId w:val="18"/>
        </w:numPr>
        <w:spacing w:after="80" w:line="300" w:lineRule="auto"/>
      </w:pPr>
      <w:r>
        <w:rPr>
          <w:rFonts w:ascii="Calibri" w:hAnsi="Calibri"/>
          <w:color w:val="222222"/>
        </w:rPr>
        <w:t>Permit retry after the rationale.</w:t>
      </w:r>
    </w:p>
    <w:p>
      <w:pPr>
        <w:numPr>
          <w:ilvl w:val="0"/>
          <w:numId w:val="18"/>
        </w:numPr>
        <w:spacing w:after="80" w:line="300" w:lineRule="auto"/>
      </w:pPr>
      <w:r>
        <w:rPr>
          <w:rFonts w:ascii="Calibri" w:hAnsi="Calibri"/>
          <w:color w:val="222222"/>
        </w:rPr>
        <w:t>Record first-attempt responses for instructional evaluation if the platform and consent permit.</w:t>
      </w:r>
    </w:p>
    <w:p>
      <w:pPr>
        <w:pStyle w:val="Heading3"/>
      </w:pPr>
      <w:r>
        <w:rPr>
          <w:rFonts w:ascii="Calibri" w:hAnsi="Calibri"/>
          <w:color w:val="222222"/>
        </w:rPr>
        <w:t>Posttest</w:t>
      </w:r>
    </w:p>
    <w:p>
      <w:pPr>
        <w:numPr>
          <w:ilvl w:val="0"/>
          <w:numId w:val="19"/>
        </w:numPr>
        <w:spacing w:after="80" w:line="300" w:lineRule="auto"/>
      </w:pPr>
      <w:r>
        <w:rPr>
          <w:rFonts w:ascii="Calibri" w:hAnsi="Calibri"/>
          <w:color w:val="222222"/>
        </w:rPr>
        <w:t>Administer after the transfer activity.</w:t>
      </w:r>
    </w:p>
    <w:p>
      <w:pPr>
        <w:numPr>
          <w:ilvl w:val="0"/>
          <w:numId w:val="19"/>
        </w:numPr>
        <w:spacing w:after="80" w:line="300" w:lineRule="auto"/>
      </w:pPr>
      <w:r>
        <w:rPr>
          <w:rFonts w:ascii="Calibri" w:hAnsi="Calibri"/>
          <w:color w:val="222222"/>
        </w:rPr>
        <w:t>Maximum: 12 points.</w:t>
      </w:r>
    </w:p>
    <w:p>
      <w:pPr>
        <w:numPr>
          <w:ilvl w:val="0"/>
          <w:numId w:val="19"/>
        </w:numPr>
        <w:spacing w:after="80" w:line="300" w:lineRule="auto"/>
      </w:pPr>
      <w:r>
        <w:rPr>
          <w:rFonts w:ascii="Calibri" w:hAnsi="Calibri"/>
          <w:color w:val="222222"/>
        </w:rPr>
        <w:t>Suggested mastery: 10/12, with no automatic certificate based on total score alone.</w:t>
      </w:r>
    </w:p>
    <w:p>
      <w:pPr>
        <w:numPr>
          <w:ilvl w:val="0"/>
          <w:numId w:val="19"/>
        </w:numPr>
        <w:spacing w:after="80" w:line="300" w:lineRule="auto"/>
      </w:pPr>
      <w:r>
        <w:rPr>
          <w:rFonts w:ascii="Calibri" w:hAnsi="Calibri"/>
          <w:color w:val="222222"/>
        </w:rPr>
        <w:t>Learners missing both items in an objective domain should review the associated lesson and complete a parallel retry.</w:t>
      </w:r>
    </w:p>
    <w:p>
      <w:pPr>
        <w:pStyle w:val="Heading3"/>
      </w:pPr>
      <w:r>
        <w:rPr>
          <w:rFonts w:ascii="Calibri" w:hAnsi="Calibri"/>
          <w:color w:val="222222"/>
        </w:rPr>
        <w:t>Performance artifacts</w:t>
      </w:r>
    </w:p>
    <w:p>
      <w:r>
        <w:rPr>
          <w:rFonts w:ascii="Calibri" w:hAnsi="Calibri"/>
          <w:color w:val="222222"/>
        </w:rPr>
        <w:t>Knowledge items do not fully assess application. Require these artifacts for completion:</w:t>
      </w:r>
    </w:p>
    <w:p>
      <w:pPr>
        <w:numPr>
          <w:ilvl w:val="0"/>
          <w:numId w:val="20"/>
        </w:numPr>
        <w:spacing w:after="80" w:line="300" w:lineRule="auto"/>
      </w:pPr>
      <w:r>
        <w:rPr>
          <w:rFonts w:ascii="Calibri" w:hAnsi="Calibri"/>
          <w:color w:val="222222"/>
        </w:rPr>
        <w:t>Cohort-comparison worksheet meeting all completion checks.</w:t>
      </w:r>
    </w:p>
    <w:p>
      <w:pPr>
        <w:numPr>
          <w:ilvl w:val="0"/>
          <w:numId w:val="20"/>
        </w:numPr>
        <w:spacing w:after="80" w:line="300" w:lineRule="auto"/>
      </w:pPr>
      <w:r>
        <w:rPr>
          <w:rFonts w:ascii="Calibri" w:hAnsi="Calibri"/>
          <w:color w:val="222222"/>
        </w:rPr>
        <w:t>Crosswalk scoring at least 16/20 and meeting all safety conditions.</w:t>
      </w:r>
    </w:p>
    <w:p>
      <w:pPr>
        <w:numPr>
          <w:ilvl w:val="0"/>
          <w:numId w:val="20"/>
        </w:numPr>
        <w:spacing w:after="80" w:line="300" w:lineRule="auto"/>
      </w:pPr>
      <w:r>
        <w:rPr>
          <w:rFonts w:ascii="Calibri" w:hAnsi="Calibri"/>
          <w:color w:val="222222"/>
        </w:rPr>
        <w:t>Notebook audit reproducing or explaining the structural and overlap checkpoints.</w:t>
      </w:r>
    </w:p>
    <w:p>
      <w:pPr>
        <w:numPr>
          <w:ilvl w:val="0"/>
          <w:numId w:val="20"/>
        </w:numPr>
        <w:spacing w:after="80" w:line="300" w:lineRule="auto"/>
      </w:pPr>
      <w:r>
        <w:rPr>
          <w:rFonts w:ascii="Calibri" w:hAnsi="Calibri"/>
          <w:color w:val="222222"/>
        </w:rPr>
        <w:t>A bounded four-sentence interpretation with no causal cross-study claim.</w:t>
      </w:r>
    </w:p>
    <w:p>
      <w:pPr>
        <w:numPr>
          <w:ilvl w:val="0"/>
          <w:numId w:val="20"/>
        </w:numPr>
        <w:spacing w:after="80" w:line="300" w:lineRule="auto"/>
      </w:pPr>
      <w:r>
        <w:rPr>
          <w:rFonts w:ascii="Calibri" w:hAnsi="Calibri"/>
          <w:color w:val="222222"/>
        </w:rPr>
        <w:t>Transfer checklist scoring at least 16/20 and meeting all minimum pass conditions.</w:t>
      </w:r>
    </w:p>
    <w:p>
      <w:pPr>
        <w:pStyle w:val="Heading2"/>
      </w:pPr>
      <w:r>
        <w:rPr>
          <w:rFonts w:ascii="Calibri" w:hAnsi="Calibri"/>
          <w:color w:val="222222"/>
        </w:rPr>
        <w:t>Accessibility guidance</w:t>
      </w:r>
    </w:p>
    <w:p>
      <w:r>
        <w:rPr>
          <w:rFonts w:ascii="Calibri" w:hAnsi="Calibri"/>
          <w:color w:val="222222"/>
        </w:rPr>
        <w:t>The lesson Markdown presents conceptual access and comparison workflows as text-only sketches and includes equivalent descriptions for generated charts. Preserve those descriptions when converting the material to dashboard components.</w:t>
      </w:r>
    </w:p>
    <w:p>
      <w:pPr>
        <w:pStyle w:val="Heading3"/>
      </w:pPr>
      <w:r>
        <w:rPr>
          <w:rFonts w:ascii="Calibri" w:hAnsi="Calibri"/>
          <w:color w:val="222222"/>
        </w:rPr>
        <w:t>Content requirements</w:t>
      </w:r>
    </w:p>
    <w:p>
      <w:pPr>
        <w:numPr>
          <w:ilvl w:val="0"/>
          <w:numId w:val="21"/>
        </w:numPr>
        <w:spacing w:after="80" w:line="300" w:lineRule="auto"/>
      </w:pPr>
      <w:r>
        <w:rPr>
          <w:rFonts w:ascii="Calibri" w:hAnsi="Calibri"/>
          <w:color w:val="222222"/>
        </w:rPr>
        <w:t>Use semantic heading levels in order.</w:t>
      </w:r>
    </w:p>
    <w:p>
      <w:pPr>
        <w:numPr>
          <w:ilvl w:val="0"/>
          <w:numId w:val="21"/>
        </w:numPr>
        <w:spacing w:after="80" w:line="300" w:lineRule="auto"/>
      </w:pPr>
      <w:r>
        <w:rPr>
          <w:rFonts w:ascii="Calibri" w:hAnsi="Calibri"/>
          <w:color w:val="222222"/>
        </w:rPr>
        <w:t>Give tables real header cells and avoid merged cells where possible.</w:t>
      </w:r>
    </w:p>
    <w:p>
      <w:pPr>
        <w:numPr>
          <w:ilvl w:val="0"/>
          <w:numId w:val="21"/>
        </w:numPr>
        <w:spacing w:after="80" w:line="300" w:lineRule="auto"/>
      </w:pPr>
      <w:r>
        <w:rPr>
          <w:rFonts w:ascii="Calibri" w:hAnsi="Calibri"/>
          <w:color w:val="222222"/>
        </w:rPr>
        <w:t>Do not rely on color alone; pair color with shape, line type, or direct labels.</w:t>
      </w:r>
    </w:p>
    <w:p>
      <w:pPr>
        <w:numPr>
          <w:ilvl w:val="0"/>
          <w:numId w:val="21"/>
        </w:numPr>
        <w:spacing w:after="80" w:line="300" w:lineRule="auto"/>
      </w:pPr>
      <w:r>
        <w:rPr>
          <w:rFonts w:ascii="Calibri" w:hAnsi="Calibri"/>
          <w:color w:val="222222"/>
        </w:rPr>
        <w:t xml:space="preserve">Use descriptive links rather than </w:t>
      </w:r>
      <w:r>
        <w:rPr>
          <w:rFonts w:ascii="Consolas" w:hAnsi="Consolas"/>
          <w:color w:val="1F4D78"/>
          <w:sz w:val="21"/>
          <w:shd w:fill="EEF1F4"/>
        </w:rPr>
        <w:t>click here</w:t>
      </w:r>
      <w:r>
        <w:rPr>
          <w:rFonts w:ascii="Calibri" w:hAnsi="Calibri"/>
          <w:color w:val="222222"/>
        </w:rPr>
        <w:t>.</w:t>
      </w:r>
    </w:p>
    <w:p>
      <w:pPr>
        <w:numPr>
          <w:ilvl w:val="0"/>
          <w:numId w:val="21"/>
        </w:numPr>
        <w:spacing w:after="80" w:line="300" w:lineRule="auto"/>
      </w:pPr>
      <w:r>
        <w:rPr>
          <w:rFonts w:ascii="Calibri" w:hAnsi="Calibri"/>
          <w:color w:val="222222"/>
        </w:rPr>
        <w:t>Expand abbreviations on first use and maintain the glossary link.</w:t>
      </w:r>
    </w:p>
    <w:p>
      <w:pPr>
        <w:numPr>
          <w:ilvl w:val="0"/>
          <w:numId w:val="21"/>
        </w:numPr>
        <w:spacing w:after="80" w:line="300" w:lineRule="auto"/>
      </w:pPr>
      <w:r>
        <w:rPr>
          <w:rFonts w:ascii="Calibri" w:hAnsi="Calibri"/>
          <w:color w:val="222222"/>
        </w:rPr>
        <w:t>Provide a text table behind every chart with the plotted values and sample counts.</w:t>
      </w:r>
    </w:p>
    <w:p>
      <w:pPr>
        <w:numPr>
          <w:ilvl w:val="0"/>
          <w:numId w:val="21"/>
        </w:numPr>
        <w:spacing w:after="80" w:line="300" w:lineRule="auto"/>
      </w:pPr>
      <w:r>
        <w:rPr>
          <w:rFonts w:ascii="Calibri" w:hAnsi="Calibri"/>
          <w:color w:val="222222"/>
        </w:rPr>
        <w:t>Include explained variance and figure-specific axis text for each PCA.</w:t>
      </w:r>
    </w:p>
    <w:p>
      <w:pPr>
        <w:numPr>
          <w:ilvl w:val="0"/>
          <w:numId w:val="21"/>
        </w:numPr>
        <w:spacing w:after="80" w:line="300" w:lineRule="auto"/>
      </w:pPr>
      <w:r>
        <w:rPr>
          <w:rFonts w:ascii="Calibri" w:hAnsi="Calibri"/>
          <w:color w:val="222222"/>
        </w:rPr>
        <w:t>Label the separate figures explicitly as plasma/diet and serum/exercise.</w:t>
      </w:r>
    </w:p>
    <w:p>
      <w:pPr>
        <w:numPr>
          <w:ilvl w:val="0"/>
          <w:numId w:val="21"/>
        </w:numPr>
        <w:spacing w:after="80" w:line="300" w:lineRule="auto"/>
      </w:pPr>
      <w:r>
        <w:rPr>
          <w:rFonts w:ascii="Calibri" w:hAnsi="Calibri"/>
          <w:color w:val="222222"/>
        </w:rPr>
        <w:t>Avoid motion or require a pause control.</w:t>
      </w:r>
    </w:p>
    <w:p>
      <w:pPr>
        <w:pStyle w:val="Heading3"/>
      </w:pPr>
      <w:r>
        <w:rPr>
          <w:rFonts w:ascii="Calibri" w:hAnsi="Calibri"/>
          <w:color w:val="222222"/>
        </w:rPr>
        <w:t>Notebook requirements</w:t>
      </w:r>
    </w:p>
    <w:p>
      <w:pPr>
        <w:numPr>
          <w:ilvl w:val="0"/>
          <w:numId w:val="22"/>
        </w:numPr>
        <w:spacing w:after="80" w:line="300" w:lineRule="auto"/>
      </w:pPr>
      <w:r>
        <w:rPr>
          <w:rFonts w:ascii="Calibri" w:hAnsi="Calibri"/>
          <w:color w:val="222222"/>
        </w:rPr>
        <w:t>Every code cell needs a preceding plain-language purpose statement.</w:t>
      </w:r>
    </w:p>
    <w:p>
      <w:pPr>
        <w:numPr>
          <w:ilvl w:val="0"/>
          <w:numId w:val="22"/>
        </w:numPr>
        <w:spacing w:after="80" w:line="300" w:lineRule="auto"/>
      </w:pPr>
      <w:r>
        <w:rPr>
          <w:rFonts w:ascii="Calibri" w:hAnsi="Calibri"/>
          <w:color w:val="222222"/>
        </w:rPr>
        <w:t>Every output needs a short interpretation and a machine-readable or text alternative.</w:t>
      </w:r>
    </w:p>
    <w:p>
      <w:pPr>
        <w:numPr>
          <w:ilvl w:val="0"/>
          <w:numId w:val="22"/>
        </w:numPr>
        <w:spacing w:after="80" w:line="300" w:lineRule="auto"/>
      </w:pPr>
      <w:r>
        <w:rPr>
          <w:rFonts w:ascii="Calibri" w:hAnsi="Calibri"/>
          <w:color w:val="222222"/>
        </w:rPr>
        <w:t>Errors must be conveyed in text, not color alone.</w:t>
      </w:r>
    </w:p>
    <w:p>
      <w:pPr>
        <w:numPr>
          <w:ilvl w:val="0"/>
          <w:numId w:val="22"/>
        </w:numPr>
        <w:spacing w:after="80" w:line="300" w:lineRule="auto"/>
      </w:pPr>
      <w:r>
        <w:rPr>
          <w:rFonts w:ascii="Calibri" w:hAnsi="Calibri"/>
          <w:color w:val="222222"/>
        </w:rPr>
        <w:t>Interactive widgets need keyboard focus, labels, and a non-widget fallback.</w:t>
      </w:r>
    </w:p>
    <w:p>
      <w:pPr>
        <w:numPr>
          <w:ilvl w:val="0"/>
          <w:numId w:val="22"/>
        </w:numPr>
        <w:spacing w:after="80" w:line="300" w:lineRule="auto"/>
      </w:pPr>
      <w:r>
        <w:rPr>
          <w:rFonts w:ascii="Calibri" w:hAnsi="Calibri"/>
          <w:color w:val="222222"/>
        </w:rPr>
        <w:t>Figures need high-contrast palettes and marker shapes.</w:t>
      </w:r>
    </w:p>
    <w:p>
      <w:pPr>
        <w:numPr>
          <w:ilvl w:val="0"/>
          <w:numId w:val="22"/>
        </w:numPr>
        <w:spacing w:after="80" w:line="300" w:lineRule="auto"/>
      </w:pPr>
      <w:r>
        <w:rPr>
          <w:rFonts w:ascii="Calibri" w:hAnsi="Calibri"/>
          <w:color w:val="222222"/>
        </w:rPr>
        <w:t>Do not auto-scroll past warnings or stop conditions.</w:t>
      </w:r>
    </w:p>
    <w:p>
      <w:pPr>
        <w:pStyle w:val="Heading3"/>
      </w:pPr>
      <w:r>
        <w:rPr>
          <w:rFonts w:ascii="Calibri" w:hAnsi="Calibri"/>
          <w:color w:val="222222"/>
        </w:rPr>
        <w:t>Assessment requirements</w:t>
      </w:r>
    </w:p>
    <w:p>
      <w:pPr>
        <w:numPr>
          <w:ilvl w:val="0"/>
          <w:numId w:val="23"/>
        </w:numPr>
        <w:spacing w:after="80" w:line="300" w:lineRule="auto"/>
      </w:pPr>
      <w:r>
        <w:rPr>
          <w:rFonts w:ascii="Calibri" w:hAnsi="Calibri"/>
          <w:color w:val="222222"/>
        </w:rPr>
        <w:t>Associate each option with the prompt programmatically.</w:t>
      </w:r>
    </w:p>
    <w:p>
      <w:pPr>
        <w:numPr>
          <w:ilvl w:val="0"/>
          <w:numId w:val="23"/>
        </w:numPr>
        <w:spacing w:after="80" w:line="300" w:lineRule="auto"/>
      </w:pPr>
      <w:r>
        <w:rPr>
          <w:rFonts w:ascii="Calibri" w:hAnsi="Calibri"/>
          <w:color w:val="222222"/>
        </w:rPr>
        <w:t>Provide visible focus indicators.</w:t>
      </w:r>
    </w:p>
    <w:p>
      <w:pPr>
        <w:numPr>
          <w:ilvl w:val="0"/>
          <w:numId w:val="23"/>
        </w:numPr>
        <w:spacing w:after="80" w:line="300" w:lineRule="auto"/>
      </w:pPr>
      <w:r>
        <w:rPr>
          <w:rFonts w:ascii="Calibri" w:hAnsi="Calibri"/>
          <w:color w:val="222222"/>
        </w:rPr>
        <w:t>Do not impose a speeded time limit; listed times are estimates.</w:t>
      </w:r>
    </w:p>
    <w:p>
      <w:pPr>
        <w:numPr>
          <w:ilvl w:val="0"/>
          <w:numId w:val="23"/>
        </w:numPr>
        <w:spacing w:after="80" w:line="300" w:lineRule="auto"/>
      </w:pPr>
      <w:r>
        <w:rPr>
          <w:rFonts w:ascii="Calibri" w:hAnsi="Calibri"/>
          <w:color w:val="222222"/>
        </w:rPr>
        <w:t>Announce correctness and rationale to screen readers after submission.</w:t>
      </w:r>
    </w:p>
    <w:p>
      <w:pPr>
        <w:numPr>
          <w:ilvl w:val="0"/>
          <w:numId w:val="23"/>
        </w:numPr>
        <w:spacing w:after="80" w:line="300" w:lineRule="auto"/>
      </w:pPr>
      <w:r>
        <w:rPr>
          <w:rFonts w:ascii="Calibri" w:hAnsi="Calibri"/>
          <w:color w:val="222222"/>
        </w:rPr>
        <w:t>Make JSON content available through an accessible rendering layer rather than requiring learners to read raw JSON.</w:t>
      </w:r>
    </w:p>
    <w:p>
      <w:pPr>
        <w:pStyle w:val="Heading2"/>
      </w:pPr>
      <w:r>
        <w:rPr>
          <w:rFonts w:ascii="Calibri" w:hAnsi="Calibri"/>
          <w:color w:val="222222"/>
        </w:rPr>
        <w:t>Troubleshooting and stop conditions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val="true"/>
          <w:tblHeader w:val="true"/>
        </w:trPr>
        <w:tc>
          <w:tcPr>
            <w:tcW w:type="dxa" w:w="468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Problem</w:t>
            </w:r>
          </w:p>
        </w:tc>
        <w:tc>
          <w:tcPr>
            <w:tcW w:type="dxa" w:w="468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Instructor response</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MW endpoint fails</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Display failure evidence, use only the versioned cache, label it cached, and schedule a later access recheck.</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Live count differs from guide</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Check revision, endpoint schema, selected analyses, QC roles, and parsing; document the difference rather than forcing the old count.</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QPP...</w:t>
            </w:r>
            <w:r>
              <w:rPr>
                <w:rFonts w:ascii="Calibri" w:hAnsi="Calibri"/>
                <w:color w:val="222222"/>
                <w:sz w:val="18"/>
              </w:rPr>
              <w:t xml:space="preserve"> rows appear in biological PCA</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Stop, correct </w:t>
            </w:r>
            <w:r>
              <w:rPr>
                <w:rFonts w:ascii="Consolas" w:hAnsi="Consolas"/>
                <w:color w:val="1F4D78"/>
                <w:sz w:val="17"/>
                <w:shd w:fill="EEF1F4"/>
              </w:rPr>
              <w:t>sample_role</w:t>
            </w:r>
            <w:r>
              <w:rPr>
                <w:rFonts w:ascii="Calibri" w:hAnsi="Calibri"/>
                <w:color w:val="222222"/>
                <w:sz w:val="18"/>
              </w:rPr>
              <w:t>, rerun participant/sample counts, then refit PCA.</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Exercise matrix appears only as </w:t>
            </w:r>
            <w:r>
              <w:rPr>
                <w:rFonts w:ascii="Consolas" w:hAnsi="Consolas"/>
                <w:color w:val="1F4D78"/>
                <w:sz w:val="17"/>
                <w:shd w:fill="EEF1F4"/>
              </w:rPr>
              <w:t>blood</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Inspect collection metadata; preserve the broad factor and derive serum from the specific supported source.</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Crosswalk join multiplies rows</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Stop and audit key cardinality; do not drop duplicates randomly.</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RefMet mapping maximizes overlap by narrowing ambiguous labels</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Restore source detail, mark review required or broader, and recompute eligible sets.</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Learner proposes pooled diet-versus-exercise inference</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Return to the estimand and confounding audit; require a within-study or descriptive name-set alternative.</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Access policy is unclear</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Pause affected movement, document the question, and use the resource's official support channel.</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Learner lacks a working Python environment</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Use the first-time setup guide and default cache. An instructor demonstration may preview the output, but schedule the learner's hands-on run after setup rather than treating the demonstration as completion.</w:t>
            </w:r>
          </w:p>
        </w:tc>
      </w:tr>
    </w:tbl>
    <w:p>
      <w:pPr>
        <w:spacing w:before="0" w:after="40"/>
      </w:pPr>
    </w:p>
    <w:p>
      <w:pPr>
        <w:pStyle w:val="Heading2"/>
      </w:pPr>
      <w:r>
        <w:rPr>
          <w:rFonts w:ascii="Calibri" w:hAnsi="Calibri"/>
          <w:color w:val="222222"/>
        </w:rPr>
        <w:t>Quality and fidelity audit</w:t>
      </w:r>
    </w:p>
    <w:p>
      <w:r>
        <w:rPr>
          <w:rFonts w:ascii="Calibri" w:hAnsi="Calibri"/>
          <w:color w:val="222222"/>
        </w:rPr>
        <w:t>Before declaring the module complete, inspect evidence for every requirement:</w:t>
      </w:r>
    </w:p>
    <w:p>
      <w:pPr>
        <w:numPr>
          <w:ilvl w:val="0"/>
          <w:numId w:val="24"/>
        </w:numPr>
        <w:spacing w:after="80" w:line="300" w:lineRule="auto"/>
      </w:pPr>
      <w:r>
        <w:rPr>
          <w:rFonts w:ascii="Calibri" w:hAnsi="Calibri"/>
          <w:color w:val="222222"/>
        </w:rPr>
        <w:t>Five lessons total exactly 140 estimated minutes.</w:t>
      </w:r>
    </w:p>
    <w:p>
      <w:pPr>
        <w:numPr>
          <w:ilvl w:val="0"/>
          <w:numId w:val="24"/>
        </w:numPr>
        <w:spacing w:after="80" w:line="300" w:lineRule="auto"/>
      </w:pPr>
      <w:r>
        <w:rPr>
          <w:rFonts w:ascii="Calibri" w:hAnsi="Calibri"/>
          <w:color w:val="222222"/>
        </w:rPr>
        <w:t>Each lesson has objectives, narrative, a worked example, activity, knowledge check, guardrails, accessibility support where visual content is proposed, and primary sources.</w:t>
      </w:r>
    </w:p>
    <w:p>
      <w:pPr>
        <w:numPr>
          <w:ilvl w:val="0"/>
          <w:numId w:val="24"/>
        </w:numPr>
        <w:spacing w:after="80" w:line="300" w:lineRule="auto"/>
      </w:pPr>
      <w:r>
        <w:rPr>
          <w:rFonts w:ascii="Calibri" w:hAnsi="Calibri"/>
          <w:color w:val="222222"/>
        </w:rPr>
        <w:t>The locked pair and reserve pair are recorded.</w:t>
      </w:r>
    </w:p>
    <w:p>
      <w:pPr>
        <w:numPr>
          <w:ilvl w:val="0"/>
          <w:numId w:val="24"/>
        </w:numPr>
        <w:spacing w:after="80" w:line="300" w:lineRule="auto"/>
      </w:pPr>
      <w:r>
        <w:rPr>
          <w:rFonts w:ascii="Calibri" w:hAnsi="Calibri"/>
          <w:color w:val="222222"/>
        </w:rPr>
        <w:t>Every claim about access has current first-party evidence and a check date.</w:t>
      </w:r>
    </w:p>
    <w:p>
      <w:pPr>
        <w:numPr>
          <w:ilvl w:val="0"/>
          <w:numId w:val="24"/>
        </w:numPr>
        <w:spacing w:after="80" w:line="300" w:lineRule="auto"/>
      </w:pPr>
      <w:r>
        <w:rPr>
          <w:rFonts w:ascii="Calibri" w:hAnsi="Calibri"/>
          <w:color w:val="222222"/>
        </w:rPr>
        <w:t>Pretest, posttest, and embedded checks cover all five objectives and include answer rationales.</w:t>
      </w:r>
    </w:p>
    <w:p>
      <w:pPr>
        <w:numPr>
          <w:ilvl w:val="0"/>
          <w:numId w:val="24"/>
        </w:numPr>
        <w:spacing w:after="80" w:line="300" w:lineRule="auto"/>
      </w:pPr>
      <w:r>
        <w:rPr>
          <w:rFonts w:ascii="Calibri" w:hAnsi="Calibri"/>
          <w:color w:val="222222"/>
        </w:rPr>
        <w:t>Learner and instructor versions exist for all three templates.</w:t>
      </w:r>
    </w:p>
    <w:p>
      <w:pPr>
        <w:numPr>
          <w:ilvl w:val="0"/>
          <w:numId w:val="24"/>
        </w:numPr>
        <w:spacing w:after="80" w:line="300" w:lineRule="auto"/>
      </w:pPr>
      <w:r>
        <w:rPr>
          <w:rFonts w:ascii="Calibri" w:hAnsi="Calibri"/>
          <w:color w:val="222222"/>
        </w:rPr>
        <w:t>The overlap audit distinguishes 153 raw from 145 conservative biological names.</w:t>
      </w:r>
    </w:p>
    <w:p>
      <w:pPr>
        <w:numPr>
          <w:ilvl w:val="0"/>
          <w:numId w:val="24"/>
        </w:numPr>
        <w:spacing w:after="80" w:line="300" w:lineRule="auto"/>
      </w:pPr>
      <w:r>
        <w:rPr>
          <w:rFonts w:ascii="Calibri" w:hAnsi="Calibri"/>
          <w:color w:val="222222"/>
        </w:rPr>
        <w:t>The lesson never claims that harmonization establishes quantitative pooling, causal comparability, or shared biological response.</w:t>
      </w:r>
    </w:p>
    <w:p>
      <w:pPr>
        <w:numPr>
          <w:ilvl w:val="0"/>
          <w:numId w:val="24"/>
        </w:numPr>
        <w:spacing w:after="80" w:line="300" w:lineRule="auto"/>
      </w:pPr>
      <w:r>
        <w:rPr>
          <w:rFonts w:ascii="Calibri" w:hAnsi="Calibri"/>
          <w:color w:val="222222"/>
        </w:rPr>
        <w:t>Generated dashboard, notebook, and support exports render accessibly and preserve all warnings.</w:t>
      </w:r>
    </w:p>
    <w:p>
      <w:pPr>
        <w:pStyle w:val="Heading2"/>
      </w:pPr>
      <w:r>
        <w:rPr>
          <w:rFonts w:ascii="Calibri" w:hAnsi="Calibri"/>
          <w:color w:val="222222"/>
        </w:rPr>
        <w:t>Primary references</w:t>
      </w:r>
    </w:p>
    <w:p>
      <w:pPr>
        <w:numPr>
          <w:ilvl w:val="0"/>
          <w:numId w:val="25"/>
        </w:numPr>
        <w:spacing w:after="80" w:line="300" w:lineRule="auto"/>
      </w:pPr>
      <w:r>
        <w:rPr>
          <w:rFonts w:ascii="Calibri" w:hAnsi="Calibri"/>
          <w:color w:val="222222"/>
        </w:rPr>
        <w:t xml:space="preserve">Metabolomics Workbench. </w:t>
      </w:r>
      <w:hyperlink r:id="rId11">
        <w:r>
          <w:rPr>
            <w:rFonts w:ascii="Calibri" w:hAnsi="Calibri"/>
            <w:color w:val="2E74B5"/>
            <w:u w:val="single"/>
            <w:sz w:val="22"/>
          </w:rPr>
          <w:t>REST Service</w:t>
        </w:r>
      </w:hyperlink>
      <w:r>
        <w:rPr>
          <w:rFonts w:ascii="Calibri" w:hAnsi="Calibri"/>
          <w:color w:val="222222"/>
        </w:rPr>
        <w:t xml:space="preserve">, </w:t>
      </w:r>
      <w:hyperlink r:id="rId12">
        <w:r>
          <w:rPr>
            <w:rFonts w:ascii="Calibri" w:hAnsi="Calibri"/>
            <w:color w:val="2E74B5"/>
            <w:u w:val="single"/>
            <w:sz w:val="22"/>
          </w:rPr>
          <w:t>mwTab documentation</w:t>
        </w:r>
      </w:hyperlink>
      <w:r>
        <w:rPr>
          <w:rFonts w:ascii="Calibri" w:hAnsi="Calibri"/>
          <w:color w:val="222222"/>
        </w:rPr>
        <w:t xml:space="preserve">, and </w:t>
      </w:r>
      <w:hyperlink r:id="rId13">
        <w:r>
          <w:rPr>
            <w:rFonts w:ascii="Calibri" w:hAnsi="Calibri"/>
            <w:color w:val="2E74B5"/>
            <w:u w:val="single"/>
            <w:sz w:val="22"/>
          </w:rPr>
          <w:t>RefMet</w:t>
        </w:r>
      </w:hyperlink>
      <w:r>
        <w:rPr>
          <w:rFonts w:ascii="Calibri" w:hAnsi="Calibri"/>
          <w:color w:val="222222"/>
        </w:rPr>
        <w:t>. Accessed August 10, 2026.</w:t>
      </w:r>
    </w:p>
    <w:p>
      <w:pPr>
        <w:numPr>
          <w:ilvl w:val="0"/>
          <w:numId w:val="25"/>
        </w:numPr>
        <w:spacing w:after="80" w:line="300" w:lineRule="auto"/>
      </w:pPr>
      <w:r>
        <w:rPr>
          <w:rFonts w:ascii="Calibri" w:hAnsi="Calibri"/>
          <w:color w:val="222222"/>
        </w:rPr>
        <w:t xml:space="preserve">Fahy E, Subramaniam S. </w:t>
      </w:r>
      <w:hyperlink r:id="rId14">
        <w:r>
          <w:rPr>
            <w:rFonts w:ascii="Calibri" w:hAnsi="Calibri"/>
            <w:color w:val="2E74B5"/>
            <w:u w:val="single"/>
            <w:sz w:val="22"/>
          </w:rPr>
          <w:t>RefMet: a reference nomenclature for metabolomics</w:t>
        </w:r>
      </w:hyperlink>
      <w:r>
        <w:rPr>
          <w:rFonts w:ascii="Calibri" w:hAnsi="Calibri"/>
          <w:color w:val="222222"/>
        </w:rPr>
        <w:t xml:space="preserve">. </w:t>
      </w:r>
      <w:r>
        <w:rPr>
          <w:rFonts w:ascii="Calibri" w:hAnsi="Calibri"/>
          <w:i/>
          <w:color w:val="222222"/>
        </w:rPr>
        <w:t>Nature Methods</w:t>
      </w:r>
      <w:r>
        <w:rPr>
          <w:rFonts w:ascii="Calibri" w:hAnsi="Calibri"/>
          <w:color w:val="222222"/>
        </w:rPr>
        <w:t>. 2020;17:1173-1174.</w:t>
      </w:r>
    </w:p>
    <w:p>
      <w:pPr>
        <w:numPr>
          <w:ilvl w:val="0"/>
          <w:numId w:val="25"/>
        </w:numPr>
        <w:spacing w:after="80" w:line="300" w:lineRule="auto"/>
      </w:pPr>
      <w:r>
        <w:rPr>
          <w:rFonts w:ascii="Calibri" w:hAnsi="Calibri"/>
          <w:color w:val="222222"/>
        </w:rPr>
        <w:t xml:space="preserve">MoTrPAC Study Group, Jakicic JM, Kohrt WM, et al. </w:t>
      </w:r>
      <w:hyperlink r:id="rId15">
        <w:r>
          <w:rPr>
            <w:rFonts w:ascii="Calibri" w:hAnsi="Calibri"/>
            <w:color w:val="2E74B5"/>
            <w:u w:val="single"/>
            <w:sz w:val="22"/>
          </w:rPr>
          <w:t>MoTrPAC human studies design and protocol</w:t>
        </w:r>
      </w:hyperlink>
      <w:r>
        <w:rPr>
          <w:rFonts w:ascii="Calibri" w:hAnsi="Calibri"/>
          <w:color w:val="222222"/>
        </w:rPr>
        <w:t xml:space="preserve">. </w:t>
      </w:r>
      <w:r>
        <w:rPr>
          <w:rFonts w:ascii="Calibri" w:hAnsi="Calibri"/>
          <w:i/>
          <w:color w:val="222222"/>
        </w:rPr>
        <w:t>Journal of Applied Physiology</w:t>
      </w:r>
      <w:r>
        <w:rPr>
          <w:rFonts w:ascii="Calibri" w:hAnsi="Calibri"/>
          <w:color w:val="222222"/>
        </w:rPr>
        <w:t>. 2024;137(3):473-493.</w:t>
      </w:r>
    </w:p>
    <w:p>
      <w:pPr>
        <w:numPr>
          <w:ilvl w:val="0"/>
          <w:numId w:val="25"/>
        </w:numPr>
        <w:spacing w:after="80" w:line="300" w:lineRule="auto"/>
      </w:pPr>
      <w:r>
        <w:rPr>
          <w:rFonts w:ascii="Calibri" w:hAnsi="Calibri"/>
          <w:color w:val="222222"/>
        </w:rPr>
        <w:t xml:space="preserve">NIH Common Fund. </w:t>
      </w:r>
      <w:hyperlink r:id="rId16">
        <w:r>
          <w:rPr>
            <w:rFonts w:ascii="Calibri" w:hAnsi="Calibri"/>
            <w:color w:val="2E74B5"/>
            <w:u w:val="single"/>
            <w:sz w:val="22"/>
          </w:rPr>
          <w:t>Nutrition for Precision Health FAQ</w:t>
        </w:r>
      </w:hyperlink>
      <w:r>
        <w:rPr>
          <w:rFonts w:ascii="Calibri" w:hAnsi="Calibri"/>
          <w:color w:val="222222"/>
        </w:rPr>
        <w:t>. Accessed August 10, 2026.</w:t>
      </w:r>
    </w:p>
    <w:p>
      <w:pPr>
        <w:numPr>
          <w:ilvl w:val="0"/>
          <w:numId w:val="25"/>
        </w:numPr>
        <w:spacing w:after="80" w:line="300" w:lineRule="auto"/>
      </w:pPr>
      <w:r>
        <w:rPr>
          <w:rFonts w:ascii="Calibri" w:hAnsi="Calibri"/>
          <w:color w:val="222222"/>
        </w:rPr>
        <w:t xml:space="preserve">All of Us Research Program. </w:t>
      </w:r>
      <w:hyperlink r:id="rId17">
        <w:r>
          <w:rPr>
            <w:rFonts w:ascii="Calibri" w:hAnsi="Calibri"/>
            <w:color w:val="2E74B5"/>
            <w:u w:val="single"/>
            <w:sz w:val="22"/>
          </w:rPr>
          <w:t>Researcher Workbench</w:t>
        </w:r>
      </w:hyperlink>
      <w:r>
        <w:rPr>
          <w:rFonts w:ascii="Calibri" w:hAnsi="Calibri"/>
          <w:color w:val="222222"/>
        </w:rPr>
        <w:t xml:space="preserve"> and </w:t>
      </w:r>
      <w:hyperlink r:id="rId18">
        <w:r>
          <w:rPr>
            <w:rFonts w:ascii="Calibri" w:hAnsi="Calibri"/>
            <w:color w:val="2E74B5"/>
            <w:u w:val="single"/>
            <w:sz w:val="22"/>
          </w:rPr>
          <w:t>policy guidance</w:t>
        </w:r>
      </w:hyperlink>
      <w:r>
        <w:rPr>
          <w:rFonts w:ascii="Calibri" w:hAnsi="Calibri"/>
          <w:color w:val="222222"/>
        </w:rPr>
        <w:t>. Accessed August 10, 2026.</w:t>
      </w:r>
    </w:p>
    <w:p>
      <w:pPr>
        <w:numPr>
          <w:ilvl w:val="0"/>
          <w:numId w:val="25"/>
        </w:numPr>
        <w:spacing w:after="80" w:line="300" w:lineRule="auto"/>
      </w:pPr>
      <w:r>
        <w:rPr>
          <w:rFonts w:ascii="Calibri" w:hAnsi="Calibri"/>
          <w:color w:val="222222"/>
        </w:rPr>
        <w:t xml:space="preserve">Wilkinson MD, Dumontier M, Aalbersberg IJ, et al. </w:t>
      </w:r>
      <w:hyperlink r:id="rId19">
        <w:r>
          <w:rPr>
            <w:rFonts w:ascii="Calibri" w:hAnsi="Calibri"/>
            <w:color w:val="2E74B5"/>
            <w:u w:val="single"/>
            <w:sz w:val="22"/>
          </w:rPr>
          <w:t>The FAIR Guiding Principles</w:t>
        </w:r>
      </w:hyperlink>
      <w:r>
        <w:rPr>
          <w:rFonts w:ascii="Calibri" w:hAnsi="Calibri"/>
          <w:color w:val="222222"/>
        </w:rPr>
        <w:t xml:space="preserve">. </w:t>
      </w:r>
      <w:r>
        <w:rPr>
          <w:rFonts w:ascii="Calibri" w:hAnsi="Calibri"/>
          <w:i/>
          <w:color w:val="222222"/>
        </w:rPr>
        <w:t>Scientific Data</w:t>
      </w:r>
      <w:r>
        <w:rPr>
          <w:rFonts w:ascii="Calibri" w:hAnsi="Calibri"/>
          <w:color w:val="222222"/>
        </w:rPr>
        <w:t>. 2016;3:160018.</w:t>
      </w:r>
    </w:p>
    <w:p>
      <w:r>
        <w:br w:type="page"/>
      </w:r>
    </w:p>
    <w:p>
      <w:pPr>
        <w:pStyle w:val="Heading1"/>
      </w:pPr>
      <w:r>
        <w:rPr>
          <w:rFonts w:ascii="Calibri" w:hAnsi="Calibri"/>
          <w:color w:val="222222"/>
        </w:rPr>
        <w:t>Metabo-Diet answer key</w:t>
      </w:r>
    </w:p>
    <w:p>
      <w:r>
        <w:rPr>
          <w:rFonts w:ascii="Calibri" w:hAnsi="Calibri"/>
          <w:b/>
          <w:color w:val="222222"/>
        </w:rPr>
        <w:t>Instructor-only file:</w:t>
      </w:r>
      <w:r>
        <w:rPr>
          <w:rFonts w:ascii="Calibri" w:hAnsi="Calibri"/>
          <w:color w:val="222222"/>
        </w:rPr>
        <w:t xml:space="preserve"> Do not expose before learners submit the corresponding assessment. The JSON assessment files are the authoritative machine-readable source for item wording, options, answers, and full rationales.</w:t>
      </w:r>
    </w:p>
    <w:p>
      <w:pPr>
        <w:pStyle w:val="Heading2"/>
      </w:pPr>
      <w:r>
        <w:rPr>
          <w:rFonts w:ascii="Calibri" w:hAnsi="Calibri"/>
          <w:color w:val="222222"/>
        </w:rPr>
        <w:t>Pretest key</w:t>
      </w:r>
    </w:p>
    <w:tbl>
      <w:tblPr>
        <w:tblStyle w:val="TableGrid"/>
        <w:tblW w:type="dxa" w:w="9360"/>
        <w:jc w:val="left"/>
        <w:tblLayout w:type="fixed"/>
        <w:tblLook w:firstColumn="1" w:firstRow="1" w:lastColumn="0" w:lastRow="0" w:noHBand="0" w:noVBand="1" w:val="04A0"/>
        <w:tblInd w:w="120" w:type="dxa"/>
      </w:tblPr>
      <w:tblGrid>
        <w:gridCol w:w="1596"/>
        <w:gridCol w:w="1696"/>
        <w:gridCol w:w="1993"/>
        <w:gridCol w:w="4075"/>
      </w:tblGrid>
      <w:tr>
        <w:trPr>
          <w:cantSplit w:val="true"/>
          <w:tblHeader w:val="true"/>
        </w:trPr>
        <w:tc>
          <w:tcPr>
            <w:tcW w:type="dxa" w:w="159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Item</w:t>
            </w:r>
          </w:p>
        </w:tc>
        <w:tc>
          <w:tcPr>
            <w:tcW w:type="dxa" w:w="169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Answer</w:t>
            </w:r>
          </w:p>
        </w:tc>
        <w:tc>
          <w:tcPr>
            <w:tcW w:type="dxa" w:w="199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Objective(s)</w:t>
            </w:r>
          </w:p>
        </w:tc>
        <w:tc>
          <w:tcPr>
            <w:tcW w:type="dxa" w:w="407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Rationale</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PRE-01</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LO1</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A </w:t>
            </w:r>
            <w:r>
              <w:rPr>
                <w:rFonts w:ascii="Consolas" w:hAnsi="Consolas"/>
                <w:color w:val="1F4D78"/>
                <w:sz w:val="15"/>
                <w:shd w:fill="EEF1F4"/>
              </w:rPr>
              <w:t>post</w:t>
            </w:r>
            <w:r>
              <w:rPr>
                <w:rFonts w:ascii="Calibri" w:hAnsi="Calibri"/>
                <w:color w:val="222222"/>
                <w:sz w:val="16"/>
              </w:rPr>
              <w:t xml:space="preserve"> value needs an anchor, elapsed time, physiological state, specimen, and assay context.</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PRE-02</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LO1, LO2</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Repeated samples from one person are correlated; sample count is not participant count.</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PRE-03</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A</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LO2</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 shared standardized name supports a naming bridge, not shared scale, specimen, preprocessing, or causal response.</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PRE-04</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LO3</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 supplies standardized nomenclature designed for analytical chemistry.</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PRE-05</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LO3</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Ambiguity must remain visible until additional evidence supports one candidate.</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PRE-06</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LO4</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The MW study-context </w:t>
            </w:r>
            <w:r>
              <w:rPr>
                <w:rFonts w:ascii="Consolas" w:hAnsi="Consolas"/>
                <w:color w:val="1F4D78"/>
                <w:sz w:val="15"/>
                <w:shd w:fill="EEF1F4"/>
              </w:rPr>
              <w:t>factors</w:t>
            </w:r>
            <w:r>
              <w:rPr>
                <w:rFonts w:ascii="Calibri" w:hAnsi="Calibri"/>
                <w:color w:val="222222"/>
                <w:sz w:val="16"/>
              </w:rPr>
              <w:t xml:space="preserve"> output returns samples and experimental variables.</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PRE-07</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LO2, LO4</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PCA describes variance under selected preprocessing and does not assign a cause.</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PRE-08</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LO5</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Access is established with current first-party evidence for the exact release and action.</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PRE-09</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LO1, LO2</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Plasma and serum can share a broad discovery category but remain different matrices.</w:t>
            </w:r>
          </w:p>
        </w:tc>
      </w:tr>
      <w:tr>
        <w:trPr>
          <w:cantSplit w:val="true"/>
        </w:trPr>
        <w:tc>
          <w:tcPr>
            <w:tcW w:type="dxa" w:w="159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PRE-10</w:t>
            </w:r>
          </w:p>
        </w:tc>
        <w:tc>
          <w:tcPr>
            <w:tcW w:type="dxa" w:w="169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LO5</w:t>
            </w:r>
          </w:p>
        </w:tc>
        <w:tc>
          <w:tcPr>
            <w:tcW w:type="dxa" w:w="407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Participant-level governed data stay in approved compute and storage; only permitted outputs leave.</w:t>
            </w:r>
          </w:p>
        </w:tc>
      </w:tr>
    </w:tbl>
    <w:p>
      <w:pPr>
        <w:spacing w:before="0" w:after="40"/>
      </w:pPr>
    </w:p>
    <w:p>
      <w:r>
        <w:rPr>
          <w:rFonts w:ascii="Calibri" w:hAnsi="Calibri"/>
          <w:b/>
          <w:color w:val="222222"/>
        </w:rPr>
        <w:t>Maximum:</w:t>
      </w:r>
      <w:r>
        <w:rPr>
          <w:rFonts w:ascii="Calibri" w:hAnsi="Calibri"/>
          <w:color w:val="222222"/>
        </w:rPr>
        <w:t xml:space="preserve"> 10 points. Use as a baseline, not a pass/fail gate.</w:t>
      </w:r>
    </w:p>
    <w:p>
      <w:pPr>
        <w:pStyle w:val="Heading2"/>
      </w:pPr>
      <w:r>
        <w:rPr>
          <w:rFonts w:ascii="Calibri" w:hAnsi="Calibri"/>
          <w:color w:val="222222"/>
        </w:rPr>
        <w:t>Embedded knowledge-check key</w:t>
      </w:r>
    </w:p>
    <w:tbl>
      <w:tblPr>
        <w:tblStyle w:val="TableGrid"/>
        <w:tblW w:type="dxa" w:w="9360"/>
        <w:jc w:val="left"/>
        <w:tblLayout w:type="fixed"/>
        <w:tblLook w:firstColumn="1" w:firstRow="1" w:lastColumn="0" w:lastRow="0" w:noHBand="0" w:noVBand="1" w:val="04A0"/>
        <w:tblInd w:w="120" w:type="dxa"/>
      </w:tblPr>
      <w:tblGrid>
        <w:gridCol w:w="1941"/>
        <w:gridCol w:w="1941"/>
        <w:gridCol w:w="5478"/>
      </w:tblGrid>
      <w:tr>
        <w:trPr>
          <w:cantSplit w:val="true"/>
          <w:tblHeader w:val="true"/>
        </w:trPr>
        <w:tc>
          <w:tcPr>
            <w:tcW w:type="dxa" w:w="194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Item</w:t>
            </w:r>
          </w:p>
        </w:tc>
        <w:tc>
          <w:tcPr>
            <w:tcW w:type="dxa" w:w="194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Answer</w:t>
            </w:r>
          </w:p>
        </w:tc>
        <w:tc>
          <w:tcPr>
            <w:tcW w:type="dxa" w:w="547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Key idea</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KC1-01</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B</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RefMet match is a candidate standardized naming bridge, not analytical equivalence.</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KC1-02</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C</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Verify exact dataset, release, action, and current first-party policy.</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KC1-03</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C</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Cross-study PCA separation is not uniquely attributable when study and phenotype are confounded.</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KC2-01</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B</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coarser binary derivation can be partially comparable with documented information loss.</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KC2-02</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C</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Repeated measures require a documented subject-sample relationship.</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KC2-03</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B</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physiological timepoint needs anchor, offset, and state.</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KC3-01</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C</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Preserve multiple candidates and exclude unresolved rows from exact overlap.</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KC3-02</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B</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Unit conversion also requires compatible quantity, matrix, denominator, and quantification basis.</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KC3-03</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B</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Reproducibility requires source, mapping, review, rationale, and purpose-specific eligibility.</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KC4-01</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A</w:t>
            </w:r>
          </w:p>
        </w:tc>
        <w:tc>
          <w:tcPr>
            <w:tcW w:type="dxa" w:w="5478"/>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QPP...</w:t>
            </w:r>
            <w:r>
              <w:rPr>
                <w:rFonts w:ascii="Calibri" w:hAnsi="Calibri"/>
                <w:color w:val="222222"/>
                <w:sz w:val="18"/>
              </w:rPr>
              <w:t xml:space="preserve"> rows are pooled QC candidates, not participant-timepoint observations.</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KC4-02</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B</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153 is the raw nonblank exact RefMet string intersection before exclusions; the conservative artifact-filtered count is 145.</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KC4-03</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A</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Separate within-study PCA is exploratory and remains sensitive to preprocessing and design.</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KC5-01</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C</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MoTrPAC currently has public and restricted paths depending on the release.</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KC5-02</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A</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Approved code and permitted public references move in; controlled participant-level data do not move out.</w:t>
            </w:r>
          </w:p>
        </w:tc>
      </w:tr>
      <w:tr>
        <w:trPr>
          <w:cantSplit w:val="true"/>
        </w:trPr>
        <w:tc>
          <w:tcPr>
            <w:tcW w:type="dxa" w:w="194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KC5-03</w:t>
            </w:r>
          </w:p>
        </w:tc>
        <w:tc>
          <w:tcPr>
            <w:tcW w:type="dxa" w:w="194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B</w:t>
            </w:r>
          </w:p>
        </w:tc>
        <w:tc>
          <w:tcPr>
            <w:tcW w:type="dxa" w:w="547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Access feasibility and scientific compatibility are separate gates.</w:t>
            </w:r>
          </w:p>
        </w:tc>
      </w:tr>
    </w:tbl>
    <w:p>
      <w:pPr>
        <w:spacing w:before="0" w:after="40"/>
      </w:pPr>
    </w:p>
    <w:p>
      <w:r>
        <w:rPr>
          <w:rFonts w:ascii="Calibri" w:hAnsi="Calibri"/>
          <w:color w:val="222222"/>
        </w:rPr>
        <w:t>Give feedback immediately after each embedded response and permit a retry. Record first attempts only if the delivery and evaluation plan permits.</w:t>
      </w:r>
    </w:p>
    <w:p>
      <w:pPr>
        <w:pStyle w:val="Heading2"/>
      </w:pPr>
      <w:r>
        <w:rPr>
          <w:rFonts w:ascii="Calibri" w:hAnsi="Calibri"/>
          <w:color w:val="222222"/>
        </w:rPr>
        <w:t>Posttest key</w:t>
      </w:r>
    </w:p>
    <w:tbl>
      <w:tblPr>
        <w:tblStyle w:val="TableGrid"/>
        <w:tblW w:type="dxa" w:w="9360"/>
        <w:jc w:val="left"/>
        <w:tblLayout w:type="fixed"/>
        <w:tblLook w:firstColumn="1" w:firstRow="1" w:lastColumn="0" w:lastRow="0" w:noHBand="0" w:noVBand="1" w:val="04A0"/>
        <w:tblInd w:w="120" w:type="dxa"/>
      </w:tblPr>
      <w:tblGrid>
        <w:gridCol w:w="1642"/>
        <w:gridCol w:w="1693"/>
        <w:gridCol w:w="1986"/>
        <w:gridCol w:w="4039"/>
      </w:tblGrid>
      <w:tr>
        <w:trPr>
          <w:cantSplit w:val="true"/>
          <w:tblHeader w:val="true"/>
        </w:trPr>
        <w:tc>
          <w:tcPr>
            <w:tcW w:type="dxa" w:w="164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Item</w:t>
            </w:r>
          </w:p>
        </w:tc>
        <w:tc>
          <w:tcPr>
            <w:tcW w:type="dxa" w:w="169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Answer</w:t>
            </w:r>
          </w:p>
        </w:tc>
        <w:tc>
          <w:tcPr>
            <w:tcW w:type="dxa" w:w="198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Objective(s)</w:t>
            </w:r>
          </w:p>
        </w:tc>
        <w:tc>
          <w:tcPr>
            <w:tcW w:type="dxa" w:w="403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Rationale</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POST-01</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LO1</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The current </w:t>
            </w:r>
            <w:r>
              <w:rPr>
                <w:rFonts w:ascii="Consolas" w:hAnsi="Consolas"/>
                <w:color w:val="1F4D78"/>
                <w:sz w:val="15"/>
                <w:shd w:fill="EEF1F4"/>
              </w:rPr>
              <w:t>ST001521</w:t>
            </w:r>
            <w:r>
              <w:rPr>
                <w:rFonts w:ascii="Calibri" w:hAnsi="Calibri"/>
                <w:color w:val="222222"/>
                <w:sz w:val="16"/>
              </w:rPr>
              <w:t xml:space="preserve"> factor table has 150 participant-timepoint rows and 10 pooled </w:t>
            </w:r>
            <w:r>
              <w:rPr>
                <w:rFonts w:ascii="Consolas" w:hAnsi="Consolas"/>
                <w:color w:val="1F4D78"/>
                <w:sz w:val="15"/>
                <w:shd w:fill="EEF1F4"/>
              </w:rPr>
              <w:t>QPP...</w:t>
            </w:r>
            <w:r>
              <w:rPr>
                <w:rFonts w:ascii="Calibri" w:hAnsi="Calibri"/>
                <w:color w:val="222222"/>
                <w:sz w:val="16"/>
              </w:rPr>
              <w:t xml:space="preserve"> QC rows.</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POST-02</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LO1, LO2</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Preserve plasma and serum and limit the broad blood-derived category to discovery.</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POST-03</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LO1, LO2</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FARMM Day 9 and 3-hour post-exercise recovery have different anchors and protocol meaning.</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POST-04</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LO2</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Study-specific population, matrix, lab, platform, time, and protocol differences confound a direct contrast.</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POST-05</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LO3</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Isotope/internal-standard roles must be preserved and excluded from biological overlap.</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POST-06</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LO3</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Preserve feature-level provenance; a set collapse is distinct from a quantitative feature merge.</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POST-07</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LO3, LO4</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The audited flow is 153 raw nonblank exact strings and 145 after eight nonbiological </w:t>
            </w:r>
            <w:r>
              <w:rPr>
                <w:rFonts w:ascii="Consolas" w:hAnsi="Consolas"/>
                <w:color w:val="1F4D78"/>
                <w:sz w:val="15"/>
                <w:shd w:fill="EEF1F4"/>
              </w:rPr>
              <w:t>ST003348</w:t>
            </w:r>
            <w:r>
              <w:rPr>
                <w:rFonts w:ascii="Calibri" w:hAnsi="Calibri"/>
                <w:color w:val="222222"/>
                <w:sz w:val="16"/>
              </w:rPr>
              <w:t xml:space="preserve"> exclusions.</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POST-08</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A</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LO2, LO4</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Quantitative exploration is fitted within study; the uncalibrated raw matrices are not stacked.</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POST-09</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LO4</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Cache use requires failure evidence, timestamp, integrity verification, and a visible source flag.</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POST-10</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LO5</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MoTrPAC access is dataset- and release-dependent and must be checked.</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POST-11</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LO5</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NPH participant-level analysis belongs in the Researcher Workbench and output follows current policy.</w:t>
            </w:r>
          </w:p>
        </w:tc>
      </w:tr>
      <w:tr>
        <w:trPr>
          <w:cantSplit w:val="true"/>
        </w:trPr>
        <w:tc>
          <w:tcPr>
            <w:tcW w:type="dxa" w:w="164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POST-12</w:t>
            </w:r>
          </w:p>
        </w:tc>
        <w:tc>
          <w:tcPr>
            <w:tcW w:type="dxa" w:w="169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w:t>
            </w:r>
          </w:p>
        </w:tc>
        <w:tc>
          <w:tcPr>
            <w:tcW w:type="dxa" w:w="1986"/>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LO3, LO4</w:t>
            </w:r>
          </w:p>
        </w:tc>
        <w:tc>
          <w:tcPr>
            <w:tcW w:type="dxa" w:w="403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Unexpected row multiplication requires a join-cardinality audit before analysis.</w:t>
            </w:r>
          </w:p>
        </w:tc>
      </w:tr>
    </w:tbl>
    <w:p>
      <w:pPr>
        <w:spacing w:before="0" w:after="40"/>
      </w:pPr>
    </w:p>
    <w:p>
      <w:r>
        <w:rPr>
          <w:rFonts w:ascii="Calibri" w:hAnsi="Calibri"/>
          <w:b/>
          <w:color w:val="222222"/>
        </w:rPr>
        <w:t>Maximum:</w:t>
      </w:r>
      <w:r>
        <w:rPr>
          <w:rFonts w:ascii="Calibri" w:hAnsi="Calibri"/>
          <w:color w:val="222222"/>
        </w:rPr>
        <w:t xml:space="preserve"> 12 points. Suggested mastery is 10/12 plus satisfactory performance artifacts. A learner who misses both items in an objective domain should review that lesson and complete a parallel retry.</w:t>
      </w:r>
    </w:p>
    <w:p>
      <w:pPr>
        <w:pStyle w:val="Heading2"/>
      </w:pPr>
      <w:r>
        <w:rPr>
          <w:rFonts w:ascii="Calibri" w:hAnsi="Calibri"/>
          <w:color w:val="222222"/>
        </w:rPr>
        <w:t>Lesson 4 interpretation challenge</w:t>
      </w:r>
    </w:p>
    <w:p>
      <w:pPr>
        <w:pStyle w:val="Heading3"/>
      </w:pPr>
      <w:r>
        <w:rPr>
          <w:rFonts w:ascii="Calibri" w:hAnsi="Calibri"/>
          <w:color w:val="222222"/>
        </w:rPr>
        <w:t>Statement 1</w:t>
      </w:r>
    </w:p>
    <w:p>
      <w:r>
        <w:rPr>
          <w:rFonts w:ascii="Calibri" w:hAnsi="Calibri"/>
          <w:b/>
          <w:color w:val="222222"/>
        </w:rPr>
        <w:t>Original:</w:t>
      </w:r>
      <w:r>
        <w:rPr>
          <w:rFonts w:ascii="Calibri" w:hAnsi="Calibri"/>
          <w:color w:val="222222"/>
        </w:rPr>
        <w:t xml:space="preserve"> "The studies share 153 biologically identical metabolites."</w:t>
      </w:r>
    </w:p>
    <w:p>
      <w:r>
        <w:rPr>
          <w:rFonts w:ascii="Calibri" w:hAnsi="Calibri"/>
          <w:b/>
          <w:color w:val="222222"/>
        </w:rPr>
        <w:t>Classification:</w:t>
      </w:r>
      <w:r>
        <w:rPr>
          <w:rFonts w:ascii="Calibri" w:hAnsi="Calibri"/>
          <w:color w:val="222222"/>
        </w:rPr>
        <w:t xml:space="preserve"> Unsupported.</w:t>
      </w:r>
    </w:p>
    <w:p>
      <w:r>
        <w:rPr>
          <w:rFonts w:ascii="Calibri" w:hAnsi="Calibri"/>
          <w:b/>
          <w:color w:val="222222"/>
        </w:rPr>
        <w:t>Suggested revision:</w:t>
      </w:r>
    </w:p>
    <w:p>
      <w:pPr>
        <w:spacing w:before="100" w:after="120"/>
        <w:ind w:left="259" w:right="115"/>
        <w:shd w:fill="F4F6F9"/>
        <w:pBdr>
          <w:left w:val="single" w:sz="16" w:space="8" w:color="2E74B5"/>
        </w:pBdr>
      </w:pPr>
      <w:r>
        <w:rPr>
          <w:rFonts w:ascii="Calibri" w:hAnsi="Calibri"/>
          <w:color w:val="1F4D78"/>
        </w:rPr>
        <w:t xml:space="preserve">The audited build found 153 shared nonblank exact RefMet strings before exclusions and 145 conservative biological overlaps after removing eight </w:t>
      </w:r>
      <w:r>
        <w:rPr>
          <w:rFonts w:ascii="Consolas" w:hAnsi="Consolas"/>
          <w:color w:val="1F4D78"/>
          <w:sz w:val="21"/>
          <w:shd w:fill="EEF1F4"/>
        </w:rPr>
        <w:t>ST003348</w:t>
      </w:r>
      <w:r>
        <w:rPr>
          <w:rFonts w:ascii="Calibri" w:hAnsi="Calibri"/>
          <w:color w:val="1F4D78"/>
        </w:rPr>
        <w:t xml:space="preserve"> isotope/internal-standard rows; these are name-set results, not evidence of identical concentration or response.</w:t>
      </w:r>
    </w:p>
    <w:p>
      <w:pPr>
        <w:pStyle w:val="Heading3"/>
      </w:pPr>
      <w:r>
        <w:rPr>
          <w:rFonts w:ascii="Calibri" w:hAnsi="Calibri"/>
          <w:color w:val="222222"/>
        </w:rPr>
        <w:t>Statement 2</w:t>
      </w:r>
    </w:p>
    <w:p>
      <w:r>
        <w:rPr>
          <w:rFonts w:ascii="Calibri" w:hAnsi="Calibri"/>
          <w:b/>
          <w:color w:val="222222"/>
        </w:rPr>
        <w:t>Original:</w:t>
      </w:r>
      <w:r>
        <w:rPr>
          <w:rFonts w:ascii="Calibri" w:hAnsi="Calibri"/>
          <w:color w:val="222222"/>
        </w:rPr>
        <w:t xml:space="preserve"> "The diet study contains 160 participants."</w:t>
      </w:r>
    </w:p>
    <w:p>
      <w:r>
        <w:rPr>
          <w:rFonts w:ascii="Calibri" w:hAnsi="Calibri"/>
          <w:b/>
          <w:color w:val="222222"/>
        </w:rPr>
        <w:t>Classification:</w:t>
      </w:r>
      <w:r>
        <w:rPr>
          <w:rFonts w:ascii="Calibri" w:hAnsi="Calibri"/>
          <w:color w:val="222222"/>
        </w:rPr>
        <w:t xml:space="preserve"> Unsupported.</w:t>
      </w:r>
    </w:p>
    <w:p>
      <w:r>
        <w:rPr>
          <w:rFonts w:ascii="Calibri" w:hAnsi="Calibri"/>
          <w:b/>
          <w:color w:val="222222"/>
        </w:rPr>
        <w:t>Suggested revision:</w:t>
      </w:r>
    </w:p>
    <w:p>
      <w:pPr>
        <w:spacing w:before="100" w:after="120"/>
        <w:ind w:left="259" w:right="115"/>
        <w:shd w:fill="F4F6F9"/>
        <w:pBdr>
          <w:left w:val="single" w:sz="16" w:space="8" w:color="2E74B5"/>
        </w:pBdr>
      </w:pPr>
      <w:r>
        <w:rPr>
          <w:rFonts w:ascii="Consolas" w:hAnsi="Consolas"/>
          <w:color w:val="1F4D78"/>
          <w:sz w:val="21"/>
          <w:shd w:fill="EEF1F4"/>
        </w:rPr>
        <w:t>ST001521</w:t>
      </w:r>
      <w:r>
        <w:rPr>
          <w:rFonts w:ascii="Calibri" w:hAnsi="Calibri"/>
          <w:color w:val="1F4D78"/>
        </w:rPr>
        <w:t xml:space="preserve"> describes 30 participants and the current factors response contains 150 participant-timepoint rows plus 10 pooled </w:t>
      </w:r>
      <w:r>
        <w:rPr>
          <w:rFonts w:ascii="Consolas" w:hAnsi="Consolas"/>
          <w:color w:val="1F4D78"/>
          <w:sz w:val="21"/>
          <w:shd w:fill="EEF1F4"/>
        </w:rPr>
        <w:t>QPP...</w:t>
      </w:r>
      <w:r>
        <w:rPr>
          <w:rFonts w:ascii="Calibri" w:hAnsi="Calibri"/>
          <w:color w:val="1F4D78"/>
        </w:rPr>
        <w:t xml:space="preserve"> QC rows.</w:t>
      </w:r>
    </w:p>
    <w:p>
      <w:pPr>
        <w:pStyle w:val="Heading3"/>
      </w:pPr>
      <w:r>
        <w:rPr>
          <w:rFonts w:ascii="Calibri" w:hAnsi="Calibri"/>
          <w:color w:val="222222"/>
        </w:rPr>
        <w:t>Statement 3</w:t>
      </w:r>
    </w:p>
    <w:p>
      <w:r>
        <w:rPr>
          <w:rFonts w:ascii="Calibri" w:hAnsi="Calibri"/>
          <w:b/>
          <w:color w:val="222222"/>
        </w:rPr>
        <w:t>Original:</w:t>
      </w:r>
      <w:r>
        <w:rPr>
          <w:rFonts w:ascii="Calibri" w:hAnsi="Calibri"/>
          <w:color w:val="222222"/>
        </w:rPr>
        <w:t xml:space="preserve"> "The exercise samples are blood, so they are the same matrix as diet plasma."</w:t>
      </w:r>
    </w:p>
    <w:p>
      <w:r>
        <w:rPr>
          <w:rFonts w:ascii="Calibri" w:hAnsi="Calibri"/>
          <w:b/>
          <w:color w:val="222222"/>
        </w:rPr>
        <w:t>Classification:</w:t>
      </w:r>
      <w:r>
        <w:rPr>
          <w:rFonts w:ascii="Calibri" w:hAnsi="Calibri"/>
          <w:color w:val="222222"/>
        </w:rPr>
        <w:t xml:space="preserve"> Unsupported.</w:t>
      </w:r>
    </w:p>
    <w:p>
      <w:r>
        <w:rPr>
          <w:rFonts w:ascii="Calibri" w:hAnsi="Calibri"/>
          <w:b/>
          <w:color w:val="222222"/>
        </w:rPr>
        <w:t>Suggested revision:</w:t>
      </w:r>
    </w:p>
    <w:p>
      <w:pPr>
        <w:spacing w:before="100" w:after="120"/>
        <w:ind w:left="259" w:right="115"/>
        <w:shd w:fill="F4F6F9"/>
        <w:pBdr>
          <w:left w:val="single" w:sz="16" w:space="8" w:color="2E74B5"/>
        </w:pBdr>
      </w:pPr>
      <w:r>
        <w:rPr>
          <w:rFonts w:ascii="Calibri" w:hAnsi="Calibri"/>
          <w:color w:val="1F4D78"/>
        </w:rPr>
        <w:t xml:space="preserve">The exercise factors use the broad label </w:t>
      </w:r>
      <w:r>
        <w:rPr>
          <w:rFonts w:ascii="Consolas" w:hAnsi="Consolas"/>
          <w:color w:val="1F4D78"/>
          <w:sz w:val="21"/>
          <w:shd w:fill="EEF1F4"/>
        </w:rPr>
        <w:t>blood</w:t>
      </w:r>
      <w:r>
        <w:rPr>
          <w:rFonts w:ascii="Calibri" w:hAnsi="Calibri"/>
          <w:color w:val="1F4D78"/>
        </w:rPr>
        <w:t>, while collection metadata specifies serum; serum and diet-study plasma are partially comparable as blood-derived fluids for discovery and are not the same quantitative matrix.</w:t>
      </w:r>
    </w:p>
    <w:p>
      <w:pPr>
        <w:pStyle w:val="Heading3"/>
      </w:pPr>
      <w:r>
        <w:rPr>
          <w:rFonts w:ascii="Calibri" w:hAnsi="Calibri"/>
          <w:color w:val="222222"/>
        </w:rPr>
        <w:t>Statement 4</w:t>
      </w:r>
    </w:p>
    <w:p>
      <w:r>
        <w:rPr>
          <w:rFonts w:ascii="Calibri" w:hAnsi="Calibri"/>
          <w:b/>
          <w:color w:val="222222"/>
        </w:rPr>
        <w:t>Original:</w:t>
      </w:r>
      <w:r>
        <w:rPr>
          <w:rFonts w:ascii="Calibri" w:hAnsi="Calibri"/>
          <w:color w:val="222222"/>
        </w:rPr>
        <w:t xml:space="preserve"> "PCA separates exercise timepoints, proving the race walk caused every measured change."</w:t>
      </w:r>
    </w:p>
    <w:p>
      <w:r>
        <w:rPr>
          <w:rFonts w:ascii="Calibri" w:hAnsi="Calibri"/>
          <w:b/>
          <w:color w:val="222222"/>
        </w:rPr>
        <w:t>Classification:</w:t>
      </w:r>
      <w:r>
        <w:rPr>
          <w:rFonts w:ascii="Calibri" w:hAnsi="Calibri"/>
          <w:color w:val="222222"/>
        </w:rPr>
        <w:t xml:space="preserve"> Unsupported.</w:t>
      </w:r>
    </w:p>
    <w:p>
      <w:r>
        <w:rPr>
          <w:rFonts w:ascii="Calibri" w:hAnsi="Calibri"/>
          <w:b/>
          <w:color w:val="222222"/>
        </w:rPr>
        <w:t>Suggested revision:</w:t>
      </w:r>
    </w:p>
    <w:p>
      <w:pPr>
        <w:spacing w:before="100" w:after="120"/>
        <w:ind w:left="259" w:right="115"/>
        <w:shd w:fill="F4F6F9"/>
        <w:pBdr>
          <w:left w:val="single" w:sz="16" w:space="8" w:color="2E74B5"/>
        </w:pBdr>
      </w:pPr>
      <w:r>
        <w:rPr>
          <w:rFonts w:ascii="Calibri" w:hAnsi="Calibri"/>
          <w:color w:val="1F4D78"/>
        </w:rPr>
        <w:t xml:space="preserve">Within </w:t>
      </w:r>
      <w:r>
        <w:rPr>
          <w:rFonts w:ascii="Consolas" w:hAnsi="Consolas"/>
          <w:color w:val="1F4D78"/>
          <w:sz w:val="21"/>
          <w:shd w:fill="EEF1F4"/>
        </w:rPr>
        <w:t>ST003348</w:t>
      </w:r>
      <w:r>
        <w:rPr>
          <w:rFonts w:ascii="Calibri" w:hAnsi="Calibri"/>
          <w:color w:val="1F4D78"/>
        </w:rPr>
        <w:t>, the exploratory PCA may show variation associated with the ordered REST, STAT, REC3, and REC22 samples under the chosen preprocessing; repeated measures, collection context, technical variation, and other time-varying factors limit causal attribution for individual metabolites.</w:t>
      </w:r>
    </w:p>
    <w:p>
      <w:pPr>
        <w:pStyle w:val="Heading3"/>
      </w:pPr>
      <w:r>
        <w:rPr>
          <w:rFonts w:ascii="Calibri" w:hAnsi="Calibri"/>
          <w:color w:val="222222"/>
        </w:rPr>
        <w:t>Statement 5</w:t>
      </w:r>
    </w:p>
    <w:p>
      <w:r>
        <w:rPr>
          <w:rFonts w:ascii="Calibri" w:hAnsi="Calibri"/>
          <w:b/>
          <w:color w:val="222222"/>
        </w:rPr>
        <w:t>Original:</w:t>
      </w:r>
      <w:r>
        <w:rPr>
          <w:rFonts w:ascii="Calibri" w:hAnsi="Calibri"/>
          <w:color w:val="222222"/>
        </w:rPr>
        <w:t xml:space="preserve"> "An apparent class difference may reflect assay coverage as well as biology."</w:t>
      </w:r>
    </w:p>
    <w:p>
      <w:r>
        <w:rPr>
          <w:rFonts w:ascii="Calibri" w:hAnsi="Calibri"/>
          <w:b/>
          <w:color w:val="222222"/>
        </w:rPr>
        <w:t>Classification:</w:t>
      </w:r>
      <w:r>
        <w:rPr>
          <w:rFonts w:ascii="Calibri" w:hAnsi="Calibri"/>
          <w:color w:val="222222"/>
        </w:rPr>
        <w:t xml:space="preserve"> Supported, with a precision edit.</w:t>
      </w:r>
    </w:p>
    <w:p>
      <w:r>
        <w:rPr>
          <w:rFonts w:ascii="Calibri" w:hAnsi="Calibri"/>
          <w:b/>
          <w:color w:val="222222"/>
        </w:rPr>
        <w:t>Suggested revision:</w:t>
      </w:r>
    </w:p>
    <w:p>
      <w:pPr>
        <w:spacing w:before="100" w:after="120"/>
        <w:ind w:left="259" w:right="115"/>
        <w:shd w:fill="F4F6F9"/>
        <w:pBdr>
          <w:left w:val="single" w:sz="16" w:space="8" w:color="2E74B5"/>
        </w:pBdr>
      </w:pPr>
      <w:r>
        <w:rPr>
          <w:rFonts w:ascii="Calibri" w:hAnsi="Calibri"/>
          <w:color w:val="1F4D78"/>
        </w:rPr>
        <w:t>A difference in the number or proportion of reported RefMet names by class may reflect platform coverage, annotation, filtering, matrix, and biology; it should be described as deposited analyte coverage rather than class abundance.</w:t>
      </w:r>
    </w:p>
    <w:p>
      <w:pPr>
        <w:pStyle w:val="Heading2"/>
      </w:pPr>
      <w:r>
        <w:rPr>
          <w:rFonts w:ascii="Calibri" w:hAnsi="Calibri"/>
          <w:color w:val="222222"/>
        </w:rPr>
        <w:t>Cohort-comparison worksheet key points</w:t>
      </w:r>
    </w:p>
    <w:p>
      <w:r>
        <w:rPr>
          <w:rFonts w:ascii="Calibri" w:hAnsi="Calibri"/>
          <w:color w:val="222222"/>
        </w:rPr>
        <w:t>Use the detailed instructor worksheet for row-level evidence. Require these conclusions:</w:t>
      </w:r>
    </w:p>
    <w:p>
      <w:pPr>
        <w:numPr>
          <w:ilvl w:val="0"/>
          <w:numId w:val="26"/>
        </w:numPr>
        <w:spacing w:after="80" w:line="300" w:lineRule="auto"/>
      </w:pPr>
      <w:r>
        <w:rPr>
          <w:rFonts w:ascii="Calibri" w:hAnsi="Calibri"/>
          <w:color w:val="222222"/>
        </w:rPr>
        <w:t>Both studies are human, which is directly comparable only at a broad species-description level.</w:t>
      </w:r>
    </w:p>
    <w:p>
      <w:pPr>
        <w:numPr>
          <w:ilvl w:val="0"/>
          <w:numId w:val="26"/>
        </w:numPr>
        <w:spacing w:after="80" w:line="300" w:lineRule="auto"/>
      </w:pPr>
      <w:r>
        <w:rPr>
          <w:rFonts w:ascii="Consolas" w:hAnsi="Consolas"/>
          <w:color w:val="1F4D78"/>
          <w:sz w:val="21"/>
          <w:shd w:fill="EEF1F4"/>
        </w:rPr>
        <w:t>ST001521</w:t>
      </w:r>
      <w:r>
        <w:rPr>
          <w:rFonts w:ascii="Calibri" w:hAnsi="Calibri"/>
          <w:color w:val="222222"/>
        </w:rPr>
        <w:t xml:space="preserve"> is plasma and </w:t>
      </w:r>
      <w:r>
        <w:rPr>
          <w:rFonts w:ascii="Consolas" w:hAnsi="Consolas"/>
          <w:color w:val="1F4D78"/>
          <w:sz w:val="21"/>
          <w:shd w:fill="EEF1F4"/>
        </w:rPr>
        <w:t>ST003348</w:t>
      </w:r>
      <w:r>
        <w:rPr>
          <w:rFonts w:ascii="Calibri" w:hAnsi="Calibri"/>
          <w:color w:val="222222"/>
        </w:rPr>
        <w:t xml:space="preserve"> is serum. The </w:t>
      </w:r>
      <w:r>
        <w:rPr>
          <w:rFonts w:ascii="Consolas" w:hAnsi="Consolas"/>
          <w:color w:val="1F4D78"/>
          <w:sz w:val="21"/>
          <w:shd w:fill="EEF1F4"/>
        </w:rPr>
        <w:t>ST003348</w:t>
      </w:r>
      <w:r>
        <w:rPr>
          <w:rFonts w:ascii="Calibri" w:hAnsi="Calibri"/>
          <w:color w:val="222222"/>
        </w:rPr>
        <w:t xml:space="preserve"> factor source says </w:t>
      </w:r>
      <w:r>
        <w:rPr>
          <w:rFonts w:ascii="Consolas" w:hAnsi="Consolas"/>
          <w:color w:val="1F4D78"/>
          <w:sz w:val="21"/>
          <w:shd w:fill="EEF1F4"/>
        </w:rPr>
        <w:t>blood</w:t>
      </w:r>
      <w:r>
        <w:rPr>
          <w:rFonts w:ascii="Calibri" w:hAnsi="Calibri"/>
          <w:color w:val="222222"/>
        </w:rPr>
        <w:t>, but collection metadata provides the supported specific matrix.</w:t>
      </w:r>
    </w:p>
    <w:p>
      <w:pPr>
        <w:numPr>
          <w:ilvl w:val="0"/>
          <w:numId w:val="26"/>
        </w:numPr>
        <w:spacing w:after="80" w:line="300" w:lineRule="auto"/>
      </w:pPr>
      <w:r>
        <w:rPr>
          <w:rFonts w:ascii="Consolas" w:hAnsi="Consolas"/>
          <w:color w:val="1F4D78"/>
          <w:sz w:val="21"/>
          <w:shd w:fill="EEF1F4"/>
        </w:rPr>
        <w:t>ST001521</w:t>
      </w:r>
      <w:r>
        <w:rPr>
          <w:rFonts w:ascii="Calibri" w:hAnsi="Calibri"/>
          <w:color w:val="222222"/>
        </w:rPr>
        <w:t xml:space="preserve"> includes five longitudinal study times in a feeding plus Abx/PEG protocol; </w:t>
      </w:r>
      <w:r>
        <w:rPr>
          <w:rFonts w:ascii="Consolas" w:hAnsi="Consolas"/>
          <w:color w:val="1F4D78"/>
          <w:sz w:val="21"/>
          <w:shd w:fill="EEF1F4"/>
        </w:rPr>
        <w:t>ST003348</w:t>
      </w:r>
      <w:r>
        <w:rPr>
          <w:rFonts w:ascii="Calibri" w:hAnsi="Calibri"/>
          <w:color w:val="222222"/>
        </w:rPr>
        <w:t xml:space="preserve"> includes an acute exercise and recovery sequence. They do not form one common post-intervention axis.</w:t>
      </w:r>
    </w:p>
    <w:p>
      <w:pPr>
        <w:numPr>
          <w:ilvl w:val="0"/>
          <w:numId w:val="26"/>
        </w:numPr>
        <w:spacing w:after="80" w:line="300" w:lineRule="auto"/>
      </w:pPr>
      <w:r>
        <w:rPr>
          <w:rFonts w:ascii="Consolas" w:hAnsi="Consolas"/>
          <w:color w:val="1F4D78"/>
          <w:sz w:val="21"/>
          <w:shd w:fill="EEF1F4"/>
        </w:rPr>
        <w:t>ST001521</w:t>
      </w:r>
      <w:r>
        <w:rPr>
          <w:rFonts w:ascii="Calibri" w:hAnsi="Calibri"/>
          <w:color w:val="222222"/>
        </w:rPr>
        <w:t xml:space="preserve"> has 30 described participants, 150 biological rows, and 10 pooled QC rows; </w:t>
      </w:r>
      <w:r>
        <w:rPr>
          <w:rFonts w:ascii="Consolas" w:hAnsi="Consolas"/>
          <w:color w:val="1F4D78"/>
          <w:sz w:val="21"/>
          <w:shd w:fill="EEF1F4"/>
        </w:rPr>
        <w:t>ST003348</w:t>
      </w:r>
      <w:r>
        <w:rPr>
          <w:rFonts w:ascii="Calibri" w:hAnsi="Calibri"/>
          <w:color w:val="222222"/>
        </w:rPr>
        <w:t xml:space="preserve"> has 19 represented athletes and 76 biological rows.</w:t>
      </w:r>
    </w:p>
    <w:p>
      <w:pPr>
        <w:numPr>
          <w:ilvl w:val="0"/>
          <w:numId w:val="26"/>
        </w:numPr>
        <w:spacing w:after="80" w:line="300" w:lineRule="auto"/>
      </w:pPr>
      <w:r>
        <w:rPr>
          <w:rFonts w:ascii="Calibri" w:hAnsi="Calibri"/>
          <w:color w:val="222222"/>
        </w:rPr>
        <w:t>The diet study has a hybrid design: established vegan outpatients and randomization of 20 omnivores to omnivore versus EEN. Do not call all three groups randomized.</w:t>
      </w:r>
    </w:p>
    <w:p>
      <w:pPr>
        <w:numPr>
          <w:ilvl w:val="0"/>
          <w:numId w:val="26"/>
        </w:numPr>
        <w:spacing w:after="80" w:line="300" w:lineRule="auto"/>
      </w:pPr>
      <w:r>
        <w:rPr>
          <w:rFonts w:ascii="Calibri" w:hAnsi="Calibri"/>
          <w:color w:val="222222"/>
        </w:rPr>
        <w:t>Analysis families and some ion modes overlap, but laboratory, chromatography, matrix, coverage, preprocessing, and scale differ.</w:t>
      </w:r>
    </w:p>
    <w:p>
      <w:pPr>
        <w:numPr>
          <w:ilvl w:val="0"/>
          <w:numId w:val="26"/>
        </w:numPr>
        <w:spacing w:after="80" w:line="300" w:lineRule="auto"/>
      </w:pPr>
      <w:r>
        <w:rPr>
          <w:rFonts w:ascii="Calibri" w:hAnsi="Calibri"/>
          <w:color w:val="222222"/>
        </w:rPr>
        <w:t>Cross-study quantitative pooling is not authorized.</w:t>
      </w:r>
    </w:p>
    <w:p>
      <w:pPr>
        <w:pStyle w:val="Heading3"/>
      </w:pPr>
      <w:r>
        <w:rPr>
          <w:rFonts w:ascii="Calibri" w:hAnsi="Calibri"/>
          <w:color w:val="222222"/>
        </w:rPr>
        <w:t>Model exclusion statement</w:t>
      </w:r>
    </w:p>
    <w:p>
      <w:pPr>
        <w:spacing w:before="100" w:after="120"/>
        <w:ind w:left="259" w:right="115"/>
        <w:shd w:fill="F4F6F9"/>
        <w:pBdr>
          <w:left w:val="single" w:sz="16" w:space="8" w:color="2E74B5"/>
        </w:pBdr>
      </w:pPr>
      <w:r>
        <w:rPr>
          <w:rFonts w:ascii="Calibri" w:hAnsi="Calibri"/>
          <w:color w:val="1F4D78"/>
        </w:rPr>
        <w:t>We will not combine peak-area values across the studies because matrix, laboratory, chromatography, feature coverage, preprocessing, population, time, and intervention context differ. We can still compare reviewed RefMet names by building one documented set for each study and reporting their overlap.</w:t>
      </w:r>
    </w:p>
    <w:p>
      <w:pPr>
        <w:pStyle w:val="Heading2"/>
      </w:pPr>
      <w:r>
        <w:rPr>
          <w:rFonts w:ascii="Calibri" w:hAnsi="Calibri"/>
          <w:color w:val="222222"/>
        </w:rPr>
        <w:t>Metabolite/metadata crosswalk key points</w:t>
      </w:r>
    </w:p>
    <w:p>
      <w:r>
        <w:rPr>
          <w:rFonts w:ascii="Calibri" w:hAnsi="Calibri"/>
          <w:color w:val="222222"/>
        </w:rPr>
        <w:t>Use the 20-point rubric in the instructor template. Minimum acceptable evidence includes:</w:t>
      </w:r>
    </w:p>
    <w:p>
      <w:pPr>
        <w:numPr>
          <w:ilvl w:val="0"/>
          <w:numId w:val="27"/>
        </w:numPr>
        <w:spacing w:after="80" w:line="300" w:lineRule="auto"/>
      </w:pPr>
      <w:r>
        <w:rPr>
          <w:rFonts w:ascii="Calibri" w:hAnsi="Calibri"/>
          <w:color w:val="222222"/>
        </w:rPr>
        <w:t>Original label, source RefMet value, accession, analysis ID, and endpoint.</w:t>
      </w:r>
    </w:p>
    <w:p>
      <w:pPr>
        <w:numPr>
          <w:ilvl w:val="0"/>
          <w:numId w:val="27"/>
        </w:numPr>
        <w:spacing w:after="80" w:line="300" w:lineRule="auto"/>
      </w:pPr>
      <w:r>
        <w:rPr>
          <w:rFonts w:ascii="Calibri" w:hAnsi="Calibri"/>
          <w:color w:val="222222"/>
        </w:rPr>
        <w:t>Mapping and annotation-resolution status.</w:t>
      </w:r>
    </w:p>
    <w:p>
      <w:pPr>
        <w:numPr>
          <w:ilvl w:val="0"/>
          <w:numId w:val="27"/>
        </w:numPr>
        <w:spacing w:after="80" w:line="300" w:lineRule="auto"/>
      </w:pPr>
      <w:r>
        <w:rPr>
          <w:rFonts w:ascii="Calibri" w:hAnsi="Calibri"/>
          <w:color w:val="222222"/>
        </w:rPr>
        <w:t>Reviewer or rule version and decision rationale.</w:t>
      </w:r>
    </w:p>
    <w:p>
      <w:pPr>
        <w:numPr>
          <w:ilvl w:val="0"/>
          <w:numId w:val="27"/>
        </w:numPr>
        <w:spacing w:after="80" w:line="300" w:lineRule="auto"/>
      </w:pPr>
      <w:r>
        <w:rPr>
          <w:rFonts w:ascii="Calibri" w:hAnsi="Calibri"/>
          <w:color w:val="222222"/>
        </w:rPr>
        <w:t>An ambiguous or broader mapping kept visible.</w:t>
      </w:r>
    </w:p>
    <w:p>
      <w:pPr>
        <w:numPr>
          <w:ilvl w:val="0"/>
          <w:numId w:val="27"/>
        </w:numPr>
        <w:spacing w:after="80" w:line="300" w:lineRule="auto"/>
      </w:pPr>
      <w:r>
        <w:rPr>
          <w:rFonts w:ascii="Calibri" w:hAnsi="Calibri"/>
          <w:color w:val="222222"/>
        </w:rPr>
        <w:t>An unmapped row retained.</w:t>
      </w:r>
    </w:p>
    <w:p>
      <w:pPr>
        <w:numPr>
          <w:ilvl w:val="0"/>
          <w:numId w:val="27"/>
        </w:numPr>
        <w:spacing w:after="80" w:line="300" w:lineRule="auto"/>
      </w:pPr>
      <w:r>
        <w:rPr>
          <w:rFonts w:ascii="Calibri" w:hAnsi="Calibri"/>
          <w:color w:val="222222"/>
        </w:rPr>
        <w:t>A many-to-one mapping retained at feature level.</w:t>
      </w:r>
    </w:p>
    <w:p>
      <w:pPr>
        <w:numPr>
          <w:ilvl w:val="0"/>
          <w:numId w:val="27"/>
        </w:numPr>
        <w:spacing w:after="80" w:line="300" w:lineRule="auto"/>
      </w:pPr>
      <w:r>
        <w:rPr>
          <w:rFonts w:ascii="Calibri" w:hAnsi="Calibri"/>
          <w:color w:val="222222"/>
        </w:rPr>
        <w:t>Isotope/internal-standard rows excluded from biological overlap with a reason.</w:t>
      </w:r>
    </w:p>
    <w:p>
      <w:pPr>
        <w:numPr>
          <w:ilvl w:val="0"/>
          <w:numId w:val="27"/>
        </w:numPr>
        <w:spacing w:after="80" w:line="300" w:lineRule="auto"/>
      </w:pPr>
      <w:r>
        <w:rPr>
          <w:rFonts w:ascii="Calibri" w:hAnsi="Calibri"/>
          <w:color w:val="222222"/>
        </w:rPr>
        <w:t>Separate eligibility for exact overlap, class summary, within-study analysis, and cross-study quantitative analysis.</w:t>
      </w:r>
    </w:p>
    <w:p>
      <w:pPr>
        <w:numPr>
          <w:ilvl w:val="0"/>
          <w:numId w:val="27"/>
        </w:numPr>
        <w:spacing w:after="80" w:line="300" w:lineRule="auto"/>
      </w:pPr>
      <w:r>
        <w:rPr>
          <w:rFonts w:ascii="Consolas" w:hAnsi="Consolas"/>
          <w:color w:val="1F4D78"/>
          <w:sz w:val="21"/>
          <w:shd w:fill="EEF1F4"/>
        </w:rPr>
        <w:t>eligible_cross_study_quantitative = no</w:t>
      </w:r>
      <w:r>
        <w:rPr>
          <w:rFonts w:ascii="Calibri" w:hAnsi="Calibri"/>
          <w:color w:val="222222"/>
        </w:rPr>
        <w:t xml:space="preserve"> throughout.</w:t>
      </w:r>
    </w:p>
    <w:p>
      <w:pPr>
        <w:numPr>
          <w:ilvl w:val="0"/>
          <w:numId w:val="27"/>
        </w:numPr>
        <w:spacing w:after="80" w:line="300" w:lineRule="auto"/>
      </w:pPr>
      <w:r>
        <w:rPr>
          <w:rFonts w:ascii="Calibri" w:hAnsi="Calibri"/>
          <w:color w:val="222222"/>
        </w:rPr>
        <w:t>Audit flow that reproduces or explains 153 raw and 145 conservative overlaps.</w:t>
      </w:r>
    </w:p>
    <w:p>
      <w:pPr>
        <w:pStyle w:val="Heading2"/>
      </w:pPr>
      <w:r>
        <w:rPr>
          <w:rFonts w:ascii="Calibri" w:hAnsi="Calibri"/>
          <w:color w:val="222222"/>
        </w:rPr>
        <w:t>Access-pattern transfer checklist key points</w:t>
      </w:r>
    </w:p>
    <w:p>
      <w:r>
        <w:rPr>
          <w:rFonts w:ascii="Calibri" w:hAnsi="Calibri"/>
          <w:color w:val="222222"/>
        </w:rPr>
        <w:t>Use the 20-point rubric in the instructor template. Require:</w:t>
      </w:r>
    </w:p>
    <w:p>
      <w:pPr>
        <w:numPr>
          <w:ilvl w:val="0"/>
          <w:numId w:val="28"/>
        </w:numPr>
        <w:spacing w:after="80" w:line="300" w:lineRule="auto"/>
      </w:pPr>
      <w:r>
        <w:rPr>
          <w:rFonts w:ascii="Calibri" w:hAnsi="Calibri"/>
          <w:color w:val="222222"/>
        </w:rPr>
        <w:t>Exact dataset, release, data level, intended action, compute, storage, and outputs.</w:t>
      </w:r>
    </w:p>
    <w:p>
      <w:pPr>
        <w:numPr>
          <w:ilvl w:val="0"/>
          <w:numId w:val="28"/>
        </w:numPr>
        <w:spacing w:after="80" w:line="300" w:lineRule="auto"/>
      </w:pPr>
      <w:r>
        <w:rPr>
          <w:rFonts w:ascii="Calibri" w:hAnsi="Calibri"/>
          <w:color w:val="222222"/>
        </w:rPr>
        <w:t>Current first-party evidence with a check date.</w:t>
      </w:r>
    </w:p>
    <w:p>
      <w:pPr>
        <w:numPr>
          <w:ilvl w:val="0"/>
          <w:numId w:val="28"/>
        </w:numPr>
        <w:spacing w:after="80" w:line="300" w:lineRule="auto"/>
      </w:pPr>
      <w:r>
        <w:rPr>
          <w:rFonts w:ascii="Calibri" w:hAnsi="Calibri"/>
          <w:color w:val="222222"/>
        </w:rPr>
        <w:t>Separate access and scientific-compatibility decisions.</w:t>
      </w:r>
    </w:p>
    <w:p>
      <w:pPr>
        <w:numPr>
          <w:ilvl w:val="0"/>
          <w:numId w:val="28"/>
        </w:numPr>
        <w:spacing w:after="80" w:line="300" w:lineRule="auto"/>
      </w:pPr>
      <w:r>
        <w:rPr>
          <w:rFonts w:ascii="Calibri" w:hAnsi="Calibri"/>
          <w:color w:val="222222"/>
        </w:rPr>
        <w:t>An explicit data-flow boundary.</w:t>
      </w:r>
    </w:p>
    <w:p>
      <w:pPr>
        <w:numPr>
          <w:ilvl w:val="0"/>
          <w:numId w:val="28"/>
        </w:numPr>
        <w:spacing w:after="80" w:line="300" w:lineRule="auto"/>
      </w:pPr>
      <w:r>
        <w:rPr>
          <w:rFonts w:ascii="Calibri" w:hAnsi="Calibri"/>
          <w:color w:val="222222"/>
        </w:rPr>
        <w:t>No credentials or governed data in the artifact.</w:t>
      </w:r>
    </w:p>
    <w:p>
      <w:pPr>
        <w:numPr>
          <w:ilvl w:val="0"/>
          <w:numId w:val="28"/>
        </w:numPr>
        <w:spacing w:after="80" w:line="300" w:lineRule="auto"/>
      </w:pPr>
      <w:r>
        <w:rPr>
          <w:rFonts w:ascii="Calibri" w:hAnsi="Calibri"/>
          <w:color w:val="222222"/>
        </w:rPr>
        <w:t xml:space="preserve">A </w:t>
      </w:r>
      <w:r>
        <w:rPr>
          <w:rFonts w:ascii="Consolas" w:hAnsi="Consolas"/>
          <w:color w:val="1F4D78"/>
          <w:sz w:val="21"/>
          <w:shd w:fill="EEF1F4"/>
        </w:rPr>
        <w:t>GO</w:t>
      </w:r>
      <w:r>
        <w:rPr>
          <w:rFonts w:ascii="Calibri" w:hAnsi="Calibri"/>
          <w:color w:val="222222"/>
        </w:rPr>
        <w:t xml:space="preserve">, </w:t>
      </w:r>
      <w:r>
        <w:rPr>
          <w:rFonts w:ascii="Consolas" w:hAnsi="Consolas"/>
          <w:color w:val="1F4D78"/>
          <w:sz w:val="21"/>
          <w:shd w:fill="EEF1F4"/>
        </w:rPr>
        <w:t>REVISE</w:t>
      </w:r>
      <w:r>
        <w:rPr>
          <w:rFonts w:ascii="Calibri" w:hAnsi="Calibri"/>
          <w:color w:val="222222"/>
        </w:rPr>
        <w:t xml:space="preserve">, </w:t>
      </w:r>
      <w:r>
        <w:rPr>
          <w:rFonts w:ascii="Consolas" w:hAnsi="Consolas"/>
          <w:color w:val="1F4D78"/>
          <w:sz w:val="21"/>
          <w:shd w:fill="EEF1F4"/>
        </w:rPr>
        <w:t>WAIT</w:t>
      </w:r>
      <w:r>
        <w:rPr>
          <w:rFonts w:ascii="Calibri" w:hAnsi="Calibri"/>
          <w:color w:val="222222"/>
        </w:rPr>
        <w:t xml:space="preserve">, or </w:t>
      </w:r>
      <w:r>
        <w:rPr>
          <w:rFonts w:ascii="Consolas" w:hAnsi="Consolas"/>
          <w:color w:val="1F4D78"/>
          <w:sz w:val="21"/>
          <w:shd w:fill="EEF1F4"/>
        </w:rPr>
        <w:t>STOP</w:t>
      </w:r>
      <w:r>
        <w:rPr>
          <w:rFonts w:ascii="Calibri" w:hAnsi="Calibri"/>
          <w:color w:val="222222"/>
        </w:rPr>
        <w:t xml:space="preserve"> decision with unresolved items.</w:t>
      </w:r>
    </w:p>
    <w:p>
      <w:pPr>
        <w:pStyle w:val="Heading3"/>
      </w:pPr>
      <w:r>
        <w:rPr>
          <w:rFonts w:ascii="Calibri" w:hAnsi="Calibri"/>
          <w:color w:val="222222"/>
        </w:rPr>
        <w:t>MoTrPAC worked conclusion</w:t>
      </w:r>
    </w:p>
    <w:p>
      <w:pPr>
        <w:spacing w:before="100" w:after="120"/>
        <w:ind w:left="259" w:right="115"/>
        <w:shd w:fill="F4F6F9"/>
        <w:pBdr>
          <w:left w:val="single" w:sz="16" w:space="8" w:color="2E74B5"/>
        </w:pBdr>
      </w:pPr>
      <w:r>
        <w:rPr>
          <w:rFonts w:ascii="Consolas" w:hAnsi="Consolas"/>
          <w:color w:val="1F4D78"/>
          <w:sz w:val="21"/>
          <w:shd w:fill="EEF1F4"/>
        </w:rPr>
        <w:t>Mixed</w:t>
      </w:r>
      <w:r>
        <w:rPr>
          <w:rFonts w:ascii="Calibri" w:hAnsi="Calibri"/>
          <w:color w:val="1F4D78"/>
        </w:rPr>
        <w:t>: current first-party documentation distinguishes public releases accessible without login from restricted or embargoed content requiring additional authorization. Verify the exact file and intended action.</w:t>
      </w:r>
    </w:p>
    <w:p>
      <w:pPr>
        <w:pStyle w:val="Heading3"/>
      </w:pPr>
      <w:r>
        <w:rPr>
          <w:rFonts w:ascii="Calibri" w:hAnsi="Calibri"/>
          <w:color w:val="222222"/>
        </w:rPr>
        <w:t>NPH/All of Us worked conclusion</w:t>
      </w:r>
    </w:p>
    <w:p>
      <w:pPr>
        <w:spacing w:before="100" w:after="120"/>
        <w:ind w:left="259" w:right="115"/>
        <w:shd w:fill="F4F6F9"/>
        <w:pBdr>
          <w:left w:val="single" w:sz="16" w:space="8" w:color="2E74B5"/>
        </w:pBdr>
      </w:pPr>
      <w:r>
        <w:rPr>
          <w:rFonts w:ascii="Consolas" w:hAnsi="Consolas"/>
          <w:color w:val="1F4D78"/>
          <w:sz w:val="21"/>
          <w:shd w:fill="EEF1F4"/>
        </w:rPr>
        <w:t>Controlled compute</w:t>
      </w:r>
      <w:r>
        <w:rPr>
          <w:rFonts w:ascii="Calibri" w:hAnsi="Calibri"/>
          <w:color w:val="1F4D78"/>
        </w:rPr>
        <w:t xml:space="preserve"> for participant-level work: run approved code in the Researcher Workbench, keep governed data there, and export only outputs permitted by current policy. Verify the exact Registered or Controlled Tier collection and release.</w:t>
      </w:r>
    </w:p>
    <w:p>
      <w:pPr>
        <w:pStyle w:val="Heading2"/>
      </w:pPr>
      <w:r>
        <w:rPr>
          <w:rFonts w:ascii="Calibri" w:hAnsi="Calibri"/>
          <w:color w:val="222222"/>
        </w:rPr>
        <w:t>Performance-artifact minimums</w:t>
      </w:r>
    </w:p>
    <w:p>
      <w:r>
        <w:rPr>
          <w:rFonts w:ascii="Calibri" w:hAnsi="Calibri"/>
          <w:color w:val="222222"/>
        </w:rPr>
        <w:t>A learner should not pass the module based on multiple-choice score alone. Require:</w:t>
      </w:r>
    </w:p>
    <w:p>
      <w:pPr>
        <w:numPr>
          <w:ilvl w:val="0"/>
          <w:numId w:val="29"/>
        </w:numPr>
        <w:spacing w:after="80" w:line="300" w:lineRule="auto"/>
      </w:pPr>
      <w:r>
        <w:rPr>
          <w:rFonts w:ascii="Calibri" w:hAnsi="Calibri"/>
          <w:color w:val="222222"/>
        </w:rPr>
        <w:t>Comparison worksheet with sources, explicit missingness, and at least one intentional non-harmonization decision.</w:t>
      </w:r>
    </w:p>
    <w:p>
      <w:pPr>
        <w:numPr>
          <w:ilvl w:val="0"/>
          <w:numId w:val="29"/>
        </w:numPr>
        <w:spacing w:after="80" w:line="300" w:lineRule="auto"/>
      </w:pPr>
      <w:r>
        <w:rPr>
          <w:rFonts w:ascii="Calibri" w:hAnsi="Calibri"/>
          <w:color w:val="222222"/>
        </w:rPr>
        <w:t>Crosswalk score of at least 16/20 with all scientific-safety conditions met.</w:t>
      </w:r>
    </w:p>
    <w:p>
      <w:pPr>
        <w:numPr>
          <w:ilvl w:val="0"/>
          <w:numId w:val="29"/>
        </w:numPr>
        <w:spacing w:after="80" w:line="300" w:lineRule="auto"/>
      </w:pPr>
      <w:r>
        <w:rPr>
          <w:rFonts w:ascii="Calibri" w:hAnsi="Calibri"/>
          <w:color w:val="222222"/>
        </w:rPr>
        <w:t>Notebook audit that reproduces the expected structural checks and either reproduces 153/145 or explains a documented data revision.</w:t>
      </w:r>
    </w:p>
    <w:p>
      <w:pPr>
        <w:numPr>
          <w:ilvl w:val="0"/>
          <w:numId w:val="29"/>
        </w:numPr>
        <w:spacing w:after="80" w:line="300" w:lineRule="auto"/>
      </w:pPr>
      <w:r>
        <w:rPr>
          <w:rFonts w:ascii="Calibri" w:hAnsi="Calibri"/>
          <w:color w:val="222222"/>
        </w:rPr>
        <w:t>Four-sentence interpretation containing observation, context, alternatives, and a claim boundary.</w:t>
      </w:r>
    </w:p>
    <w:p>
      <w:pPr>
        <w:numPr>
          <w:ilvl w:val="0"/>
          <w:numId w:val="29"/>
        </w:numPr>
        <w:spacing w:after="80" w:line="300" w:lineRule="auto"/>
      </w:pPr>
      <w:r>
        <w:rPr>
          <w:rFonts w:ascii="Calibri" w:hAnsi="Calibri"/>
          <w:color w:val="222222"/>
        </w:rPr>
        <w:t>Transfer checklist score of at least 16/20 with no governance-safety failure.</w:t>
      </w:r>
    </w:p>
    <w:p>
      <w:r>
        <w:br w:type="page"/>
      </w:r>
    </w:p>
    <w:p>
      <w:pPr>
        <w:pStyle w:val="Heading1"/>
      </w:pPr>
      <w:r>
        <w:rPr>
          <w:rFonts w:ascii="Calibri" w:hAnsi="Calibri"/>
          <w:color w:val="222222"/>
        </w:rPr>
        <w:t>Cohort-comparison worksheet - instructor version</w:t>
      </w:r>
    </w:p>
    <w:p>
      <w:r>
        <w:rPr>
          <w:rFonts w:ascii="Calibri" w:hAnsi="Calibri"/>
          <w:color w:val="222222"/>
        </w:rPr>
        <w:t>This version supplies expected evidence and defensible classifications for the locked August 10, 2026 build. Repository records can change; learners should receive credit for a different value when they provide current, traceable evidence and update the reasoning appropriately.</w:t>
      </w:r>
    </w:p>
    <w:p>
      <w:pPr>
        <w:pStyle w:val="Heading2"/>
      </w:pPr>
      <w:r>
        <w:rPr>
          <w:rFonts w:ascii="Calibri" w:hAnsi="Calibri"/>
          <w:color w:val="222222"/>
        </w:rPr>
        <w:t>1. Comparison purpose</w:t>
      </w:r>
    </w:p>
    <w:p>
      <w:r>
        <w:rPr>
          <w:rFonts w:ascii="Calibri" w:hAnsi="Calibri"/>
          <w:color w:val="222222"/>
        </w:rPr>
        <w:t>Recommended purpose:</w:t>
      </w:r>
    </w:p>
    <w:p>
      <w:pPr>
        <w:spacing w:before="100" w:after="120"/>
        <w:ind w:left="259" w:right="115"/>
        <w:shd w:fill="F4F6F9"/>
        <w:pBdr>
          <w:left w:val="single" w:sz="16" w:space="8" w:color="2E74B5"/>
        </w:pBdr>
      </w:pPr>
      <w:r>
        <w:rPr>
          <w:rFonts w:ascii="Calibri" w:hAnsi="Calibri"/>
          <w:color w:val="1F4D78"/>
        </w:rPr>
        <w:t>Describe exact reviewed RefMet-name overlap and broad chemical-class coverage across the two deposited studies while retaining population, plasma-versus-serum, time, platform, and scale differences.</w:t>
      </w:r>
    </w:p>
    <w:p>
      <w:r>
        <w:rPr>
          <w:rFonts w:ascii="Calibri" w:hAnsi="Calibri"/>
          <w:color w:val="222222"/>
        </w:rPr>
        <w:t>This purpose does not authorize pooling peak areas or estimating a diet-versus-exercise effect.</w:t>
      </w:r>
    </w:p>
    <w:p>
      <w:pPr>
        <w:pStyle w:val="Heading2"/>
      </w:pPr>
      <w:r>
        <w:rPr>
          <w:rFonts w:ascii="Calibri" w:hAnsi="Calibri"/>
          <w:color w:val="222222"/>
        </w:rPr>
        <w:t>2. Dataset identity and access evidence</w:t>
      </w:r>
    </w:p>
    <w:tbl>
      <w:tblPr>
        <w:tblStyle w:val="TableGrid"/>
        <w:tblW w:type="dxa" w:w="9360"/>
        <w:jc w:val="left"/>
        <w:tblLayout w:type="fixed"/>
        <w:tblLook w:firstColumn="1" w:firstRow="1" w:lastColumn="0" w:lastRow="0" w:noHBand="0" w:noVBand="1" w:val="04A0"/>
        <w:tblInd w:w="120" w:type="dxa"/>
      </w:tblPr>
      <w:tblGrid>
        <w:gridCol w:w="2556"/>
        <w:gridCol w:w="3401"/>
        <w:gridCol w:w="3403"/>
      </w:tblGrid>
      <w:tr>
        <w:trPr>
          <w:cantSplit w:val="true"/>
          <w:tblHeader w:val="true"/>
        </w:trPr>
        <w:tc>
          <w:tcPr>
            <w:tcW w:type="dxa" w:w="255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Field</w:t>
            </w:r>
          </w:p>
        </w:tc>
        <w:tc>
          <w:tcPr>
            <w:tcW w:type="dxa" w:w="340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Diet study</w:t>
            </w:r>
          </w:p>
        </w:tc>
        <w:tc>
          <w:tcPr>
            <w:tcW w:type="dxa" w:w="340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Exercise study</w:t>
            </w:r>
          </w:p>
        </w:tc>
      </w:tr>
      <w:tr>
        <w:trPr>
          <w:cantSplit w:val="true"/>
        </w:trPr>
        <w:tc>
          <w:tcPr>
            <w:tcW w:type="dxa" w:w="25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Configuration</w:t>
            </w:r>
          </w:p>
        </w:tc>
        <w:tc>
          <w:tcPr>
            <w:tcW w:type="dxa" w:w="3401"/>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DIET_ACCESSION = ST001521</w:t>
            </w:r>
          </w:p>
        </w:tc>
        <w:tc>
          <w:tcPr>
            <w:tcW w:type="dxa" w:w="3403"/>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EXERCISE_ACCESSION = ST003348</w:t>
            </w:r>
          </w:p>
        </w:tc>
      </w:tr>
      <w:tr>
        <w:trPr>
          <w:cantSplit w:val="true"/>
        </w:trPr>
        <w:tc>
          <w:tcPr>
            <w:tcW w:type="dxa" w:w="25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Title</w:t>
            </w:r>
          </w:p>
        </w:tc>
        <w:tc>
          <w:tcPr>
            <w:tcW w:type="dxa" w:w="340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Plasma metabolites of known identity profiled using hybrid nontargeted methods (part-III)</w:t>
            </w:r>
          </w:p>
        </w:tc>
        <w:tc>
          <w:tcPr>
            <w:tcW w:type="dxa" w:w="340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An integrated LC-MS analysis of the biometric characteristics of different time cohorts of race walkers - untargeted</w:t>
            </w:r>
          </w:p>
        </w:tc>
      </w:tr>
      <w:tr>
        <w:trPr>
          <w:cantSplit w:val="true"/>
        </w:trPr>
        <w:tc>
          <w:tcPr>
            <w:tcW w:type="dxa" w:w="25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Study DOI</w:t>
            </w:r>
          </w:p>
        </w:tc>
        <w:tc>
          <w:tcPr>
            <w:tcW w:type="dxa" w:w="340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Project DOI </w:t>
            </w:r>
            <w:r>
              <w:rPr>
                <w:rFonts w:ascii="Consolas" w:hAnsi="Consolas"/>
                <w:color w:val="1F4D78"/>
                <w:sz w:val="17"/>
                <w:shd w:fill="EEF1F4"/>
              </w:rPr>
              <w:t>10.21228/M8B984</w:t>
            </w:r>
          </w:p>
        </w:tc>
        <w:tc>
          <w:tcPr>
            <w:tcW w:type="dxa" w:w="340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Project DOI </w:t>
            </w:r>
            <w:r>
              <w:rPr>
                <w:rFonts w:ascii="Consolas" w:hAnsi="Consolas"/>
                <w:color w:val="1F4D78"/>
                <w:sz w:val="17"/>
                <w:shd w:fill="EEF1F4"/>
              </w:rPr>
              <w:t>10.21228/M8C802</w:t>
            </w:r>
          </w:p>
        </w:tc>
      </w:tr>
      <w:tr>
        <w:trPr>
          <w:cantSplit w:val="true"/>
        </w:trPr>
        <w:tc>
          <w:tcPr>
            <w:tcW w:type="dxa" w:w="25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Landing page</w:t>
            </w:r>
          </w:p>
        </w:tc>
        <w:tc>
          <w:tcPr>
            <w:tcW w:type="dxa" w:w="3401"/>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https://www.metabolomicsworkbench.org/data/DRCCMetadata.php?StudyID=ST001521</w:t>
            </w:r>
          </w:p>
        </w:tc>
        <w:tc>
          <w:tcPr>
            <w:tcW w:type="dxa" w:w="3403"/>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https://www.metabolomicsworkbench.org/data/DRCCMetadata.php?StudyID=ST003348</w:t>
            </w:r>
          </w:p>
        </w:tc>
      </w:tr>
      <w:tr>
        <w:trPr>
          <w:cantSplit w:val="true"/>
        </w:trPr>
        <w:tc>
          <w:tcPr>
            <w:tcW w:type="dxa" w:w="25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REST summary</w:t>
            </w:r>
          </w:p>
        </w:tc>
        <w:tc>
          <w:tcPr>
            <w:tcW w:type="dxa" w:w="3401"/>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/rest/study/study_id/ST001521/summary</w:t>
            </w:r>
          </w:p>
        </w:tc>
        <w:tc>
          <w:tcPr>
            <w:tcW w:type="dxa" w:w="3403"/>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/rest/study/study_id/ST003348/summary</w:t>
            </w:r>
          </w:p>
        </w:tc>
      </w:tr>
      <w:tr>
        <w:trPr>
          <w:cantSplit w:val="true"/>
        </w:trPr>
        <w:tc>
          <w:tcPr>
            <w:tcW w:type="dxa" w:w="25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License in summary</w:t>
            </w:r>
          </w:p>
        </w:tc>
        <w:tc>
          <w:tcPr>
            <w:tcW w:type="dxa" w:w="340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CC BY 4.0</w:t>
            </w:r>
          </w:p>
        </w:tc>
        <w:tc>
          <w:tcPr>
            <w:tcW w:type="dxa" w:w="3403"/>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CC BY 4.0</w:t>
            </w:r>
          </w:p>
        </w:tc>
      </w:tr>
      <w:tr>
        <w:trPr>
          <w:cantSplit w:val="true"/>
        </w:trPr>
        <w:tc>
          <w:tcPr>
            <w:tcW w:type="dxa" w:w="25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Public status at content build</w:t>
            </w:r>
          </w:p>
        </w:tc>
        <w:tc>
          <w:tcPr>
            <w:tcW w:type="dxa" w:w="340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Public REST responses retrieved</w:t>
            </w:r>
          </w:p>
        </w:tc>
        <w:tc>
          <w:tcPr>
            <w:tcW w:type="dxa" w:w="340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Public REST responses retrieved</w:t>
            </w:r>
          </w:p>
        </w:tc>
      </w:tr>
    </w:tbl>
    <w:p>
      <w:pPr>
        <w:spacing w:before="0" w:after="40"/>
      </w:pPr>
    </w:p>
    <w:p>
      <w:r>
        <w:rPr>
          <w:rFonts w:ascii="Calibri" w:hAnsi="Calibri"/>
          <w:color w:val="222222"/>
        </w:rPr>
        <w:t>The learner must add their own UTC check time and live/cached status.</w:t>
      </w:r>
    </w:p>
    <w:p>
      <w:pPr>
        <w:pStyle w:val="Heading2"/>
      </w:pPr>
      <w:r>
        <w:rPr>
          <w:rFonts w:ascii="Calibri" w:hAnsi="Calibri"/>
          <w:color w:val="222222"/>
        </w:rPr>
        <w:t>3. Design and population key</w:t>
      </w:r>
    </w:p>
    <w:tbl>
      <w:tblPr>
        <w:tblStyle w:val="TableGrid"/>
        <w:tblW w:type="dxa" w:w="9360"/>
        <w:jc w:val="left"/>
        <w:tblLayout w:type="fixed"/>
        <w:tblLook w:firstColumn="1" w:firstRow="1" w:lastColumn="0" w:lastRow="0" w:noHBand="0" w:noVBand="1" w:val="04A0"/>
        <w:tblInd w:w="120" w:type="dxa"/>
      </w:tblPr>
      <w:tblGrid>
        <w:gridCol w:w="1686"/>
        <w:gridCol w:w="2558"/>
        <w:gridCol w:w="2558"/>
        <w:gridCol w:w="2558"/>
      </w:tblGrid>
      <w:tr>
        <w:trPr>
          <w:cantSplit w:val="true"/>
          <w:tblHeader w:val="true"/>
        </w:trPr>
        <w:tc>
          <w:tcPr>
            <w:tcW w:type="dxa" w:w="168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2558"/>
            <w:tcMar>
              <w:top w:w="80" w:type="dxa"/>
              <w:bottom w:w="80" w:type="dxa"/>
              <w:start w:w="120" w:type="dxa"/>
              <w:end w:w="120" w:type="dxa"/>
            </w:tcMar>
            <w:vAlign w:val="center"/>
            <w:shd w:fill="E8EEF5"/>
          </w:tcPr>
          <w:p>
            <w:pPr>
              <w:spacing w:before="0" w:after="0" w:line="269" w:lineRule="auto"/>
              <w:jc w:val="left"/>
            </w:pPr>
            <w:r>
              <w:rPr>
                <w:b/>
                <w:color w:val="203748"/>
              </w:rPr>
            </w:r>
            <w:r>
              <w:rPr>
                <w:rFonts w:ascii="Consolas" w:hAnsi="Consolas"/>
                <w:b/>
                <w:color w:val="203748"/>
                <w:sz w:val="15"/>
                <w:shd w:fill="EEF1F4"/>
              </w:rPr>
              <w:t>ST001521</w:t>
            </w:r>
            <w:r>
              <w:rPr>
                <w:rFonts w:ascii="Calibri" w:hAnsi="Calibri"/>
                <w:b/>
                <w:color w:val="203748"/>
                <w:sz w:val="16"/>
              </w:rPr>
              <w:t xml:space="preserve"> expected evidence</w:t>
            </w:r>
          </w:p>
        </w:tc>
        <w:tc>
          <w:tcPr>
            <w:tcW w:type="dxa" w:w="2558"/>
            <w:tcMar>
              <w:top w:w="80" w:type="dxa"/>
              <w:bottom w:w="80" w:type="dxa"/>
              <w:start w:w="120" w:type="dxa"/>
              <w:end w:w="120" w:type="dxa"/>
            </w:tcMar>
            <w:vAlign w:val="center"/>
            <w:shd w:fill="E8EEF5"/>
          </w:tcPr>
          <w:p>
            <w:pPr>
              <w:spacing w:before="0" w:after="0" w:line="269" w:lineRule="auto"/>
              <w:jc w:val="left"/>
            </w:pPr>
            <w:r>
              <w:rPr>
                <w:b/>
                <w:color w:val="203748"/>
              </w:rPr>
            </w:r>
            <w:r>
              <w:rPr>
                <w:rFonts w:ascii="Consolas" w:hAnsi="Consolas"/>
                <w:b/>
                <w:color w:val="203748"/>
                <w:sz w:val="15"/>
                <w:shd w:fill="EEF1F4"/>
              </w:rPr>
              <w:t>ST003348</w:t>
            </w:r>
            <w:r>
              <w:rPr>
                <w:rFonts w:ascii="Calibri" w:hAnsi="Calibri"/>
                <w:b/>
                <w:color w:val="203748"/>
                <w:sz w:val="16"/>
              </w:rPr>
              <w:t xml:space="preserve"> expected evidence</w:t>
            </w:r>
          </w:p>
        </w:tc>
        <w:tc>
          <w:tcPr>
            <w:tcW w:type="dxa" w:w="255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Defensible classification</w:t>
            </w:r>
          </w:p>
        </w:tc>
      </w:tr>
      <w:tr>
        <w:trPr>
          <w:cantSplit w:val="true"/>
        </w:trPr>
        <w:tc>
          <w:tcPr>
            <w:tcW w:type="dxa" w:w="16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Species</w:t>
            </w:r>
          </w:p>
        </w:tc>
        <w:tc>
          <w:tcPr>
            <w:tcW w:type="dxa" w:w="255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Homo sapiens</w:t>
            </w:r>
          </w:p>
        </w:tc>
        <w:tc>
          <w:tcPr>
            <w:tcW w:type="dxa" w:w="255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Homo sapiens</w:t>
            </w:r>
          </w:p>
        </w:tc>
        <w:tc>
          <w:tcPr>
            <w:tcW w:type="dxa" w:w="255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D</w:t>
            </w:r>
            <w:r>
              <w:rPr>
                <w:rFonts w:ascii="Calibri" w:hAnsi="Calibri"/>
                <w:color w:val="222222"/>
                <w:sz w:val="16"/>
              </w:rPr>
              <w:t xml:space="preserve"> for species-level description</w:t>
            </w:r>
          </w:p>
        </w:tc>
      </w:tr>
      <w:tr>
        <w:trPr>
          <w:cantSplit w:val="true"/>
        </w:trPr>
        <w:tc>
          <w:tcPr>
            <w:tcW w:type="dxa" w:w="16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Design</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Longitudinal FARMM feeding protocol; three diet groups; concurrent Abx/PEG perturbation; mixed assignment/setting</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Repeated measures across one endurance exercise bout and recovery</w:t>
            </w:r>
          </w:p>
        </w:tc>
        <w:tc>
          <w:tcPr>
            <w:tcW w:type="dxa" w:w="255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w:t>
            </w:r>
            <w:r>
              <w:rPr>
                <w:rFonts w:ascii="Calibri" w:hAnsi="Calibri"/>
                <w:color w:val="222222"/>
                <w:sz w:val="16"/>
              </w:rPr>
              <w:t xml:space="preserve"> for repeated-measures structure; </w:t>
            </w:r>
            <w:r>
              <w:rPr>
                <w:rFonts w:ascii="Consolas" w:hAnsi="Consolas"/>
                <w:color w:val="1F4D78"/>
                <w:sz w:val="15"/>
                <w:shd w:fill="EEF1F4"/>
              </w:rPr>
              <w:t>N</w:t>
            </w:r>
            <w:r>
              <w:rPr>
                <w:rFonts w:ascii="Calibri" w:hAnsi="Calibri"/>
                <w:color w:val="222222"/>
                <w:sz w:val="16"/>
              </w:rPr>
              <w:t xml:space="preserve"> as one common intervention design</w:t>
            </w:r>
          </w:p>
        </w:tc>
      </w:tr>
      <w:tr>
        <w:trPr>
          <w:cantSplit w:val="true"/>
        </w:trPr>
        <w:tc>
          <w:tcPr>
            <w:tcW w:type="dxa" w:w="16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Participants</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30 healthy volunteers described; 10 per diet group</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20 recruited male student-athletes described in collection metadata, one withdrew; 19 represented in 76 samples</w:t>
            </w:r>
          </w:p>
        </w:tc>
        <w:tc>
          <w:tcPr>
            <w:tcW w:type="dxa" w:w="255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w:t>
            </w:r>
            <w:r>
              <w:rPr>
                <w:rFonts w:ascii="Calibri" w:hAnsi="Calibri"/>
                <w:color w:val="222222"/>
                <w:sz w:val="16"/>
              </w:rPr>
              <w:t xml:space="preserve"> for descriptive counts only</w:t>
            </w:r>
          </w:p>
        </w:tc>
      </w:tr>
      <w:tr>
        <w:trPr>
          <w:cantSplit w:val="true"/>
        </w:trPr>
        <w:tc>
          <w:tcPr>
            <w:tcW w:type="dxa" w:w="16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Biological samples</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150 expected participant-timepoint rows, 30 x 5</w:t>
            </w:r>
          </w:p>
        </w:tc>
        <w:tc>
          <w:tcPr>
            <w:tcW w:type="dxa" w:w="255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76, 19 x 4</w:t>
            </w:r>
          </w:p>
        </w:tc>
        <w:tc>
          <w:tcPr>
            <w:tcW w:type="dxa" w:w="255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w:t>
            </w:r>
            <w:r>
              <w:rPr>
                <w:rFonts w:ascii="Calibri" w:hAnsi="Calibri"/>
                <w:color w:val="222222"/>
                <w:sz w:val="16"/>
              </w:rPr>
              <w:t>; do not treat as independent people</w:t>
            </w:r>
          </w:p>
        </w:tc>
      </w:tr>
      <w:tr>
        <w:trPr>
          <w:cantSplit w:val="true"/>
        </w:trPr>
        <w:tc>
          <w:tcPr>
            <w:tcW w:type="dxa" w:w="16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Other samples</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10 </w:t>
            </w:r>
            <w:r>
              <w:rPr>
                <w:rFonts w:ascii="Consolas" w:hAnsi="Consolas"/>
                <w:color w:val="1F4D78"/>
                <w:sz w:val="15"/>
                <w:shd w:fill="EEF1F4"/>
              </w:rPr>
              <w:t>QPP...</w:t>
            </w:r>
            <w:r>
              <w:rPr>
                <w:rFonts w:ascii="Calibri" w:hAnsi="Calibri"/>
                <w:color w:val="222222"/>
                <w:sz w:val="16"/>
              </w:rPr>
              <w:t xml:space="preserve"> pooled QC candidates among 160 factor rows</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 additional QC rows identified in the factor endpoint</w:t>
            </w:r>
          </w:p>
        </w:tc>
        <w:tc>
          <w:tcPr>
            <w:tcW w:type="dxa" w:w="255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N</w:t>
            </w:r>
            <w:r>
              <w:rPr>
                <w:rFonts w:ascii="Calibri" w:hAnsi="Calibri"/>
                <w:color w:val="222222"/>
                <w:sz w:val="16"/>
              </w:rPr>
              <w:t xml:space="preserve"> as participant data; retain for QC role</w:t>
            </w:r>
          </w:p>
        </w:tc>
      </w:tr>
      <w:tr>
        <w:trPr>
          <w:cantSplit w:val="true"/>
        </w:trPr>
        <w:tc>
          <w:tcPr>
            <w:tcW w:type="dxa" w:w="16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Repeated linkage</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Local identifiers support subject and visit parsing, to be validated</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Local identifiers such as </w:t>
            </w:r>
            <w:r>
              <w:rPr>
                <w:rFonts w:ascii="Consolas" w:hAnsi="Consolas"/>
                <w:color w:val="1F4D78"/>
                <w:sz w:val="15"/>
                <w:shd w:fill="EEF1F4"/>
              </w:rPr>
              <w:t>79_1</w:t>
            </w:r>
            <w:r>
              <w:rPr>
                <w:rFonts w:ascii="Calibri" w:hAnsi="Calibri"/>
                <w:color w:val="222222"/>
                <w:sz w:val="16"/>
              </w:rPr>
              <w:t xml:space="preserve"> through </w:t>
            </w:r>
            <w:r>
              <w:rPr>
                <w:rFonts w:ascii="Consolas" w:hAnsi="Consolas"/>
                <w:color w:val="1F4D78"/>
                <w:sz w:val="15"/>
                <w:shd w:fill="EEF1F4"/>
              </w:rPr>
              <w:t>79_4</w:t>
            </w:r>
            <w:r>
              <w:rPr>
                <w:rFonts w:ascii="Calibri" w:hAnsi="Calibri"/>
                <w:color w:val="222222"/>
                <w:sz w:val="16"/>
              </w:rPr>
              <w:t xml:space="preserve"> support athlete and time parsing, to be validated</w:t>
            </w:r>
          </w:p>
        </w:tc>
        <w:tc>
          <w:tcPr>
            <w:tcW w:type="dxa" w:w="255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w:t>
            </w:r>
            <w:r>
              <w:rPr>
                <w:rFonts w:ascii="Calibri" w:hAnsi="Calibri"/>
                <w:color w:val="222222"/>
                <w:sz w:val="16"/>
              </w:rPr>
              <w:t xml:space="preserve"> until parsing is checked against documentation</w:t>
            </w:r>
          </w:p>
        </w:tc>
      </w:tr>
      <w:tr>
        <w:trPr>
          <w:cantSplit w:val="true"/>
        </w:trPr>
        <w:tc>
          <w:tcPr>
            <w:tcW w:type="dxa" w:w="16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Assignment caveat</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Twenty omnivores randomized to omnivore versus EEN; vegan participants were established vegans and continued usual diet as outpatients</w:t>
            </w:r>
          </w:p>
        </w:tc>
        <w:tc>
          <w:tcPr>
            <w:tcW w:type="dxa" w:w="25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 randomized comparison group in the deposited acute time-course description</w:t>
            </w:r>
          </w:p>
        </w:tc>
        <w:tc>
          <w:tcPr>
            <w:tcW w:type="dxa" w:w="255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N</w:t>
            </w:r>
            <w:r>
              <w:rPr>
                <w:rFonts w:ascii="Calibri" w:hAnsi="Calibri"/>
                <w:color w:val="222222"/>
                <w:sz w:val="16"/>
              </w:rPr>
              <w:t xml:space="preserve"> for a common randomized contrast</w:t>
            </w:r>
          </w:p>
        </w:tc>
      </w:tr>
    </w:tbl>
    <w:p>
      <w:pPr>
        <w:spacing w:before="0" w:after="40"/>
      </w:pPr>
    </w:p>
    <w:p>
      <w:r>
        <w:rPr>
          <w:rFonts w:ascii="Calibri" w:hAnsi="Calibri"/>
          <w:color w:val="222222"/>
        </w:rPr>
        <w:t xml:space="preserve">High-quality learner answers note that the project metadata labels </w:t>
      </w:r>
      <w:r>
        <w:rPr>
          <w:rFonts w:ascii="Consolas" w:hAnsi="Consolas"/>
          <w:color w:val="1F4D78"/>
          <w:sz w:val="21"/>
          <w:shd w:fill="EEF1F4"/>
        </w:rPr>
        <w:t>ST001521</w:t>
      </w:r>
      <w:r>
        <w:rPr>
          <w:rFonts w:ascii="Calibri" w:hAnsi="Calibri"/>
          <w:color w:val="222222"/>
        </w:rPr>
        <w:t xml:space="preserve"> as observational while its detailed summary includes randomization within the 20 omnivores. The resolution is not to choose one label, but to describe the hybrid design at the relevant contrast.</w:t>
      </w:r>
    </w:p>
    <w:p>
      <w:pPr>
        <w:pStyle w:val="Heading2"/>
      </w:pPr>
      <w:r>
        <w:rPr>
          <w:rFonts w:ascii="Calibri" w:hAnsi="Calibri"/>
          <w:color w:val="222222"/>
        </w:rPr>
        <w:t>4. Phenotype and protocol key</w:t>
      </w:r>
    </w:p>
    <w:tbl>
      <w:tblPr>
        <w:tblStyle w:val="TableGrid"/>
        <w:tblW w:type="dxa" w:w="9360"/>
        <w:jc w:val="left"/>
        <w:tblLayout w:type="fixed"/>
        <w:tblLook w:firstColumn="1" w:firstRow="1" w:lastColumn="0" w:lastRow="0" w:noHBand="0" w:noVBand="1" w:val="04A0"/>
        <w:tblInd w:w="120" w:type="dxa"/>
      </w:tblPr>
      <w:tblGrid>
        <w:gridCol w:w="1752"/>
        <w:gridCol w:w="2564"/>
        <w:gridCol w:w="2564"/>
        <w:gridCol w:w="2480"/>
      </w:tblGrid>
      <w:tr>
        <w:trPr>
          <w:cantSplit w:val="true"/>
          <w:tblHeader w:val="true"/>
        </w:trPr>
        <w:tc>
          <w:tcPr>
            <w:tcW w:type="dxa" w:w="175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2564"/>
            <w:tcMar>
              <w:top w:w="80" w:type="dxa"/>
              <w:bottom w:w="80" w:type="dxa"/>
              <w:start w:w="120" w:type="dxa"/>
              <w:end w:w="120" w:type="dxa"/>
            </w:tcMar>
            <w:vAlign w:val="center"/>
            <w:shd w:fill="E8EEF5"/>
          </w:tcPr>
          <w:p>
            <w:pPr>
              <w:spacing w:before="0" w:after="0" w:line="269" w:lineRule="auto"/>
              <w:jc w:val="center"/>
            </w:pPr>
            <w:r>
              <w:rPr>
                <w:b/>
                <w:color w:val="203748"/>
              </w:rPr>
            </w:r>
            <w:r>
              <w:rPr>
                <w:rFonts w:ascii="Consolas" w:hAnsi="Consolas"/>
                <w:b/>
                <w:color w:val="203748"/>
                <w:sz w:val="15"/>
                <w:shd w:fill="EEF1F4"/>
              </w:rPr>
              <w:t>ST001521</w:t>
            </w:r>
          </w:p>
        </w:tc>
        <w:tc>
          <w:tcPr>
            <w:tcW w:type="dxa" w:w="2564"/>
            <w:tcMar>
              <w:top w:w="80" w:type="dxa"/>
              <w:bottom w:w="80" w:type="dxa"/>
              <w:start w:w="120" w:type="dxa"/>
              <w:end w:w="120" w:type="dxa"/>
            </w:tcMar>
            <w:vAlign w:val="center"/>
            <w:shd w:fill="E8EEF5"/>
          </w:tcPr>
          <w:p>
            <w:pPr>
              <w:spacing w:before="0" w:after="0" w:line="269" w:lineRule="auto"/>
              <w:jc w:val="center"/>
            </w:pPr>
            <w:r>
              <w:rPr>
                <w:b/>
                <w:color w:val="203748"/>
              </w:rPr>
            </w:r>
            <w:r>
              <w:rPr>
                <w:rFonts w:ascii="Consolas" w:hAnsi="Consolas"/>
                <w:b/>
                <w:color w:val="203748"/>
                <w:sz w:val="15"/>
                <w:shd w:fill="EEF1F4"/>
              </w:rPr>
              <w:t>ST003348</w:t>
            </w:r>
          </w:p>
        </w:tc>
        <w:tc>
          <w:tcPr>
            <w:tcW w:type="dxa" w:w="248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Decision</w:t>
            </w:r>
          </w:p>
        </w:tc>
      </w:tr>
      <w:tr>
        <w:trPr>
          <w:cantSplit w:val="true"/>
        </w:trPr>
        <w:tc>
          <w:tcPr>
            <w:tcW w:type="dxa" w:w="175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Anchor</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Diet group plus longitudinal microbiota depletion/reconstitution context</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Acute endurance race walk and recovery</w:t>
            </w:r>
          </w:p>
        </w:tc>
        <w:tc>
          <w:tcPr>
            <w:tcW w:type="dxa" w:w="2480"/>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N</w:t>
            </w:r>
            <w:r>
              <w:rPr>
                <w:rFonts w:ascii="Calibri" w:hAnsi="Calibri"/>
                <w:color w:val="222222"/>
                <w:sz w:val="16"/>
              </w:rPr>
              <w:t xml:space="preserve"> as one intervention variable</w:t>
            </w:r>
          </w:p>
        </w:tc>
      </w:tr>
      <w:tr>
        <w:trPr>
          <w:cantSplit w:val="true"/>
        </w:trPr>
        <w:tc>
          <w:tcPr>
            <w:tcW w:type="dxa" w:w="175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Groups/time</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Deposited </w:t>
            </w:r>
            <w:r>
              <w:rPr>
                <w:rFonts w:ascii="Consolas" w:hAnsi="Consolas"/>
                <w:color w:val="1F4D78"/>
                <w:sz w:val="15"/>
                <w:shd w:fill="EEF1F4"/>
              </w:rPr>
              <w:t>Study_Diet</w:t>
            </w:r>
            <w:r>
              <w:rPr>
                <w:rFonts w:ascii="Calibri" w:hAnsi="Calibri"/>
                <w:color w:val="222222"/>
                <w:sz w:val="16"/>
              </w:rPr>
              <w:t xml:space="preserve"> values include </w:t>
            </w:r>
            <w:r>
              <w:rPr>
                <w:rFonts w:ascii="Consolas" w:hAnsi="Consolas"/>
                <w:color w:val="1F4D78"/>
                <w:sz w:val="15"/>
                <w:shd w:fill="EEF1F4"/>
              </w:rPr>
              <w:t>Vegan</w:t>
            </w:r>
            <w:r>
              <w:rPr>
                <w:rFonts w:ascii="Calibri" w:hAnsi="Calibri"/>
                <w:color w:val="222222"/>
                <w:sz w:val="16"/>
              </w:rPr>
              <w:t xml:space="preserve">, </w:t>
            </w:r>
            <w:r>
              <w:rPr>
                <w:rFonts w:ascii="Consolas" w:hAnsi="Consolas"/>
                <w:color w:val="1F4D78"/>
                <w:sz w:val="15"/>
                <w:shd w:fill="EEF1F4"/>
              </w:rPr>
              <w:t>Western</w:t>
            </w:r>
            <w:r>
              <w:rPr>
                <w:rFonts w:ascii="Calibri" w:hAnsi="Calibri"/>
                <w:color w:val="222222"/>
                <w:sz w:val="16"/>
              </w:rPr>
              <w:t xml:space="preserve">, and </w:t>
            </w:r>
            <w:r>
              <w:rPr>
                <w:rFonts w:ascii="Consolas" w:hAnsi="Consolas"/>
                <w:color w:val="1F4D78"/>
                <w:sz w:val="15"/>
                <w:shd w:fill="EEF1F4"/>
              </w:rPr>
              <w:t>Modulen</w:t>
            </w:r>
            <w:r>
              <w:rPr>
                <w:rFonts w:ascii="Calibri" w:hAnsi="Calibri"/>
                <w:color w:val="222222"/>
                <w:sz w:val="16"/>
              </w:rPr>
              <w:t>; time values include Baseline and Days 5, 9, 12, 15</w:t>
            </w:r>
          </w:p>
        </w:tc>
        <w:tc>
          <w:tcPr>
            <w:tcW w:type="dxa" w:w="2564"/>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REST</w:t>
            </w:r>
            <w:r>
              <w:rPr>
                <w:rFonts w:ascii="Calibri" w:hAnsi="Calibri"/>
                <w:color w:val="222222"/>
                <w:sz w:val="16"/>
              </w:rPr>
              <w:t xml:space="preserve">, </w:t>
            </w:r>
            <w:r>
              <w:rPr>
                <w:rFonts w:ascii="Consolas" w:hAnsi="Consolas"/>
                <w:color w:val="1F4D78"/>
                <w:sz w:val="15"/>
                <w:shd w:fill="EEF1F4"/>
              </w:rPr>
              <w:t>STAT</w:t>
            </w:r>
            <w:r>
              <w:rPr>
                <w:rFonts w:ascii="Calibri" w:hAnsi="Calibri"/>
                <w:color w:val="222222"/>
                <w:sz w:val="16"/>
              </w:rPr>
              <w:t xml:space="preserve">, </w:t>
            </w:r>
            <w:r>
              <w:rPr>
                <w:rFonts w:ascii="Consolas" w:hAnsi="Consolas"/>
                <w:color w:val="1F4D78"/>
                <w:sz w:val="15"/>
                <w:shd w:fill="EEF1F4"/>
              </w:rPr>
              <w:t>REC3</w:t>
            </w:r>
            <w:r>
              <w:rPr>
                <w:rFonts w:ascii="Calibri" w:hAnsi="Calibri"/>
                <w:color w:val="222222"/>
                <w:sz w:val="16"/>
              </w:rPr>
              <w:t xml:space="preserve">, </w:t>
            </w:r>
            <w:r>
              <w:rPr>
                <w:rFonts w:ascii="Consolas" w:hAnsi="Consolas"/>
                <w:color w:val="1F4D78"/>
                <w:sz w:val="15"/>
                <w:shd w:fill="EEF1F4"/>
              </w:rPr>
              <w:t>REC22</w:t>
            </w:r>
          </w:p>
        </w:tc>
        <w:tc>
          <w:tcPr>
            <w:tcW w:type="dxa" w:w="2480"/>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N</w:t>
            </w:r>
            <w:r>
              <w:rPr>
                <w:rFonts w:ascii="Calibri" w:hAnsi="Calibri"/>
                <w:color w:val="222222"/>
                <w:sz w:val="16"/>
              </w:rPr>
              <w:t xml:space="preserve"> as a common time axis</w:t>
            </w:r>
          </w:p>
        </w:tc>
      </w:tr>
      <w:tr>
        <w:trPr>
          <w:cantSplit w:val="true"/>
        </w:trPr>
        <w:tc>
          <w:tcPr>
            <w:tcW w:type="dxa" w:w="175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Concurrent procedures</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Vancomycin/neomycin days 6-8 and PEG on day 7 described in summary</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Exercise plus recovery; fasting noted for REST and REC22 in collection summary</w:t>
            </w:r>
          </w:p>
        </w:tc>
        <w:tc>
          <w:tcPr>
            <w:tcW w:type="dxa" w:w="2480"/>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N</w:t>
            </w:r>
            <w:r>
              <w:rPr>
                <w:rFonts w:ascii="Calibri" w:hAnsi="Calibri"/>
                <w:color w:val="222222"/>
                <w:sz w:val="16"/>
              </w:rPr>
              <w:t xml:space="preserve"> for diet-only versus exercise-only attribution</w:t>
            </w:r>
          </w:p>
        </w:tc>
      </w:tr>
      <w:tr>
        <w:trPr>
          <w:cantSplit w:val="true"/>
        </w:trPr>
        <w:tc>
          <w:tcPr>
            <w:tcW w:type="dxa" w:w="175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Setting</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Vegan outpatients; omnivore/EEN inpatient under supervision</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Athlete exercise study; exact supervision details should be sourced</w:t>
            </w:r>
          </w:p>
        </w:tc>
        <w:tc>
          <w:tcPr>
            <w:tcW w:type="dxa" w:w="2480"/>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N</w:t>
            </w:r>
            <w:r>
              <w:rPr>
                <w:rFonts w:ascii="Calibri" w:hAnsi="Calibri"/>
                <w:color w:val="222222"/>
                <w:sz w:val="16"/>
              </w:rPr>
              <w:t xml:space="preserve"> or </w:t>
            </w:r>
            <w:r>
              <w:rPr>
                <w:rFonts w:ascii="Consolas" w:hAnsi="Consolas"/>
                <w:color w:val="1F4D78"/>
                <w:sz w:val="15"/>
                <w:shd w:fill="EEF1F4"/>
              </w:rPr>
              <w:t>P</w:t>
            </w:r>
            <w:r>
              <w:rPr>
                <w:rFonts w:ascii="Calibri" w:hAnsi="Calibri"/>
                <w:color w:val="222222"/>
                <w:sz w:val="16"/>
              </w:rPr>
              <w:t xml:space="preserve"> depending purpose</w:t>
            </w:r>
          </w:p>
        </w:tc>
      </w:tr>
    </w:tbl>
    <w:p>
      <w:pPr>
        <w:spacing w:before="0" w:after="40"/>
      </w:pPr>
    </w:p>
    <w:p>
      <w:r>
        <w:rPr>
          <w:rFonts w:ascii="Calibri" w:hAnsi="Calibri"/>
          <w:color w:val="222222"/>
        </w:rPr>
        <w:t>Learners should not describe all three diet groups as randomized.</w:t>
      </w:r>
    </w:p>
    <w:p>
      <w:pPr>
        <w:pStyle w:val="Heading2"/>
      </w:pPr>
      <w:r>
        <w:rPr>
          <w:rFonts w:ascii="Calibri" w:hAnsi="Calibri"/>
          <w:color w:val="222222"/>
        </w:rPr>
        <w:t>5. Specimen and pre-analytics key</w:t>
      </w:r>
    </w:p>
    <w:tbl>
      <w:tblPr>
        <w:tblStyle w:val="TableGrid"/>
        <w:tblW w:type="dxa" w:w="9360"/>
        <w:jc w:val="left"/>
        <w:tblLayout w:type="fixed"/>
        <w:tblLook w:firstColumn="1" w:firstRow="1" w:lastColumn="0" w:lastRow="0" w:noHBand="0" w:noVBand="1" w:val="04A0"/>
        <w:tblInd w:w="120" w:type="dxa"/>
      </w:tblPr>
      <w:tblGrid>
        <w:gridCol w:w="1666"/>
        <w:gridCol w:w="2564"/>
        <w:gridCol w:w="2564"/>
        <w:gridCol w:w="2566"/>
      </w:tblGrid>
      <w:tr>
        <w:trPr>
          <w:cantSplit w:val="true"/>
          <w:tblHeader w:val="true"/>
        </w:trPr>
        <w:tc>
          <w:tcPr>
            <w:tcW w:type="dxa" w:w="166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2564"/>
            <w:tcMar>
              <w:top w:w="80" w:type="dxa"/>
              <w:bottom w:w="80" w:type="dxa"/>
              <w:start w:w="120" w:type="dxa"/>
              <w:end w:w="120" w:type="dxa"/>
            </w:tcMar>
            <w:vAlign w:val="center"/>
            <w:shd w:fill="E8EEF5"/>
          </w:tcPr>
          <w:p>
            <w:pPr>
              <w:spacing w:before="0" w:after="0" w:line="269" w:lineRule="auto"/>
              <w:jc w:val="center"/>
            </w:pPr>
            <w:r>
              <w:rPr>
                <w:b/>
                <w:color w:val="203748"/>
              </w:rPr>
            </w:r>
            <w:r>
              <w:rPr>
                <w:rFonts w:ascii="Consolas" w:hAnsi="Consolas"/>
                <w:b/>
                <w:color w:val="203748"/>
                <w:sz w:val="15"/>
                <w:shd w:fill="EEF1F4"/>
              </w:rPr>
              <w:t>ST001521</w:t>
            </w:r>
          </w:p>
        </w:tc>
        <w:tc>
          <w:tcPr>
            <w:tcW w:type="dxa" w:w="2564"/>
            <w:tcMar>
              <w:top w:w="80" w:type="dxa"/>
              <w:bottom w:w="80" w:type="dxa"/>
              <w:start w:w="120" w:type="dxa"/>
              <w:end w:w="120" w:type="dxa"/>
            </w:tcMar>
            <w:vAlign w:val="center"/>
            <w:shd w:fill="E8EEF5"/>
          </w:tcPr>
          <w:p>
            <w:pPr>
              <w:spacing w:before="0" w:after="0" w:line="269" w:lineRule="auto"/>
              <w:jc w:val="center"/>
            </w:pPr>
            <w:r>
              <w:rPr>
                <w:b/>
                <w:color w:val="203748"/>
              </w:rPr>
            </w:r>
            <w:r>
              <w:rPr>
                <w:rFonts w:ascii="Consolas" w:hAnsi="Consolas"/>
                <w:b/>
                <w:color w:val="203748"/>
                <w:sz w:val="15"/>
                <w:shd w:fill="EEF1F4"/>
              </w:rPr>
              <w:t>ST003348</w:t>
            </w:r>
          </w:p>
        </w:tc>
        <w:tc>
          <w:tcPr>
            <w:tcW w:type="dxa" w:w="256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Decision</w:t>
            </w:r>
          </w:p>
        </w:tc>
      </w:tr>
      <w:tr>
        <w:trPr>
          <w:cantSplit w:val="true"/>
        </w:trPr>
        <w:tc>
          <w:tcPr>
            <w:tcW w:type="dxa" w:w="166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Factor label</w:t>
            </w:r>
          </w:p>
        </w:tc>
        <w:tc>
          <w:tcPr>
            <w:tcW w:type="dxa" w:w="2564"/>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Blood (plasma)</w:t>
            </w:r>
          </w:p>
        </w:tc>
        <w:tc>
          <w:tcPr>
            <w:tcW w:type="dxa" w:w="2564"/>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blood</w:t>
            </w:r>
          </w:p>
        </w:tc>
        <w:tc>
          <w:tcPr>
            <w:tcW w:type="dxa" w:w="256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Source labels retained</w:t>
            </w:r>
          </w:p>
        </w:tc>
      </w:tr>
      <w:tr>
        <w:trPr>
          <w:cantSplit w:val="true"/>
        </w:trPr>
        <w:tc>
          <w:tcPr>
            <w:tcW w:type="dxa" w:w="166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Specific matrix</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Plasma, isolated after blood collection</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Collection block specifies </w:t>
            </w:r>
            <w:r>
              <w:rPr>
                <w:rFonts w:ascii="Consolas" w:hAnsi="Consolas"/>
                <w:color w:val="1F4D78"/>
                <w:sz w:val="15"/>
                <w:shd w:fill="EEF1F4"/>
              </w:rPr>
              <w:t>Blood (serum)</w:t>
            </w:r>
            <w:r>
              <w:rPr>
                <w:rFonts w:ascii="Calibri" w:hAnsi="Calibri"/>
                <w:color w:val="222222"/>
                <w:sz w:val="16"/>
              </w:rPr>
              <w:t xml:space="preserve"> and clotting before centrifugation</w:t>
            </w:r>
          </w:p>
        </w:tc>
        <w:tc>
          <w:tcPr>
            <w:tcW w:type="dxa" w:w="256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w:t>
            </w:r>
            <w:r>
              <w:rPr>
                <w:rFonts w:ascii="Calibri" w:hAnsi="Calibri"/>
                <w:color w:val="222222"/>
                <w:sz w:val="16"/>
              </w:rPr>
              <w:t xml:space="preserve"> for blood-derived-fluid discovery; </w:t>
            </w:r>
            <w:r>
              <w:rPr>
                <w:rFonts w:ascii="Consolas" w:hAnsi="Consolas"/>
                <w:color w:val="1F4D78"/>
                <w:sz w:val="15"/>
                <w:shd w:fill="EEF1F4"/>
              </w:rPr>
              <w:t>N</w:t>
            </w:r>
            <w:r>
              <w:rPr>
                <w:rFonts w:ascii="Calibri" w:hAnsi="Calibri"/>
                <w:color w:val="222222"/>
                <w:sz w:val="16"/>
              </w:rPr>
              <w:t xml:space="preserve"> for treating matrix as identical</w:t>
            </w:r>
          </w:p>
        </w:tc>
      </w:tr>
      <w:tr>
        <w:trPr>
          <w:cantSplit w:val="true"/>
        </w:trPr>
        <w:tc>
          <w:tcPr>
            <w:tcW w:type="dxa" w:w="166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Storage</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Plasma aliquots described as immediately frozen at -80 C</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Sera frozen on dry ice and stored at -80 C</w:t>
            </w:r>
          </w:p>
        </w:tc>
        <w:tc>
          <w:tcPr>
            <w:tcW w:type="dxa" w:w="256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w:t>
            </w:r>
            <w:r>
              <w:rPr>
                <w:rFonts w:ascii="Calibri" w:hAnsi="Calibri"/>
                <w:color w:val="222222"/>
                <w:sz w:val="16"/>
              </w:rPr>
              <w:t>; other pre-analytics still differ</w:t>
            </w:r>
          </w:p>
        </w:tc>
      </w:tr>
      <w:tr>
        <w:trPr>
          <w:cantSplit w:val="true"/>
        </w:trPr>
        <w:tc>
          <w:tcPr>
            <w:tcW w:type="dxa" w:w="166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Collection timing</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Study days in a feeding and Abx/PEG protocol</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REST at 8:20 am, STAT at 10:30 am, REC3 at 13:30, REC22 at 8:20 am next day per collection summary</w:t>
            </w:r>
          </w:p>
        </w:tc>
        <w:tc>
          <w:tcPr>
            <w:tcW w:type="dxa" w:w="256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N</w:t>
            </w:r>
            <w:r>
              <w:rPr>
                <w:rFonts w:ascii="Calibri" w:hAnsi="Calibri"/>
                <w:color w:val="222222"/>
                <w:sz w:val="16"/>
              </w:rPr>
              <w:t xml:space="preserve"> as common clock/time protocol</w:t>
            </w:r>
          </w:p>
        </w:tc>
      </w:tr>
    </w:tbl>
    <w:p>
      <w:pPr>
        <w:spacing w:before="0" w:after="40"/>
      </w:pPr>
    </w:p>
    <w:p>
      <w:r>
        <w:rPr>
          <w:rFonts w:ascii="Calibri" w:hAnsi="Calibri"/>
          <w:color w:val="222222"/>
        </w:rPr>
        <w:t xml:space="preserve">The factors-versus-collection difference for </w:t>
      </w:r>
      <w:r>
        <w:rPr>
          <w:rFonts w:ascii="Consolas" w:hAnsi="Consolas"/>
          <w:color w:val="1F4D78"/>
          <w:sz w:val="21"/>
          <w:shd w:fill="EEF1F4"/>
        </w:rPr>
        <w:t>ST003348</w:t>
      </w:r>
      <w:r>
        <w:rPr>
          <w:rFonts w:ascii="Calibri" w:hAnsi="Calibri"/>
          <w:color w:val="222222"/>
        </w:rPr>
        <w:t xml:space="preserve"> belongs in the provenance-conflict table. A good resolution preserves </w:t>
      </w:r>
      <w:r>
        <w:rPr>
          <w:rFonts w:ascii="Consolas" w:hAnsi="Consolas"/>
          <w:color w:val="1F4D78"/>
          <w:sz w:val="21"/>
          <w:shd w:fill="EEF1F4"/>
        </w:rPr>
        <w:t>blood</w:t>
      </w:r>
      <w:r>
        <w:rPr>
          <w:rFonts w:ascii="Calibri" w:hAnsi="Calibri"/>
          <w:color w:val="222222"/>
        </w:rPr>
        <w:t xml:space="preserve"> as the source factor, derives </w:t>
      </w:r>
      <w:r>
        <w:rPr>
          <w:rFonts w:ascii="Consolas" w:hAnsi="Consolas"/>
          <w:color w:val="1F4D78"/>
          <w:sz w:val="21"/>
          <w:shd w:fill="EEF1F4"/>
        </w:rPr>
        <w:t>serum</w:t>
      </w:r>
      <w:r>
        <w:rPr>
          <w:rFonts w:ascii="Calibri" w:hAnsi="Calibri"/>
          <w:color w:val="222222"/>
        </w:rPr>
        <w:t xml:space="preserve"> from the more specific collection metadata, and cites both.</w:t>
      </w:r>
    </w:p>
    <w:p>
      <w:pPr>
        <w:pStyle w:val="Heading2"/>
      </w:pPr>
      <w:r>
        <w:rPr>
          <w:rFonts w:ascii="Calibri" w:hAnsi="Calibri"/>
          <w:color w:val="222222"/>
        </w:rPr>
        <w:t>6. Timepoint key</w:t>
      </w:r>
    </w:p>
    <w:p>
      <w:pPr>
        <w:pStyle w:val="Heading3"/>
      </w:pPr>
      <w:r>
        <w:rPr>
          <w:rFonts w:ascii="Consolas" w:hAnsi="Consolas"/>
          <w:color w:val="1F4D78"/>
          <w:sz w:val="21"/>
          <w:shd w:fill="EEF1F4"/>
        </w:rPr>
        <w:t>ST001521</w:t>
      </w:r>
    </w:p>
    <w:tbl>
      <w:tblPr>
        <w:tblStyle w:val="TableGrid"/>
        <w:tblW w:type="dxa" w:w="9360"/>
        <w:jc w:val="left"/>
        <w:tblLayout w:type="fixed"/>
        <w:tblLook w:firstColumn="1" w:firstRow="1" w:lastColumn="0" w:lastRow="0" w:noHBand="0" w:noVBand="1" w:val="04A0"/>
        <w:tblInd w:w="120" w:type="dxa"/>
      </w:tblPr>
      <w:tblGrid>
        <w:gridCol w:w="2543"/>
        <w:gridCol w:w="6817"/>
      </w:tblGrid>
      <w:tr>
        <w:trPr>
          <w:cantSplit w:val="true"/>
          <w:tblHeader w:val="true"/>
        </w:trPr>
        <w:tc>
          <w:tcPr>
            <w:tcW w:type="dxa" w:w="254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Source</w:t>
            </w:r>
          </w:p>
        </w:tc>
        <w:tc>
          <w:tcPr>
            <w:tcW w:type="dxa" w:w="6817"/>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Canonical interpretation</w:t>
            </w:r>
          </w:p>
        </w:tc>
      </w:tr>
      <w:tr>
        <w:trPr>
          <w:cantSplit w:val="true"/>
        </w:trPr>
        <w:tc>
          <w:tcPr>
            <w:tcW w:type="dxa" w:w="254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Baseline</w:t>
            </w:r>
          </w:p>
        </w:tc>
        <w:tc>
          <w:tcPr>
            <w:tcW w:type="dxa" w:w="6817"/>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Pre-protocol or initial collection; verify exact day mapping in the study record</w:t>
            </w:r>
          </w:p>
        </w:tc>
      </w:tr>
      <w:tr>
        <w:trPr>
          <w:cantSplit w:val="true"/>
        </w:trPr>
        <w:tc>
          <w:tcPr>
            <w:tcW w:type="dxa" w:w="254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Day 5</w:t>
            </w:r>
          </w:p>
        </w:tc>
        <w:tc>
          <w:tcPr>
            <w:tcW w:type="dxa" w:w="6817"/>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Longitudinal study day before the documented Abx/PEG interval</w:t>
            </w:r>
          </w:p>
        </w:tc>
      </w:tr>
      <w:tr>
        <w:trPr>
          <w:cantSplit w:val="true"/>
        </w:trPr>
        <w:tc>
          <w:tcPr>
            <w:tcW w:type="dxa" w:w="254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Day 9</w:t>
            </w:r>
          </w:p>
        </w:tc>
        <w:tc>
          <w:tcPr>
            <w:tcW w:type="dxa" w:w="6817"/>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Longitudinal study day after the documented days 6-8 antibiotics and day 7 PEG</w:t>
            </w:r>
          </w:p>
        </w:tc>
      </w:tr>
      <w:tr>
        <w:trPr>
          <w:cantSplit w:val="true"/>
        </w:trPr>
        <w:tc>
          <w:tcPr>
            <w:tcW w:type="dxa" w:w="254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Day 12</w:t>
            </w:r>
          </w:p>
        </w:tc>
        <w:tc>
          <w:tcPr>
            <w:tcW w:type="dxa" w:w="6817"/>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Later study day in reconstitution/feeding context</w:t>
            </w:r>
          </w:p>
        </w:tc>
      </w:tr>
      <w:tr>
        <w:trPr>
          <w:cantSplit w:val="true"/>
        </w:trPr>
        <w:tc>
          <w:tcPr>
            <w:tcW w:type="dxa" w:w="254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Day 15</w:t>
            </w:r>
          </w:p>
        </w:tc>
        <w:tc>
          <w:tcPr>
            <w:tcW w:type="dxa" w:w="6817"/>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Later study day in reconstitution/feeding context</w:t>
            </w:r>
          </w:p>
        </w:tc>
      </w:tr>
    </w:tbl>
    <w:p>
      <w:pPr>
        <w:spacing w:before="0" w:after="40"/>
      </w:pPr>
    </w:p>
    <w:p>
      <w:r>
        <w:rPr>
          <w:rFonts w:ascii="Calibri" w:hAnsi="Calibri"/>
          <w:color w:val="222222"/>
        </w:rPr>
        <w:t>The labels are valid within the FARMM design but should not be converted to acute recovery offsets.</w:t>
      </w:r>
    </w:p>
    <w:p>
      <w:pPr>
        <w:pStyle w:val="Heading3"/>
      </w:pPr>
      <w:r>
        <w:rPr>
          <w:rFonts w:ascii="Consolas" w:hAnsi="Consolas"/>
          <w:color w:val="1F4D78"/>
          <w:sz w:val="21"/>
          <w:shd w:fill="EEF1F4"/>
        </w:rPr>
        <w:t>ST003348</w:t>
      </w:r>
    </w:p>
    <w:tbl>
      <w:tblPr>
        <w:tblStyle w:val="TableGrid"/>
        <w:tblW w:type="dxa" w:w="9360"/>
        <w:jc w:val="left"/>
        <w:tblLayout w:type="fixed"/>
        <w:tblLook w:firstColumn="1" w:firstRow="1" w:lastColumn="0" w:lastRow="0" w:noHBand="0" w:noVBand="1" w:val="04A0"/>
        <w:tblInd w:w="120" w:type="dxa"/>
      </w:tblPr>
      <w:tblGrid>
        <w:gridCol w:w="2535"/>
        <w:gridCol w:w="6825"/>
      </w:tblGrid>
      <w:tr>
        <w:trPr>
          <w:cantSplit w:val="true"/>
          <w:tblHeader w:val="true"/>
        </w:trPr>
        <w:tc>
          <w:tcPr>
            <w:tcW w:type="dxa" w:w="253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Source</w:t>
            </w:r>
          </w:p>
        </w:tc>
        <w:tc>
          <w:tcPr>
            <w:tcW w:type="dxa" w:w="682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Canonical interpretation</w:t>
            </w:r>
          </w:p>
        </w:tc>
      </w:tr>
      <w:tr>
        <w:trPr>
          <w:cantSplit w:val="true"/>
        </w:trPr>
        <w:tc>
          <w:tcPr>
            <w:tcW w:type="dxa" w:w="2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REST</w:t>
            </w:r>
          </w:p>
        </w:tc>
        <w:tc>
          <w:tcPr>
            <w:tcW w:type="dxa" w:w="682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Pre-exercise fasting sample</w:t>
            </w:r>
          </w:p>
        </w:tc>
      </w:tr>
      <w:tr>
        <w:trPr>
          <w:cantSplit w:val="true"/>
        </w:trPr>
        <w:tc>
          <w:tcPr>
            <w:tcW w:type="dxa" w:w="2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STAT</w:t>
            </w:r>
          </w:p>
        </w:tc>
        <w:tc>
          <w:tcPr>
            <w:tcW w:type="dxa" w:w="682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Immediately after exercise</w:t>
            </w:r>
          </w:p>
        </w:tc>
      </w:tr>
      <w:tr>
        <w:trPr>
          <w:cantSplit w:val="true"/>
        </w:trPr>
        <w:tc>
          <w:tcPr>
            <w:tcW w:type="dxa" w:w="2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REC3</w:t>
            </w:r>
          </w:p>
        </w:tc>
        <w:tc>
          <w:tcPr>
            <w:tcW w:type="dxa" w:w="6825"/>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3-hour recovery</w:t>
            </w:r>
          </w:p>
        </w:tc>
      </w:tr>
      <w:tr>
        <w:trPr>
          <w:cantSplit w:val="true"/>
        </w:trPr>
        <w:tc>
          <w:tcPr>
            <w:tcW w:type="dxa" w:w="2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REC22</w:t>
            </w:r>
          </w:p>
        </w:tc>
        <w:tc>
          <w:tcPr>
            <w:tcW w:type="dxa" w:w="682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22-hour recovery, fasting sample on day 2</w:t>
            </w:r>
          </w:p>
        </w:tc>
      </w:tr>
    </w:tbl>
    <w:p>
      <w:pPr>
        <w:spacing w:before="0" w:after="40"/>
      </w:pPr>
    </w:p>
    <w:p>
      <w:r>
        <w:rPr>
          <w:rFonts w:ascii="Calibri" w:hAnsi="Calibri"/>
          <w:color w:val="222222"/>
        </w:rPr>
        <w:t xml:space="preserve">The two time axes are </w:t>
      </w:r>
      <w:r>
        <w:rPr>
          <w:rFonts w:ascii="Consolas" w:hAnsi="Consolas"/>
          <w:color w:val="1F4D78"/>
          <w:sz w:val="21"/>
          <w:shd w:fill="EEF1F4"/>
        </w:rPr>
        <w:t>N</w:t>
      </w:r>
      <w:r>
        <w:rPr>
          <w:rFonts w:ascii="Calibri" w:hAnsi="Calibri"/>
          <w:color w:val="222222"/>
        </w:rPr>
        <w:t xml:space="preserve"> for a common post-intervention variable. A broad </w:t>
      </w:r>
      <w:r>
        <w:rPr>
          <w:rFonts w:ascii="Consolas" w:hAnsi="Consolas"/>
          <w:color w:val="1F4D78"/>
          <w:sz w:val="21"/>
          <w:shd w:fill="EEF1F4"/>
        </w:rPr>
        <w:t>within-study repeated time</w:t>
      </w:r>
      <w:r>
        <w:rPr>
          <w:rFonts w:ascii="Calibri" w:hAnsi="Calibri"/>
          <w:color w:val="222222"/>
        </w:rPr>
        <w:t xml:space="preserve"> flag is </w:t>
      </w:r>
      <w:r>
        <w:rPr>
          <w:rFonts w:ascii="Consolas" w:hAnsi="Consolas"/>
          <w:color w:val="1F4D78"/>
          <w:sz w:val="21"/>
          <w:shd w:fill="EEF1F4"/>
        </w:rPr>
        <w:t>P</w:t>
      </w:r>
      <w:r>
        <w:rPr>
          <w:rFonts w:ascii="Calibri" w:hAnsi="Calibri"/>
          <w:color w:val="222222"/>
        </w:rPr>
        <w:t xml:space="preserve"> for workflow comparison only.</w:t>
      </w:r>
    </w:p>
    <w:p>
      <w:pPr>
        <w:pStyle w:val="Heading2"/>
      </w:pPr>
      <w:r>
        <w:rPr>
          <w:rFonts w:ascii="Calibri" w:hAnsi="Calibri"/>
          <w:color w:val="222222"/>
        </w:rPr>
        <w:t>7. Assay key</w:t>
      </w:r>
    </w:p>
    <w:p>
      <w:pPr>
        <w:pStyle w:val="Heading3"/>
      </w:pPr>
      <w:r>
        <w:rPr>
          <w:rFonts w:ascii="Consolas" w:hAnsi="Consolas"/>
          <w:color w:val="1F4D78"/>
          <w:sz w:val="21"/>
          <w:shd w:fill="EEF1F4"/>
        </w:rPr>
        <w:t>ST001521</w:t>
      </w:r>
    </w:p>
    <w:tbl>
      <w:tblPr>
        <w:tblStyle w:val="TableGrid"/>
        <w:tblW w:type="dxa" w:w="9360"/>
        <w:jc w:val="left"/>
        <w:tblLayout w:type="fixed"/>
        <w:tblLook w:firstColumn="1" w:firstRow="1" w:lastColumn="0" w:lastRow="0" w:noHBand="0" w:noVBand="1" w:val="04A0"/>
        <w:tblInd w:w="120" w:type="dxa"/>
      </w:tblPr>
      <w:tblGrid>
        <w:gridCol w:w="1090"/>
        <w:gridCol w:w="1457"/>
        <w:gridCol w:w="1457"/>
        <w:gridCol w:w="2499"/>
        <w:gridCol w:w="1090"/>
        <w:gridCol w:w="1767"/>
      </w:tblGrid>
      <w:tr>
        <w:trPr>
          <w:cantSplit w:val="true"/>
          <w:tblHeader w:val="true"/>
        </w:trPr>
        <w:tc>
          <w:tcPr>
            <w:tcW w:type="dxa" w:w="109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Analysis</w:t>
            </w:r>
          </w:p>
        </w:tc>
        <w:tc>
          <w:tcPr>
            <w:tcW w:type="dxa" w:w="145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Summary</w:t>
            </w:r>
          </w:p>
        </w:tc>
        <w:tc>
          <w:tcPr>
            <w:tcW w:type="dxa" w:w="145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Chromatography</w:t>
            </w:r>
          </w:p>
        </w:tc>
        <w:tc>
          <w:tcPr>
            <w:tcW w:type="dxa" w:w="249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Instrument</w:t>
            </w:r>
          </w:p>
        </w:tc>
        <w:tc>
          <w:tcPr>
            <w:tcW w:type="dxa" w:w="109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Ion mode</w:t>
            </w:r>
          </w:p>
        </w:tc>
        <w:tc>
          <w:tcPr>
            <w:tcW w:type="dxa" w:w="176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Units</w:t>
            </w:r>
          </w:p>
        </w:tc>
      </w:tr>
      <w:tr>
        <w:trPr>
          <w:cantSplit w:val="true"/>
        </w:trPr>
        <w:tc>
          <w:tcPr>
            <w:tcW w:type="dxa" w:w="109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AN002533</w:t>
            </w:r>
          </w:p>
        </w:tc>
        <w:tc>
          <w:tcPr>
            <w:tcW w:type="dxa" w:w="145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HILIC</w:t>
            </w:r>
          </w:p>
        </w:tc>
        <w:tc>
          <w:tcPr>
            <w:tcW w:type="dxa" w:w="145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HILIC</w:t>
            </w:r>
          </w:p>
        </w:tc>
        <w:tc>
          <w:tcPr>
            <w:tcW w:type="dxa" w:w="2499"/>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Thermo Exactive Plus Orbitrap</w:t>
            </w:r>
          </w:p>
        </w:tc>
        <w:tc>
          <w:tcPr>
            <w:tcW w:type="dxa" w:w="109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Positive</w:t>
            </w:r>
          </w:p>
        </w:tc>
        <w:tc>
          <w:tcPr>
            <w:tcW w:type="dxa" w:w="1767"/>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Unitless peak areas</w:t>
            </w:r>
          </w:p>
        </w:tc>
      </w:tr>
      <w:tr>
        <w:trPr>
          <w:cantSplit w:val="true"/>
        </w:trPr>
        <w:tc>
          <w:tcPr>
            <w:tcW w:type="dxa" w:w="109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AN002534</w:t>
            </w:r>
          </w:p>
        </w:tc>
        <w:tc>
          <w:tcPr>
            <w:tcW w:type="dxa" w:w="145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Reversed phase</w:t>
            </w:r>
          </w:p>
        </w:tc>
        <w:tc>
          <w:tcPr>
            <w:tcW w:type="dxa" w:w="145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Reversed phase</w:t>
            </w:r>
          </w:p>
        </w:tc>
        <w:tc>
          <w:tcPr>
            <w:tcW w:type="dxa" w:w="2499"/>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Thermo Exactive Plus Orbitrap</w:t>
            </w:r>
          </w:p>
        </w:tc>
        <w:tc>
          <w:tcPr>
            <w:tcW w:type="dxa" w:w="109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Positive</w:t>
            </w:r>
          </w:p>
        </w:tc>
        <w:tc>
          <w:tcPr>
            <w:tcW w:type="dxa" w:w="1767"/>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Unitless peak areas</w:t>
            </w:r>
          </w:p>
        </w:tc>
      </w:tr>
      <w:tr>
        <w:trPr>
          <w:cantSplit w:val="true"/>
        </w:trPr>
        <w:tc>
          <w:tcPr>
            <w:tcW w:type="dxa" w:w="109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AN002535</w:t>
            </w:r>
          </w:p>
        </w:tc>
        <w:tc>
          <w:tcPr>
            <w:tcW w:type="dxa" w:w="145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HILIC</w:t>
            </w:r>
          </w:p>
        </w:tc>
        <w:tc>
          <w:tcPr>
            <w:tcW w:type="dxa" w:w="145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HILIC</w:t>
            </w:r>
          </w:p>
        </w:tc>
        <w:tc>
          <w:tcPr>
            <w:tcW w:type="dxa" w:w="2499"/>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Thermo Q Exactive Plus Orbitrap</w:t>
            </w:r>
          </w:p>
        </w:tc>
        <w:tc>
          <w:tcPr>
            <w:tcW w:type="dxa" w:w="109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Negative</w:t>
            </w:r>
          </w:p>
        </w:tc>
        <w:tc>
          <w:tcPr>
            <w:tcW w:type="dxa" w:w="1767"/>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Unitless peak areas</w:t>
            </w:r>
          </w:p>
        </w:tc>
      </w:tr>
      <w:tr>
        <w:trPr>
          <w:cantSplit w:val="true"/>
        </w:trPr>
        <w:tc>
          <w:tcPr>
            <w:tcW w:type="dxa" w:w="109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AN002536</w:t>
            </w:r>
          </w:p>
        </w:tc>
        <w:tc>
          <w:tcPr>
            <w:tcW w:type="dxa" w:w="145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Reversed phase</w:t>
            </w:r>
          </w:p>
        </w:tc>
        <w:tc>
          <w:tcPr>
            <w:tcW w:type="dxa" w:w="145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Reversed phase</w:t>
            </w:r>
          </w:p>
        </w:tc>
        <w:tc>
          <w:tcPr>
            <w:tcW w:type="dxa" w:w="2499"/>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Thermo Q Exactive Orbitrap</w:t>
            </w:r>
          </w:p>
        </w:tc>
        <w:tc>
          <w:tcPr>
            <w:tcW w:type="dxa" w:w="109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Negative</w:t>
            </w:r>
          </w:p>
        </w:tc>
        <w:tc>
          <w:tcPr>
            <w:tcW w:type="dxa" w:w="1767"/>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Unitless peak areas</w:t>
            </w:r>
          </w:p>
        </w:tc>
      </w:tr>
    </w:tbl>
    <w:p>
      <w:pPr>
        <w:spacing w:before="0" w:after="40"/>
      </w:pPr>
    </w:p>
    <w:p>
      <w:pPr>
        <w:pStyle w:val="Heading3"/>
      </w:pPr>
      <w:r>
        <w:rPr>
          <w:rFonts w:ascii="Consolas" w:hAnsi="Consolas"/>
          <w:color w:val="1F4D78"/>
          <w:sz w:val="21"/>
          <w:shd w:fill="EEF1F4"/>
        </w:rPr>
        <w:t>ST003348</w:t>
      </w:r>
    </w:p>
    <w:tbl>
      <w:tblPr>
        <w:tblStyle w:val="TableGrid"/>
        <w:tblW w:type="dxa" w:w="9360"/>
        <w:jc w:val="left"/>
        <w:tblLayout w:type="fixed"/>
        <w:tblLook w:firstColumn="1" w:firstRow="1" w:lastColumn="0" w:lastRow="0" w:noHBand="0" w:noVBand="1" w:val="04A0"/>
        <w:tblInd w:w="120" w:type="dxa"/>
      </w:tblPr>
      <w:tblGrid>
        <w:gridCol w:w="1148"/>
        <w:gridCol w:w="1560"/>
        <w:gridCol w:w="1560"/>
        <w:gridCol w:w="2725"/>
        <w:gridCol w:w="1148"/>
        <w:gridCol w:w="1219"/>
      </w:tblGrid>
      <w:tr>
        <w:trPr>
          <w:cantSplit w:val="true"/>
          <w:tblHeader w:val="true"/>
        </w:trPr>
        <w:tc>
          <w:tcPr>
            <w:tcW w:type="dxa" w:w="114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Analysis</w:t>
            </w:r>
          </w:p>
        </w:tc>
        <w:tc>
          <w:tcPr>
            <w:tcW w:type="dxa" w:w="156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Summary</w:t>
            </w:r>
          </w:p>
        </w:tc>
        <w:tc>
          <w:tcPr>
            <w:tcW w:type="dxa" w:w="156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Chromatography</w:t>
            </w:r>
          </w:p>
        </w:tc>
        <w:tc>
          <w:tcPr>
            <w:tcW w:type="dxa" w:w="272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Instrument</w:t>
            </w:r>
          </w:p>
        </w:tc>
        <w:tc>
          <w:tcPr>
            <w:tcW w:type="dxa" w:w="114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Ion mode</w:t>
            </w:r>
          </w:p>
        </w:tc>
        <w:tc>
          <w:tcPr>
            <w:tcW w:type="dxa" w:w="121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Units</w:t>
            </w:r>
          </w:p>
        </w:tc>
      </w:tr>
      <w:tr>
        <w:trPr>
          <w:cantSplit w:val="true"/>
        </w:trPr>
        <w:tc>
          <w:tcPr>
            <w:tcW w:type="dxa" w:w="114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AN005483</w:t>
            </w:r>
          </w:p>
        </w:tc>
        <w:tc>
          <w:tcPr>
            <w:tcW w:type="dxa" w:w="156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Reversed phase</w:t>
            </w:r>
          </w:p>
        </w:tc>
        <w:tc>
          <w:tcPr>
            <w:tcW w:type="dxa" w:w="156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Reversed phase</w:t>
            </w:r>
          </w:p>
        </w:tc>
        <w:tc>
          <w:tcPr>
            <w:tcW w:type="dxa" w:w="2725"/>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Thermo Q Exactive Plus Orbitrap</w:t>
            </w:r>
          </w:p>
        </w:tc>
        <w:tc>
          <w:tcPr>
            <w:tcW w:type="dxa" w:w="1148"/>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Positive</w:t>
            </w:r>
          </w:p>
        </w:tc>
        <w:tc>
          <w:tcPr>
            <w:tcW w:type="dxa" w:w="121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Peak area</w:t>
            </w:r>
          </w:p>
        </w:tc>
      </w:tr>
      <w:tr>
        <w:trPr>
          <w:cantSplit w:val="true"/>
        </w:trPr>
        <w:tc>
          <w:tcPr>
            <w:tcW w:type="dxa" w:w="114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AN005484</w:t>
            </w:r>
          </w:p>
        </w:tc>
        <w:tc>
          <w:tcPr>
            <w:tcW w:type="dxa" w:w="156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Reversed phase</w:t>
            </w:r>
          </w:p>
        </w:tc>
        <w:tc>
          <w:tcPr>
            <w:tcW w:type="dxa" w:w="156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Reversed phase</w:t>
            </w:r>
          </w:p>
        </w:tc>
        <w:tc>
          <w:tcPr>
            <w:tcW w:type="dxa" w:w="2725"/>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Thermo Q Exactive Plus Orbitrap</w:t>
            </w:r>
          </w:p>
        </w:tc>
        <w:tc>
          <w:tcPr>
            <w:tcW w:type="dxa" w:w="1148"/>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Negative</w:t>
            </w:r>
          </w:p>
        </w:tc>
        <w:tc>
          <w:tcPr>
            <w:tcW w:type="dxa" w:w="121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Peak area</w:t>
            </w:r>
          </w:p>
        </w:tc>
      </w:tr>
    </w:tbl>
    <w:p>
      <w:pPr>
        <w:spacing w:before="0" w:after="40"/>
      </w:pPr>
    </w:p>
    <w:p>
      <w:r>
        <w:rPr>
          <w:rFonts w:ascii="Calibri" w:hAnsi="Calibri"/>
          <w:color w:val="222222"/>
        </w:rPr>
        <w:t xml:space="preserve">Some instrument families and ion modes overlap, but laboratories, chromatography, specimen, feature coverage, preprocessing, and measurement scales still differ. The correct cross-study quantitative pooling decision is </w:t>
      </w:r>
      <w:r>
        <w:rPr>
          <w:rFonts w:ascii="Consolas" w:hAnsi="Consolas"/>
          <w:color w:val="1F4D78"/>
          <w:sz w:val="21"/>
          <w:shd w:fill="EEF1F4"/>
        </w:rPr>
        <w:t>No</w:t>
      </w:r>
      <w:r>
        <w:rPr>
          <w:rFonts w:ascii="Calibri" w:hAnsi="Calibri"/>
          <w:color w:val="222222"/>
        </w:rPr>
        <w:t xml:space="preserve"> for this module.</w:t>
      </w:r>
    </w:p>
    <w:p>
      <w:pPr>
        <w:pStyle w:val="Heading2"/>
      </w:pPr>
      <w:r>
        <w:rPr>
          <w:rFonts w:ascii="Calibri" w:hAnsi="Calibri"/>
          <w:color w:val="222222"/>
        </w:rPr>
        <w:t>8. Minimum comparability decisions</w:t>
      </w:r>
    </w:p>
    <w:tbl>
      <w:tblPr>
        <w:tblStyle w:val="TableGrid"/>
        <w:tblW w:type="dxa" w:w="9360"/>
        <w:jc w:val="left"/>
        <w:tblLayout w:type="fixed"/>
        <w:tblLook w:firstColumn="1" w:firstRow="1" w:lastColumn="0" w:lastRow="0" w:noHBand="0" w:noVBand="1" w:val="04A0"/>
        <w:tblInd w:w="120" w:type="dxa"/>
      </w:tblPr>
      <w:tblGrid>
        <w:gridCol w:w="1321"/>
        <w:gridCol w:w="1767"/>
        <w:gridCol w:w="2238"/>
        <w:gridCol w:w="2040"/>
        <w:gridCol w:w="1994"/>
      </w:tblGrid>
      <w:tr>
        <w:trPr>
          <w:cantSplit w:val="true"/>
          <w:tblHeader w:val="true"/>
        </w:trPr>
        <w:tc>
          <w:tcPr>
            <w:tcW w:type="dxa" w:w="132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Domain</w:t>
            </w:r>
          </w:p>
        </w:tc>
        <w:tc>
          <w:tcPr>
            <w:tcW w:type="dxa" w:w="176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Purpose</w:t>
            </w:r>
          </w:p>
        </w:tc>
        <w:tc>
          <w:tcPr>
            <w:tcW w:type="dxa" w:w="223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Expected category</w:t>
            </w:r>
          </w:p>
        </w:tc>
        <w:tc>
          <w:tcPr>
            <w:tcW w:type="dxa" w:w="204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Allowed action</w:t>
            </w:r>
          </w:p>
        </w:tc>
        <w:tc>
          <w:tcPr>
            <w:tcW w:type="dxa" w:w="199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Prohibited inference</w:t>
            </w:r>
          </w:p>
        </w:tc>
      </w:tr>
      <w:tr>
        <w:trPr>
          <w:cantSplit w:val="true"/>
        </w:trPr>
        <w:tc>
          <w:tcPr>
            <w:tcW w:type="dxa" w:w="13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Species</w:t>
            </w:r>
          </w:p>
        </w:tc>
        <w:tc>
          <w:tcPr>
            <w:tcW w:type="dxa" w:w="1767"/>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Cohort description</w:t>
            </w:r>
          </w:p>
        </w:tc>
        <w:tc>
          <w:tcPr>
            <w:tcW w:type="dxa" w:w="223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D</w:t>
            </w:r>
          </w:p>
        </w:tc>
        <w:tc>
          <w:tcPr>
            <w:tcW w:type="dxa" w:w="204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State both are human</w:t>
            </w:r>
          </w:p>
        </w:tc>
        <w:tc>
          <w:tcPr>
            <w:tcW w:type="dxa" w:w="199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Assume populations are exchangeable</w:t>
            </w:r>
          </w:p>
        </w:tc>
      </w:tr>
      <w:tr>
        <w:trPr>
          <w:cantSplit w:val="true"/>
        </w:trPr>
        <w:tc>
          <w:tcPr>
            <w:tcW w:type="dxa" w:w="13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Matrix</w:t>
            </w:r>
          </w:p>
        </w:tc>
        <w:tc>
          <w:tcPr>
            <w:tcW w:type="dxa" w:w="1767"/>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Broad discovery</w:t>
            </w:r>
          </w:p>
        </w:tc>
        <w:tc>
          <w:tcPr>
            <w:tcW w:type="dxa" w:w="223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P</w:t>
            </w:r>
          </w:p>
        </w:tc>
        <w:tc>
          <w:tcPr>
            <w:tcW w:type="dxa" w:w="204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Label blood-derived plasma versus serum</w:t>
            </w:r>
          </w:p>
        </w:tc>
        <w:tc>
          <w:tcPr>
            <w:tcW w:type="dxa" w:w="199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Treat values as same matrix</w:t>
            </w:r>
          </w:p>
        </w:tc>
      </w:tr>
      <w:tr>
        <w:trPr>
          <w:cantSplit w:val="true"/>
        </w:trPr>
        <w:tc>
          <w:tcPr>
            <w:tcW w:type="dxa" w:w="13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Time</w:t>
            </w:r>
          </w:p>
        </w:tc>
        <w:tc>
          <w:tcPr>
            <w:tcW w:type="dxa" w:w="176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Within-study trajectory</w:t>
            </w:r>
          </w:p>
        </w:tc>
        <w:tc>
          <w:tcPr>
            <w:tcW w:type="dxa" w:w="223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P</w:t>
            </w:r>
          </w:p>
        </w:tc>
        <w:tc>
          <w:tcPr>
            <w:tcW w:type="dxa" w:w="204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Analyze each study's time course separately</w:t>
            </w:r>
          </w:p>
        </w:tc>
        <w:tc>
          <w:tcPr>
            <w:tcW w:type="dxa" w:w="199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Map Days 5-15 to STAT/REC3/REC22</w:t>
            </w:r>
          </w:p>
        </w:tc>
      </w:tr>
      <w:tr>
        <w:trPr>
          <w:cantSplit w:val="true"/>
        </w:trPr>
        <w:tc>
          <w:tcPr>
            <w:tcW w:type="dxa" w:w="13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Phenotype</w:t>
            </w:r>
          </w:p>
        </w:tc>
        <w:tc>
          <w:tcPr>
            <w:tcW w:type="dxa" w:w="176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Metadata comparison</w:t>
            </w:r>
          </w:p>
        </w:tc>
        <w:tc>
          <w:tcPr>
            <w:tcW w:type="dxa" w:w="223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N</w:t>
            </w:r>
            <w:r>
              <w:rPr>
                <w:rFonts w:ascii="Calibri" w:hAnsi="Calibri"/>
                <w:color w:val="222222"/>
                <w:sz w:val="16"/>
              </w:rPr>
              <w:t xml:space="preserve"> as one field</w:t>
            </w:r>
          </w:p>
        </w:tc>
        <w:tc>
          <w:tcPr>
            <w:tcW w:type="dxa" w:w="204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Describe diet and exercise protocol structures</w:t>
            </w:r>
          </w:p>
        </w:tc>
        <w:tc>
          <w:tcPr>
            <w:tcW w:type="dxa" w:w="199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Estimate a common intervention effect</w:t>
            </w:r>
          </w:p>
        </w:tc>
      </w:tr>
      <w:tr>
        <w:trPr>
          <w:cantSplit w:val="true"/>
        </w:trPr>
        <w:tc>
          <w:tcPr>
            <w:tcW w:type="dxa" w:w="13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 name</w:t>
            </w:r>
          </w:p>
        </w:tc>
        <w:tc>
          <w:tcPr>
            <w:tcW w:type="dxa" w:w="176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Exact reviewed overlap</w:t>
            </w:r>
          </w:p>
        </w:tc>
        <w:tc>
          <w:tcPr>
            <w:tcW w:type="dxa" w:w="223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w:t>
            </w:r>
            <w:r>
              <w:rPr>
                <w:rFonts w:ascii="Calibri" w:hAnsi="Calibri"/>
                <w:color w:val="222222"/>
                <w:sz w:val="16"/>
              </w:rPr>
              <w:t xml:space="preserve"> until annotation QC; then </w:t>
            </w:r>
            <w:r>
              <w:rPr>
                <w:rFonts w:ascii="Consolas" w:hAnsi="Consolas"/>
                <w:color w:val="1F4D78"/>
                <w:sz w:val="15"/>
                <w:shd w:fill="EEF1F4"/>
              </w:rPr>
              <w:t>D</w:t>
            </w:r>
            <w:r>
              <w:rPr>
                <w:rFonts w:ascii="Calibri" w:hAnsi="Calibri"/>
                <w:color w:val="222222"/>
                <w:sz w:val="16"/>
              </w:rPr>
              <w:t xml:space="preserve"> at name-set level for accepted rows</w:t>
            </w:r>
          </w:p>
        </w:tc>
        <w:tc>
          <w:tcPr>
            <w:tcW w:type="dxa" w:w="204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Count eligible shared names</w:t>
            </w:r>
          </w:p>
        </w:tc>
        <w:tc>
          <w:tcPr>
            <w:tcW w:type="dxa" w:w="199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Infer equal concentration or response</w:t>
            </w:r>
          </w:p>
        </w:tc>
      </w:tr>
      <w:tr>
        <w:trPr>
          <w:cantSplit w:val="true"/>
        </w:trPr>
        <w:tc>
          <w:tcPr>
            <w:tcW w:type="dxa" w:w="13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Units</w:t>
            </w:r>
          </w:p>
        </w:tc>
        <w:tc>
          <w:tcPr>
            <w:tcW w:type="dxa" w:w="176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Quantitative cross-study comparison</w:t>
            </w:r>
          </w:p>
        </w:tc>
        <w:tc>
          <w:tcPr>
            <w:tcW w:type="dxa" w:w="223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N</w:t>
            </w:r>
          </w:p>
        </w:tc>
        <w:tc>
          <w:tcPr>
            <w:tcW w:type="dxa" w:w="204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Report source scales</w:t>
            </w:r>
          </w:p>
        </w:tc>
        <w:tc>
          <w:tcPr>
            <w:tcW w:type="dxa" w:w="199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Pool unitless/peak areas</w:t>
            </w:r>
          </w:p>
        </w:tc>
      </w:tr>
      <w:tr>
        <w:trPr>
          <w:cantSplit w:val="true"/>
        </w:trPr>
        <w:tc>
          <w:tcPr>
            <w:tcW w:type="dxa" w:w="13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Repeated measures</w:t>
            </w:r>
          </w:p>
        </w:tc>
        <w:tc>
          <w:tcPr>
            <w:tcW w:type="dxa" w:w="1767"/>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Workflow structure</w:t>
            </w:r>
          </w:p>
        </w:tc>
        <w:tc>
          <w:tcPr>
            <w:tcW w:type="dxa" w:w="223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P</w:t>
            </w:r>
          </w:p>
        </w:tc>
        <w:tc>
          <w:tcPr>
            <w:tcW w:type="dxa" w:w="204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Preserve subject linkage within each study</w:t>
            </w:r>
          </w:p>
        </w:tc>
        <w:tc>
          <w:tcPr>
            <w:tcW w:type="dxa" w:w="199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Treat rows as independent participants</w:t>
            </w:r>
          </w:p>
        </w:tc>
      </w:tr>
      <w:tr>
        <w:trPr>
          <w:cantSplit w:val="true"/>
        </w:trPr>
        <w:tc>
          <w:tcPr>
            <w:tcW w:type="dxa" w:w="13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Platform/mode</w:t>
            </w:r>
          </w:p>
        </w:tc>
        <w:tc>
          <w:tcPr>
            <w:tcW w:type="dxa" w:w="1767"/>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Assay inventory</w:t>
            </w:r>
          </w:p>
        </w:tc>
        <w:tc>
          <w:tcPr>
            <w:tcW w:type="dxa" w:w="223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P</w:t>
            </w:r>
          </w:p>
        </w:tc>
        <w:tc>
          <w:tcPr>
            <w:tcW w:type="dxa" w:w="204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Stratify or document modes</w:t>
            </w:r>
          </w:p>
        </w:tc>
        <w:tc>
          <w:tcPr>
            <w:tcW w:type="dxa" w:w="199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Assume equal coverage because both use LC-MS</w:t>
            </w:r>
          </w:p>
        </w:tc>
      </w:tr>
    </w:tbl>
    <w:p>
      <w:pPr>
        <w:spacing w:before="0" w:after="40"/>
      </w:pPr>
    </w:p>
    <w:p>
      <w:pPr>
        <w:pStyle w:val="Heading2"/>
      </w:pPr>
      <w:r>
        <w:rPr>
          <w:rFonts w:ascii="Calibri" w:hAnsi="Calibri"/>
          <w:color w:val="222222"/>
        </w:rPr>
        <w:t>9. Model exclusion statement</w:t>
      </w:r>
    </w:p>
    <w:p>
      <w:pPr>
        <w:spacing w:before="100" w:after="120"/>
        <w:ind w:left="259" w:right="115"/>
        <w:shd w:fill="F4F6F9"/>
        <w:pBdr>
          <w:left w:val="single" w:sz="16" w:space="8" w:color="2E74B5"/>
        </w:pBdr>
      </w:pPr>
      <w:r>
        <w:rPr>
          <w:rFonts w:ascii="Calibri" w:hAnsi="Calibri"/>
          <w:color w:val="1F4D78"/>
        </w:rPr>
        <w:t>We will not combine peak-area measurements across the two studies because matrix, laboratory, chromatography, feature coverage, preprocessing, scale, population, and intervention context differ. We can still compare reviewed RefMet-name coverage by constructing provenance-preserving study-specific sets and reporting their intersection with explicit eligibility rules.</w:t>
      </w:r>
    </w:p>
    <w:p>
      <w:pPr>
        <w:pStyle w:val="Heading2"/>
      </w:pPr>
      <w:r>
        <w:rPr>
          <w:rFonts w:ascii="Calibri" w:hAnsi="Calibri"/>
          <w:color w:val="222222"/>
        </w:rPr>
        <w:t>10. Acceptable bounded claim</w:t>
      </w:r>
    </w:p>
    <w:p>
      <w:pPr>
        <w:spacing w:before="100" w:after="120"/>
        <w:ind w:left="259" w:right="115"/>
        <w:shd w:fill="F4F6F9"/>
        <w:pBdr>
          <w:left w:val="single" w:sz="16" w:space="8" w:color="2E74B5"/>
        </w:pBdr>
      </w:pPr>
      <w:r>
        <w:rPr>
          <w:rFonts w:ascii="Calibri" w:hAnsi="Calibri"/>
          <w:color w:val="1F4D78"/>
        </w:rPr>
        <w:t>Under the specified mapping and eligibility rules, both public studies report a set of shared standardized metabolite names; this overlap describes deposited analyte coverage and does not establish shared abundance or intervention response.</w:t>
      </w:r>
    </w:p>
    <w:p>
      <w:pPr>
        <w:pStyle w:val="Heading2"/>
      </w:pPr>
      <w:r>
        <w:rPr>
          <w:rFonts w:ascii="Calibri" w:hAnsi="Calibri"/>
          <w:color w:val="222222"/>
        </w:rPr>
        <w:t>Sources for instructors</w:t>
      </w:r>
    </w:p>
    <w:p>
      <w:pPr>
        <w:numPr>
          <w:ilvl w:val="0"/>
          <w:numId w:val="30"/>
        </w:numPr>
        <w:spacing w:after="80" w:line="300" w:lineRule="auto"/>
      </w:pPr>
      <w:hyperlink r:id="rId20">
        <w:r>
          <w:rPr>
            <w:rFonts w:ascii="Calibri" w:hAnsi="Calibri"/>
            <w:color w:val="2E74B5"/>
            <w:u w:val="single"/>
            <w:sz w:val="22"/>
          </w:rPr>
          <w:t>ST001521 landing page</w:t>
        </w:r>
      </w:hyperlink>
    </w:p>
    <w:p>
      <w:pPr>
        <w:numPr>
          <w:ilvl w:val="0"/>
          <w:numId w:val="30"/>
        </w:numPr>
        <w:spacing w:after="80" w:line="300" w:lineRule="auto"/>
      </w:pPr>
      <w:hyperlink r:id="rId21">
        <w:r>
          <w:rPr>
            <w:rFonts w:ascii="Calibri" w:hAnsi="Calibri"/>
            <w:color w:val="2E74B5"/>
            <w:u w:val="single"/>
            <w:sz w:val="22"/>
          </w:rPr>
          <w:t>ST001521 factors</w:t>
        </w:r>
      </w:hyperlink>
    </w:p>
    <w:p>
      <w:pPr>
        <w:numPr>
          <w:ilvl w:val="0"/>
          <w:numId w:val="30"/>
        </w:numPr>
        <w:spacing w:after="80" w:line="300" w:lineRule="auto"/>
      </w:pPr>
      <w:hyperlink r:id="rId22">
        <w:r>
          <w:rPr>
            <w:rFonts w:ascii="Calibri" w:hAnsi="Calibri"/>
            <w:color w:val="2E74B5"/>
            <w:u w:val="single"/>
            <w:sz w:val="22"/>
          </w:rPr>
          <w:t>ST001521 analyses</w:t>
        </w:r>
      </w:hyperlink>
    </w:p>
    <w:p>
      <w:pPr>
        <w:numPr>
          <w:ilvl w:val="0"/>
          <w:numId w:val="30"/>
        </w:numPr>
        <w:spacing w:after="80" w:line="300" w:lineRule="auto"/>
      </w:pPr>
      <w:hyperlink r:id="rId23">
        <w:r>
          <w:rPr>
            <w:rFonts w:ascii="Calibri" w:hAnsi="Calibri"/>
            <w:color w:val="2E74B5"/>
            <w:u w:val="single"/>
            <w:sz w:val="22"/>
          </w:rPr>
          <w:t>ST003348 landing page</w:t>
        </w:r>
      </w:hyperlink>
    </w:p>
    <w:p>
      <w:pPr>
        <w:numPr>
          <w:ilvl w:val="0"/>
          <w:numId w:val="30"/>
        </w:numPr>
        <w:spacing w:after="80" w:line="300" w:lineRule="auto"/>
      </w:pPr>
      <w:hyperlink r:id="rId24">
        <w:r>
          <w:rPr>
            <w:rFonts w:ascii="Calibri" w:hAnsi="Calibri"/>
            <w:color w:val="2E74B5"/>
            <w:u w:val="single"/>
            <w:sz w:val="22"/>
          </w:rPr>
          <w:t>ST003348 factors</w:t>
        </w:r>
      </w:hyperlink>
    </w:p>
    <w:p>
      <w:pPr>
        <w:numPr>
          <w:ilvl w:val="0"/>
          <w:numId w:val="30"/>
        </w:numPr>
        <w:spacing w:after="80" w:line="300" w:lineRule="auto"/>
      </w:pPr>
      <w:hyperlink r:id="rId25">
        <w:r>
          <w:rPr>
            <w:rFonts w:ascii="Calibri" w:hAnsi="Calibri"/>
            <w:color w:val="2E74B5"/>
            <w:u w:val="single"/>
            <w:sz w:val="22"/>
          </w:rPr>
          <w:t>ST003348 analyses</w:t>
        </w:r>
      </w:hyperlink>
    </w:p>
    <w:p>
      <w:r>
        <w:br w:type="page"/>
      </w:r>
    </w:p>
    <w:p>
      <w:pPr>
        <w:pStyle w:val="Heading1"/>
      </w:pPr>
      <w:r>
        <w:rPr>
          <w:rFonts w:ascii="Calibri" w:hAnsi="Calibri"/>
          <w:color w:val="222222"/>
        </w:rPr>
        <w:t>Metabolite and metadata crosswalk - instructor version</w:t>
      </w:r>
    </w:p>
    <w:p>
      <w:r>
        <w:rPr>
          <w:rFonts w:ascii="Calibri" w:hAnsi="Calibri"/>
          <w:color w:val="222222"/>
        </w:rPr>
        <w:t>Use this key to model decision quality. It is not a substitute for the machine-generated full crosswalk, whose current counts and rows must be created from the versioned repository responses.</w:t>
      </w:r>
    </w:p>
    <w:p>
      <w:pPr>
        <w:pStyle w:val="Heading2"/>
      </w:pPr>
      <w:r>
        <w:rPr>
          <w:rFonts w:ascii="Calibri" w:hAnsi="Calibri"/>
          <w:color w:val="222222"/>
        </w:rPr>
        <w:t>1. What earns full credit</w:t>
      </w:r>
    </w:p>
    <w:p>
      <w:r>
        <w:rPr>
          <w:rFonts w:ascii="Calibri" w:hAnsi="Calibri"/>
          <w:color w:val="222222"/>
        </w:rPr>
        <w:t>A full-credit crosswalk:</w:t>
      </w:r>
    </w:p>
    <w:p>
      <w:pPr>
        <w:numPr>
          <w:ilvl w:val="0"/>
          <w:numId w:val="31"/>
        </w:numPr>
        <w:spacing w:after="80" w:line="300" w:lineRule="auto"/>
      </w:pPr>
      <w:r>
        <w:rPr>
          <w:rFonts w:ascii="Calibri" w:hAnsi="Calibri"/>
          <w:color w:val="222222"/>
        </w:rPr>
        <w:t>Preserves accession, analysis ID, source identifier, submitted name, and source RefMet result.</w:t>
      </w:r>
    </w:p>
    <w:p>
      <w:pPr>
        <w:numPr>
          <w:ilvl w:val="0"/>
          <w:numId w:val="31"/>
        </w:numPr>
        <w:spacing w:after="80" w:line="300" w:lineRule="auto"/>
      </w:pPr>
      <w:r>
        <w:rPr>
          <w:rFonts w:ascii="Calibri" w:hAnsi="Calibri"/>
          <w:color w:val="222222"/>
        </w:rPr>
        <w:t>Records exact endpoints and retrieval dates.</w:t>
      </w:r>
    </w:p>
    <w:p>
      <w:pPr>
        <w:numPr>
          <w:ilvl w:val="0"/>
          <w:numId w:val="31"/>
        </w:numPr>
        <w:spacing w:after="80" w:line="300" w:lineRule="auto"/>
      </w:pPr>
      <w:r>
        <w:rPr>
          <w:rFonts w:ascii="Calibri" w:hAnsi="Calibri"/>
          <w:color w:val="222222"/>
        </w:rPr>
        <w:t>Treats mapping as a reviewable decision rather than a truth assignment.</w:t>
      </w:r>
    </w:p>
    <w:p>
      <w:pPr>
        <w:numPr>
          <w:ilvl w:val="0"/>
          <w:numId w:val="31"/>
        </w:numPr>
        <w:spacing w:after="80" w:line="300" w:lineRule="auto"/>
      </w:pPr>
      <w:r>
        <w:rPr>
          <w:rFonts w:ascii="Calibri" w:hAnsi="Calibri"/>
          <w:color w:val="222222"/>
        </w:rPr>
        <w:t>Preserves annotation resolution and identification evidence.</w:t>
      </w:r>
    </w:p>
    <w:p>
      <w:pPr>
        <w:numPr>
          <w:ilvl w:val="0"/>
          <w:numId w:val="31"/>
        </w:numPr>
        <w:spacing w:after="80" w:line="300" w:lineRule="auto"/>
      </w:pPr>
      <w:r>
        <w:rPr>
          <w:rFonts w:ascii="Calibri" w:hAnsi="Calibri"/>
          <w:color w:val="222222"/>
        </w:rPr>
        <w:t>Retains ambiguous, unmapped, isotope-labeled, and duplicated cases.</w:t>
      </w:r>
    </w:p>
    <w:p>
      <w:pPr>
        <w:numPr>
          <w:ilvl w:val="0"/>
          <w:numId w:val="31"/>
        </w:numPr>
        <w:spacing w:after="80" w:line="300" w:lineRule="auto"/>
      </w:pPr>
      <w:r>
        <w:rPr>
          <w:rFonts w:ascii="Calibri" w:hAnsi="Calibri"/>
          <w:color w:val="222222"/>
        </w:rPr>
        <w:t>Separates exact-name, class-summary, within-study, and cross-study eligibility.</w:t>
      </w:r>
    </w:p>
    <w:p>
      <w:pPr>
        <w:numPr>
          <w:ilvl w:val="0"/>
          <w:numId w:val="31"/>
        </w:numPr>
        <w:spacing w:after="80" w:line="300" w:lineRule="auto"/>
      </w:pPr>
      <w:r>
        <w:rPr>
          <w:rFonts w:ascii="Calibri" w:hAnsi="Calibri"/>
          <w:color w:val="222222"/>
        </w:rPr>
        <w:t xml:space="preserve">Marks cross-study quantitative eligibility </w:t>
      </w:r>
      <w:r>
        <w:rPr>
          <w:rFonts w:ascii="Consolas" w:hAnsi="Consolas"/>
          <w:color w:val="1F4D78"/>
          <w:sz w:val="21"/>
          <w:shd w:fill="EEF1F4"/>
        </w:rPr>
        <w:t>no</w:t>
      </w:r>
      <w:r>
        <w:rPr>
          <w:rFonts w:ascii="Calibri" w:hAnsi="Calibri"/>
          <w:color w:val="222222"/>
        </w:rPr>
        <w:t xml:space="preserve"> for every row in this module.</w:t>
      </w:r>
    </w:p>
    <w:p>
      <w:pPr>
        <w:numPr>
          <w:ilvl w:val="0"/>
          <w:numId w:val="31"/>
        </w:numPr>
        <w:spacing w:after="80" w:line="300" w:lineRule="auto"/>
      </w:pPr>
      <w:r>
        <w:rPr>
          <w:rFonts w:ascii="Calibri" w:hAnsi="Calibri"/>
          <w:color w:val="222222"/>
        </w:rPr>
        <w:t>Produces an overlap flow with exclusion counts, not only an intersection.</w:t>
      </w:r>
    </w:p>
    <w:p>
      <w:pPr>
        <w:pStyle w:val="Heading2"/>
      </w:pPr>
      <w:r>
        <w:rPr>
          <w:rFonts w:ascii="Calibri" w:hAnsi="Calibri"/>
          <w:color w:val="222222"/>
        </w:rPr>
        <w:t>2. Completed metabolite examples</w:t>
      </w:r>
    </w:p>
    <w:p>
      <w:r>
        <w:rPr>
          <w:rFonts w:ascii="Calibri" w:hAnsi="Calibri"/>
          <w:color w:val="222222"/>
        </w:rPr>
        <w:t>These examples use values visible in the Metabolomics Workbench metabolite responses. Review status is an instructional decision based on the visible naming evidence; a production crosswalk should incorporate all available identifiers and methods.</w:t>
      </w:r>
    </w:p>
    <w:tbl>
      <w:tblPr>
        <w:tblStyle w:val="TableGrid"/>
        <w:tblW w:type="dxa" w:w="9360"/>
        <w:jc w:val="left"/>
        <w:tblLayout w:type="fixed"/>
        <w:tblLook w:firstColumn="1" w:firstRow="1" w:lastColumn="0" w:lastRow="0" w:noHBand="0" w:noVBand="1" w:val="04A0"/>
        <w:tblInd w:w="120" w:type="dxa"/>
      </w:tblPr>
      <w:tblGrid>
        <w:gridCol w:w="770"/>
        <w:gridCol w:w="736"/>
        <w:gridCol w:w="1059"/>
        <w:gridCol w:w="1042"/>
        <w:gridCol w:w="1518"/>
        <w:gridCol w:w="1518"/>
        <w:gridCol w:w="1195"/>
        <w:gridCol w:w="1522"/>
      </w:tblGrid>
      <w:tr>
        <w:trPr>
          <w:cantSplit w:val="true"/>
          <w:tblHeader w:val="true"/>
        </w:trPr>
        <w:tc>
          <w:tcPr>
            <w:tcW w:type="dxa" w:w="77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Source</w:t>
            </w:r>
          </w:p>
        </w:tc>
        <w:tc>
          <w:tcPr>
            <w:tcW w:type="dxa" w:w="73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w:t>
            </w:r>
          </w:p>
        </w:tc>
        <w:tc>
          <w:tcPr>
            <w:tcW w:type="dxa" w:w="105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Deposited name</w:t>
            </w:r>
          </w:p>
        </w:tc>
        <w:tc>
          <w:tcPr>
            <w:tcW w:type="dxa" w:w="104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RefMet</w:t>
            </w:r>
          </w:p>
        </w:tc>
        <w:tc>
          <w:tcPr>
            <w:tcW w:type="dxa" w:w="151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Recommended status</w:t>
            </w:r>
          </w:p>
        </w:tc>
        <w:tc>
          <w:tcPr>
            <w:tcW w:type="dxa" w:w="151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Exact overlap</w:t>
            </w:r>
          </w:p>
        </w:tc>
        <w:tc>
          <w:tcPr>
            <w:tcW w:type="dxa" w:w="119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Class summary</w:t>
            </w:r>
          </w:p>
        </w:tc>
        <w:tc>
          <w:tcPr>
            <w:tcW w:type="dxa" w:w="152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Key reason</w:t>
            </w:r>
          </w:p>
        </w:tc>
      </w:tr>
      <w:tr>
        <w:trPr>
          <w:cantSplit w:val="true"/>
        </w:trPr>
        <w:tc>
          <w:tcPr>
            <w:tcW w:type="dxa" w:w="770"/>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ST001521</w:t>
            </w:r>
          </w:p>
        </w:tc>
        <w:tc>
          <w:tcPr>
            <w:tcW w:type="dxa" w:w="736"/>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AN002533</w:t>
            </w:r>
          </w:p>
        </w:tc>
        <w:tc>
          <w:tcPr>
            <w:tcW w:type="dxa" w:w="1059"/>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2-Aminooctanoic acid</w:t>
            </w:r>
          </w:p>
        </w:tc>
        <w:tc>
          <w:tcPr>
            <w:tcW w:type="dxa" w:w="1042"/>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2-Aminocaprylic acid</w:t>
            </w:r>
          </w:p>
        </w:tc>
        <w:tc>
          <w:tcPr>
            <w:tcW w:type="dxa" w:w="1518"/>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review_required</w:t>
            </w:r>
            <w:r>
              <w:rPr>
                <w:rFonts w:ascii="Calibri" w:hAnsi="Calibri"/>
                <w:color w:val="222222"/>
                <w:sz w:val="15"/>
              </w:rPr>
              <w:t xml:space="preserve"> until synonym/identifier evidence is checked; then potentially </w:t>
            </w:r>
            <w:r>
              <w:rPr>
                <w:rFonts w:ascii="Consolas" w:hAnsi="Consolas"/>
                <w:color w:val="1F4D78"/>
                <w:sz w:val="14"/>
                <w:shd w:fill="EEF1F4"/>
              </w:rPr>
              <w:t>accepted_exact</w:t>
            </w:r>
          </w:p>
        </w:tc>
        <w:tc>
          <w:tcPr>
            <w:tcW w:type="dxa" w:w="1518"/>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review</w:t>
            </w:r>
          </w:p>
        </w:tc>
        <w:tc>
          <w:tcPr>
            <w:tcW w:type="dxa" w:w="1195"/>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review/yes</w:t>
            </w:r>
          </w:p>
        </w:tc>
        <w:tc>
          <w:tcPr>
            <w:tcW w:type="dxa" w:w="1522"/>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Name changed to a synonym; verify it represents the same supported structure</w:t>
            </w:r>
          </w:p>
        </w:tc>
      </w:tr>
      <w:tr>
        <w:trPr>
          <w:cantSplit w:val="true"/>
        </w:trPr>
        <w:tc>
          <w:tcPr>
            <w:tcW w:type="dxa" w:w="770"/>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ST001521</w:t>
            </w:r>
          </w:p>
        </w:tc>
        <w:tc>
          <w:tcPr>
            <w:tcW w:type="dxa" w:w="736"/>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AN002533</w:t>
            </w:r>
          </w:p>
        </w:tc>
        <w:tc>
          <w:tcPr>
            <w:tcW w:type="dxa" w:w="1059"/>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LPC(P-18:0)/LPC(O-18:1)_A</w:t>
            </w:r>
          </w:p>
        </w:tc>
        <w:tc>
          <w:tcPr>
            <w:tcW w:type="dxa" w:w="1042"/>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LPC P-18:0 or LPC O-18:1</w:t>
            </w:r>
          </w:p>
        </w:tc>
        <w:tc>
          <w:tcPr>
            <w:tcW w:type="dxa" w:w="1518"/>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accepted_broader</w:t>
            </w:r>
            <w:r>
              <w:rPr>
                <w:rFonts w:ascii="Calibri" w:hAnsi="Calibri"/>
                <w:color w:val="222222"/>
                <w:sz w:val="15"/>
              </w:rPr>
              <w:t xml:space="preserve"> at the explicitly ambiguous species level</w:t>
            </w:r>
          </w:p>
        </w:tc>
        <w:tc>
          <w:tcPr>
            <w:tcW w:type="dxa" w:w="151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no for a unique molecular structure; yes only if exact key is the ambiguous RefMet string</w:t>
            </w:r>
          </w:p>
        </w:tc>
        <w:tc>
          <w:tcPr>
            <w:tcW w:type="dxa" w:w="1195"/>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yes</w:t>
            </w:r>
          </w:p>
        </w:tc>
        <w:tc>
          <w:tcPr>
            <w:tcW w:type="dxa" w:w="1522"/>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The source does not distinguish plasmanyl and plasmenyl alternatives</w:t>
            </w:r>
          </w:p>
        </w:tc>
      </w:tr>
      <w:tr>
        <w:trPr>
          <w:cantSplit w:val="true"/>
        </w:trPr>
        <w:tc>
          <w:tcPr>
            <w:tcW w:type="dxa" w:w="770"/>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ST001521</w:t>
            </w:r>
          </w:p>
        </w:tc>
        <w:tc>
          <w:tcPr>
            <w:tcW w:type="dxa" w:w="736"/>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AN002533</w:t>
            </w:r>
          </w:p>
        </w:tc>
        <w:tc>
          <w:tcPr>
            <w:tcW w:type="dxa" w:w="1059"/>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LPE(18:0)_A</w:t>
            </w:r>
          </w:p>
        </w:tc>
        <w:tc>
          <w:tcPr>
            <w:tcW w:type="dxa" w:w="1042"/>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LPE 18:0</w:t>
            </w:r>
          </w:p>
        </w:tc>
        <w:tc>
          <w:tcPr>
            <w:tcW w:type="dxa" w:w="1518"/>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accepted_exact</w:t>
            </w:r>
            <w:r>
              <w:rPr>
                <w:rFonts w:ascii="Calibri" w:hAnsi="Calibri"/>
                <w:color w:val="222222"/>
                <w:sz w:val="15"/>
              </w:rPr>
              <w:t xml:space="preserve"> at reported sum-composition level, with duplicate flag</w:t>
            </w:r>
          </w:p>
        </w:tc>
        <w:tc>
          <w:tcPr>
            <w:tcW w:type="dxa" w:w="1518"/>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yes as a set key</w:t>
            </w:r>
          </w:p>
        </w:tc>
        <w:tc>
          <w:tcPr>
            <w:tcW w:type="dxa" w:w="1195"/>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yes</w:t>
            </w:r>
          </w:p>
        </w:tc>
        <w:tc>
          <w:tcPr>
            <w:tcW w:type="dxa" w:w="1522"/>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_A</w:t>
            </w:r>
            <w:r>
              <w:rPr>
                <w:rFonts w:ascii="Calibri" w:hAnsi="Calibri"/>
                <w:color w:val="222222"/>
                <w:sz w:val="15"/>
              </w:rPr>
              <w:t xml:space="preserve"> and another source feature can map to one RefMet name; do not merge intensities silently</w:t>
            </w:r>
          </w:p>
        </w:tc>
      </w:tr>
      <w:tr>
        <w:trPr>
          <w:cantSplit w:val="true"/>
        </w:trPr>
        <w:tc>
          <w:tcPr>
            <w:tcW w:type="dxa" w:w="770"/>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ST001521</w:t>
            </w:r>
          </w:p>
        </w:tc>
        <w:tc>
          <w:tcPr>
            <w:tcW w:type="dxa" w:w="736"/>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AN002533</w:t>
            </w:r>
          </w:p>
        </w:tc>
        <w:tc>
          <w:tcPr>
            <w:tcW w:type="dxa" w:w="1059"/>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LPE(18:0)_B</w:t>
            </w:r>
          </w:p>
        </w:tc>
        <w:tc>
          <w:tcPr>
            <w:tcW w:type="dxa" w:w="1042"/>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LPE 18:0</w:t>
            </w:r>
          </w:p>
        </w:tc>
        <w:tc>
          <w:tcPr>
            <w:tcW w:type="dxa" w:w="1518"/>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accepted_exact</w:t>
            </w:r>
            <w:r>
              <w:rPr>
                <w:rFonts w:ascii="Calibri" w:hAnsi="Calibri"/>
                <w:color w:val="222222"/>
                <w:sz w:val="15"/>
              </w:rPr>
              <w:t xml:space="preserve"> at reported sum-composition level, with duplicate flag</w:t>
            </w:r>
          </w:p>
        </w:tc>
        <w:tc>
          <w:tcPr>
            <w:tcW w:type="dxa" w:w="151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yes as same set key</w:t>
            </w:r>
          </w:p>
        </w:tc>
        <w:tc>
          <w:tcPr>
            <w:tcW w:type="dxa" w:w="1195"/>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yes</w:t>
            </w:r>
          </w:p>
        </w:tc>
        <w:tc>
          <w:tcPr>
            <w:tcW w:type="dxa" w:w="1522"/>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Many-to-one mapping must remain visible</w:t>
            </w:r>
          </w:p>
        </w:tc>
      </w:tr>
      <w:tr>
        <w:trPr>
          <w:cantSplit w:val="true"/>
        </w:trPr>
        <w:tc>
          <w:tcPr>
            <w:tcW w:type="dxa" w:w="770"/>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ST003348</w:t>
            </w:r>
          </w:p>
        </w:tc>
        <w:tc>
          <w:tcPr>
            <w:tcW w:type="dxa" w:w="736"/>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AN005484</w:t>
            </w:r>
          </w:p>
        </w:tc>
        <w:tc>
          <w:tcPr>
            <w:tcW w:type="dxa" w:w="1059"/>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Mannitol+Sorbitol</w:t>
            </w:r>
          </w:p>
        </w:tc>
        <w:tc>
          <w:tcPr>
            <w:tcW w:type="dxa" w:w="1042"/>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Mannitol</w:t>
            </w:r>
          </w:p>
        </w:tc>
        <w:tc>
          <w:tcPr>
            <w:tcW w:type="dxa" w:w="1518"/>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review_required</w:t>
            </w:r>
            <w:r>
              <w:rPr>
                <w:rFonts w:ascii="Calibri" w:hAnsi="Calibri"/>
                <w:color w:val="222222"/>
                <w:sz w:val="15"/>
              </w:rPr>
              <w:t xml:space="preserve"> or </w:t>
            </w:r>
            <w:r>
              <w:rPr>
                <w:rFonts w:ascii="Consolas" w:hAnsi="Consolas"/>
                <w:color w:val="1F4D78"/>
                <w:sz w:val="14"/>
                <w:shd w:fill="EEF1F4"/>
              </w:rPr>
              <w:t>accepted_broader</w:t>
            </w:r>
            <w:r>
              <w:rPr>
                <w:rFonts w:ascii="Calibri" w:hAnsi="Calibri"/>
                <w:color w:val="222222"/>
                <w:sz w:val="15"/>
              </w:rPr>
              <w:t xml:space="preserve"> only for a stated broad purpose</w:t>
            </w:r>
          </w:p>
        </w:tc>
        <w:tc>
          <w:tcPr>
            <w:tcW w:type="dxa" w:w="1518"/>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1195"/>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review</w:t>
            </w:r>
          </w:p>
        </w:tc>
        <w:tc>
          <w:tcPr>
            <w:tcW w:type="dxa" w:w="1522"/>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Composite/isomeric label has been narrowed by the returned name; information loss is material</w:t>
            </w:r>
          </w:p>
        </w:tc>
      </w:tr>
      <w:tr>
        <w:trPr>
          <w:cantSplit w:val="true"/>
        </w:trPr>
        <w:tc>
          <w:tcPr>
            <w:tcW w:type="dxa" w:w="770"/>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ST003348</w:t>
            </w:r>
          </w:p>
        </w:tc>
        <w:tc>
          <w:tcPr>
            <w:tcW w:type="dxa" w:w="736"/>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AN005484</w:t>
            </w:r>
          </w:p>
        </w:tc>
        <w:tc>
          <w:tcPr>
            <w:tcW w:type="dxa" w:w="1059"/>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NegX-RT295MZ165</w:t>
            </w:r>
          </w:p>
        </w:tc>
        <w:tc>
          <w:tcPr>
            <w:tcW w:type="dxa" w:w="1042"/>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blank</w:t>
            </w:r>
          </w:p>
        </w:tc>
        <w:tc>
          <w:tcPr>
            <w:tcW w:type="dxa" w:w="1518"/>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unmapped</w:t>
            </w:r>
          </w:p>
        </w:tc>
        <w:tc>
          <w:tcPr>
            <w:tcW w:type="dxa" w:w="1518"/>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1195"/>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no/unclassified only if rule allows</w:t>
            </w:r>
          </w:p>
        </w:tc>
        <w:tc>
          <w:tcPr>
            <w:tcW w:type="dxa" w:w="1522"/>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Unidentified feature must not be assigned from mass alone</w:t>
            </w:r>
          </w:p>
        </w:tc>
      </w:tr>
      <w:tr>
        <w:trPr>
          <w:cantSplit w:val="true"/>
        </w:trPr>
        <w:tc>
          <w:tcPr>
            <w:tcW w:type="dxa" w:w="770"/>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ST003348</w:t>
            </w:r>
          </w:p>
        </w:tc>
        <w:tc>
          <w:tcPr>
            <w:tcW w:type="dxa" w:w="736"/>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AN005484</w:t>
            </w:r>
          </w:p>
        </w:tc>
        <w:tc>
          <w:tcPr>
            <w:tcW w:type="dxa" w:w="1059"/>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Palmitic acid-[13C]16</w:t>
            </w:r>
          </w:p>
        </w:tc>
        <w:tc>
          <w:tcPr>
            <w:tcW w:type="dxa" w:w="1042"/>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Palmitic acid</w:t>
            </w:r>
          </w:p>
        </w:tc>
        <w:tc>
          <w:tcPr>
            <w:tcW w:type="dxa" w:w="1518"/>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excluded_nonbiological</w:t>
            </w:r>
            <w:r>
              <w:rPr>
                <w:rFonts w:ascii="Calibri" w:hAnsi="Calibri"/>
                <w:color w:val="222222"/>
                <w:sz w:val="15"/>
              </w:rPr>
              <w:t xml:space="preserve"> for biological overlap</w:t>
            </w:r>
          </w:p>
        </w:tc>
        <w:tc>
          <w:tcPr>
            <w:tcW w:type="dxa" w:w="1518"/>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1195"/>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1522"/>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Isotope-labeled analyte/standard must not create a biological overlap with endogenous palmitic acid</w:t>
            </w:r>
          </w:p>
        </w:tc>
      </w:tr>
      <w:tr>
        <w:trPr>
          <w:cantSplit w:val="true"/>
        </w:trPr>
        <w:tc>
          <w:tcPr>
            <w:tcW w:type="dxa" w:w="770"/>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ST003348</w:t>
            </w:r>
          </w:p>
        </w:tc>
        <w:tc>
          <w:tcPr>
            <w:tcW w:type="dxa" w:w="736"/>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AN005484</w:t>
            </w:r>
          </w:p>
        </w:tc>
        <w:tc>
          <w:tcPr>
            <w:tcW w:type="dxa" w:w="1059"/>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Linoleic acid(FFA(18:2n6)</w:t>
            </w:r>
          </w:p>
        </w:tc>
        <w:tc>
          <w:tcPr>
            <w:tcW w:type="dxa" w:w="1042"/>
            <w:tcMar>
              <w:top w:w="80" w:type="dxa"/>
              <w:bottom w:w="80" w:type="dxa"/>
              <w:start w:w="120" w:type="dxa"/>
              <w:end w:w="120" w:type="dxa"/>
            </w:tcMar>
            <w:vAlign w:val="center"/>
          </w:tcPr>
          <w:p>
            <w:pPr>
              <w:spacing w:before="0" w:after="0" w:line="269" w:lineRule="auto"/>
              <w:jc w:val="center"/>
            </w:pPr>
            <w:r/>
            <w:r>
              <w:rPr>
                <w:rFonts w:ascii="Consolas" w:hAnsi="Consolas"/>
                <w:color w:val="1F4D78"/>
                <w:sz w:val="14"/>
                <w:shd w:fill="EEF1F4"/>
              </w:rPr>
              <w:t>Linoleic acid</w:t>
            </w:r>
          </w:p>
        </w:tc>
        <w:tc>
          <w:tcPr>
            <w:tcW w:type="dxa" w:w="1518"/>
            <w:tcMar>
              <w:top w:w="80" w:type="dxa"/>
              <w:bottom w:w="80" w:type="dxa"/>
              <w:start w:w="120" w:type="dxa"/>
              <w:end w:w="120" w:type="dxa"/>
            </w:tcMar>
            <w:vAlign w:val="center"/>
          </w:tcPr>
          <w:p>
            <w:pPr>
              <w:spacing w:before="0" w:after="0" w:line="269" w:lineRule="auto"/>
              <w:jc w:val="left"/>
            </w:pPr>
            <w:r/>
            <w:r>
              <w:rPr>
                <w:rFonts w:ascii="Consolas" w:hAnsi="Consolas"/>
                <w:color w:val="1F4D78"/>
                <w:sz w:val="14"/>
                <w:shd w:fill="EEF1F4"/>
              </w:rPr>
              <w:t>review_required</w:t>
            </w:r>
            <w:r>
              <w:rPr>
                <w:rFonts w:ascii="Calibri" w:hAnsi="Calibri"/>
                <w:color w:val="222222"/>
                <w:sz w:val="15"/>
              </w:rPr>
              <w:t>, then potentially accepted at supported resolution</w:t>
            </w:r>
          </w:p>
        </w:tc>
        <w:tc>
          <w:tcPr>
            <w:tcW w:type="dxa" w:w="1518"/>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review</w:t>
            </w:r>
          </w:p>
        </w:tc>
        <w:tc>
          <w:tcPr>
            <w:tcW w:type="dxa" w:w="1195"/>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yes/review</w:t>
            </w:r>
          </w:p>
        </w:tc>
        <w:tc>
          <w:tcPr>
            <w:tcW w:type="dxa" w:w="1522"/>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Preserve source notation and verify structural-resolution equivalence</w:t>
            </w:r>
          </w:p>
        </w:tc>
      </w:tr>
    </w:tbl>
    <w:p>
      <w:pPr>
        <w:spacing w:before="0" w:after="40"/>
      </w:pPr>
    </w:p>
    <w:p>
      <w:r>
        <w:rPr>
          <w:rFonts w:ascii="Calibri" w:hAnsi="Calibri"/>
          <w:color w:val="222222"/>
        </w:rPr>
        <w:t xml:space="preserve">Important: the exact handling of </w:t>
      </w:r>
      <w:r>
        <w:rPr>
          <w:rFonts w:ascii="Consolas" w:hAnsi="Consolas"/>
          <w:color w:val="1F4D78"/>
          <w:sz w:val="21"/>
          <w:shd w:fill="EEF1F4"/>
        </w:rPr>
        <w:t>_A</w:t>
      </w:r>
      <w:r>
        <w:rPr>
          <w:rFonts w:ascii="Calibri" w:hAnsi="Calibri"/>
          <w:color w:val="222222"/>
        </w:rPr>
        <w:t>/</w:t>
      </w:r>
      <w:r>
        <w:rPr>
          <w:rFonts w:ascii="Consolas" w:hAnsi="Consolas"/>
          <w:color w:val="1F4D78"/>
          <w:sz w:val="21"/>
          <w:shd w:fill="EEF1F4"/>
        </w:rPr>
        <w:t>_B</w:t>
      </w:r>
      <w:r>
        <w:rPr>
          <w:rFonts w:ascii="Calibri" w:hAnsi="Calibri"/>
          <w:color w:val="222222"/>
        </w:rPr>
        <w:t xml:space="preserve"> features depends on source-method context. They may be chromatographic isomers or distinct signals. Set overlap can collapse identical accepted keys while the quantitative matrix retains source features.</w:t>
      </w:r>
    </w:p>
    <w:p>
      <w:pPr>
        <w:pStyle w:val="Heading2"/>
      </w:pPr>
      <w:r>
        <w:rPr>
          <w:rFonts w:ascii="Calibri" w:hAnsi="Calibri"/>
          <w:color w:val="222222"/>
        </w:rPr>
        <w:t>3. Completed metadata examples</w:t>
      </w:r>
    </w:p>
    <w:tbl>
      <w:tblPr>
        <w:tblStyle w:val="TableGrid"/>
        <w:tblW w:type="dxa" w:w="9360"/>
        <w:jc w:val="left"/>
        <w:tblLayout w:type="fixed"/>
        <w:tblLook w:firstColumn="1" w:firstRow="1" w:lastColumn="0" w:lastRow="0" w:noHBand="0" w:noVBand="1" w:val="04A0"/>
        <w:tblInd w:w="120" w:type="dxa"/>
      </w:tblPr>
      <w:tblGrid>
        <w:gridCol w:w="2026"/>
        <w:gridCol w:w="2026"/>
        <w:gridCol w:w="1880"/>
        <w:gridCol w:w="1400"/>
        <w:gridCol w:w="2028"/>
      </w:tblGrid>
      <w:tr>
        <w:trPr>
          <w:cantSplit w:val="true"/>
          <w:tblHeader w:val="true"/>
        </w:trPr>
        <w:tc>
          <w:tcPr>
            <w:tcW w:type="dxa" w:w="202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Source field/value</w:t>
            </w:r>
          </w:p>
        </w:tc>
        <w:tc>
          <w:tcPr>
            <w:tcW w:type="dxa" w:w="202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Harmonized representation</w:t>
            </w:r>
          </w:p>
        </w:tc>
        <w:tc>
          <w:tcPr>
            <w:tcW w:type="dxa" w:w="188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Compatibility</w:t>
            </w:r>
          </w:p>
        </w:tc>
        <w:tc>
          <w:tcPr>
            <w:tcW w:type="dxa" w:w="140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Purpose</w:t>
            </w:r>
          </w:p>
        </w:tc>
        <w:tc>
          <w:tcPr>
            <w:tcW w:type="dxa" w:w="202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Decision note</w:t>
            </w:r>
          </w:p>
        </w:tc>
      </w:tr>
      <w:tr>
        <w:trPr>
          <w:cantSplit w:val="true"/>
        </w:trPr>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ST001521</w:t>
            </w:r>
            <w:r>
              <w:rPr>
                <w:rFonts w:ascii="Calibri" w:hAnsi="Calibri"/>
                <w:color w:val="222222"/>
                <w:sz w:val="16"/>
              </w:rPr>
              <w:t xml:space="preserve">: </w:t>
            </w:r>
            <w:r>
              <w:rPr>
                <w:rFonts w:ascii="Consolas" w:hAnsi="Consolas"/>
                <w:color w:val="1F4D78"/>
                <w:sz w:val="15"/>
                <w:shd w:fill="EEF1F4"/>
              </w:rPr>
              <w:t>sample_source = Blood (plasma)</w:t>
            </w:r>
          </w:p>
        </w:tc>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broad_source = blood_derived_fluid</w:t>
            </w:r>
            <w:r>
              <w:rPr>
                <w:rFonts w:ascii="Calibri" w:hAnsi="Calibri"/>
                <w:color w:val="222222"/>
                <w:sz w:val="16"/>
              </w:rPr>
              <w:t xml:space="preserve">; </w:t>
            </w:r>
            <w:r>
              <w:rPr>
                <w:rFonts w:ascii="Consolas" w:hAnsi="Consolas"/>
                <w:color w:val="1F4D78"/>
                <w:sz w:val="15"/>
                <w:shd w:fill="EEF1F4"/>
              </w:rPr>
              <w:t>matrix = plasma</w:t>
            </w:r>
          </w:p>
        </w:tc>
        <w:tc>
          <w:tcPr>
            <w:tcW w:type="dxa" w:w="188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Partial with exercise specimen</w:t>
            </w:r>
          </w:p>
        </w:tc>
        <w:tc>
          <w:tcPr>
            <w:tcW w:type="dxa" w:w="140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Name-set discovery</w:t>
            </w:r>
          </w:p>
        </w:tc>
        <w:tc>
          <w:tcPr>
            <w:tcW w:type="dxa" w:w="20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Preserve plasma; broad category is not quantitative equivalence</w:t>
            </w:r>
          </w:p>
        </w:tc>
      </w:tr>
      <w:tr>
        <w:trPr>
          <w:cantSplit w:val="true"/>
        </w:trPr>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ST003348</w:t>
            </w:r>
            <w:r>
              <w:rPr>
                <w:rFonts w:ascii="Calibri" w:hAnsi="Calibri"/>
                <w:color w:val="222222"/>
                <w:sz w:val="16"/>
              </w:rPr>
              <w:t xml:space="preserve"> factors: </w:t>
            </w:r>
            <w:r>
              <w:rPr>
                <w:rFonts w:ascii="Consolas" w:hAnsi="Consolas"/>
                <w:color w:val="1F4D78"/>
                <w:sz w:val="15"/>
                <w:shd w:fill="EEF1F4"/>
              </w:rPr>
              <w:t>sample_source = blood</w:t>
            </w:r>
            <w:r>
              <w:rPr>
                <w:rFonts w:ascii="Calibri" w:hAnsi="Calibri"/>
                <w:color w:val="222222"/>
                <w:sz w:val="16"/>
              </w:rPr>
              <w:t xml:space="preserve">; collection: </w:t>
            </w:r>
            <w:r>
              <w:rPr>
                <w:rFonts w:ascii="Consolas" w:hAnsi="Consolas"/>
                <w:color w:val="1F4D78"/>
                <w:sz w:val="15"/>
                <w:shd w:fill="EEF1F4"/>
              </w:rPr>
              <w:t>Sample Type = Blood (serum)</w:t>
            </w:r>
          </w:p>
        </w:tc>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source_factor = blood</w:t>
            </w:r>
            <w:r>
              <w:rPr>
                <w:rFonts w:ascii="Calibri" w:hAnsi="Calibri"/>
                <w:color w:val="222222"/>
                <w:sz w:val="16"/>
              </w:rPr>
              <w:t xml:space="preserve">; </w:t>
            </w:r>
            <w:r>
              <w:rPr>
                <w:rFonts w:ascii="Consolas" w:hAnsi="Consolas"/>
                <w:color w:val="1F4D78"/>
                <w:sz w:val="15"/>
                <w:shd w:fill="EEF1F4"/>
              </w:rPr>
              <w:t>matrix = serum</w:t>
            </w:r>
            <w:r>
              <w:rPr>
                <w:rFonts w:ascii="Calibri" w:hAnsi="Calibri"/>
                <w:color w:val="222222"/>
                <w:sz w:val="16"/>
              </w:rPr>
              <w:t xml:space="preserve">; </w:t>
            </w:r>
            <w:r>
              <w:rPr>
                <w:rFonts w:ascii="Consolas" w:hAnsi="Consolas"/>
                <w:color w:val="1F4D78"/>
                <w:sz w:val="15"/>
                <w:shd w:fill="EEF1F4"/>
              </w:rPr>
              <w:t>matrix_evidence = collection</w:t>
            </w:r>
          </w:p>
        </w:tc>
        <w:tc>
          <w:tcPr>
            <w:tcW w:type="dxa" w:w="188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Partial with diet specimen</w:t>
            </w:r>
          </w:p>
        </w:tc>
        <w:tc>
          <w:tcPr>
            <w:tcW w:type="dxa" w:w="140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Name-set discovery</w:t>
            </w:r>
          </w:p>
        </w:tc>
        <w:tc>
          <w:tcPr>
            <w:tcW w:type="dxa" w:w="20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Preserve both sources; prefer the specific supported matrix for analysis</w:t>
            </w:r>
          </w:p>
        </w:tc>
      </w:tr>
      <w:tr>
        <w:trPr>
          <w:cantSplit w:val="true"/>
        </w:trPr>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ST001521</w:t>
            </w:r>
            <w:r>
              <w:rPr>
                <w:rFonts w:ascii="Calibri" w:hAnsi="Calibri"/>
                <w:color w:val="222222"/>
                <w:sz w:val="16"/>
              </w:rPr>
              <w:t xml:space="preserve">: </w:t>
            </w:r>
            <w:r>
              <w:rPr>
                <w:rFonts w:ascii="Consolas" w:hAnsi="Consolas"/>
                <w:color w:val="1F4D78"/>
                <w:sz w:val="15"/>
                <w:shd w:fill="EEF1F4"/>
              </w:rPr>
              <w:t>Time = Day 9</w:t>
            </w:r>
          </w:p>
        </w:tc>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study_day = 9</w:t>
            </w:r>
            <w:r>
              <w:rPr>
                <w:rFonts w:ascii="Calibri" w:hAnsi="Calibri"/>
                <w:color w:val="222222"/>
                <w:sz w:val="16"/>
              </w:rPr>
              <w:t xml:space="preserve">; </w:t>
            </w:r>
            <w:r>
              <w:rPr>
                <w:rFonts w:ascii="Consolas" w:hAnsi="Consolas"/>
                <w:color w:val="1F4D78"/>
                <w:sz w:val="15"/>
                <w:shd w:fill="EEF1F4"/>
              </w:rPr>
              <w:t>protocol_state = post_Abx_PEG_interval</w:t>
            </w:r>
            <w:r>
              <w:rPr>
                <w:rFonts w:ascii="Calibri" w:hAnsi="Calibri"/>
                <w:color w:val="222222"/>
                <w:sz w:val="16"/>
              </w:rPr>
              <w:t xml:space="preserve"> if supported by summary</w:t>
            </w:r>
          </w:p>
        </w:tc>
        <w:tc>
          <w:tcPr>
            <w:tcW w:type="dxa" w:w="188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comparable with REC time</w:t>
            </w:r>
          </w:p>
        </w:tc>
        <w:tc>
          <w:tcPr>
            <w:tcW w:type="dxa" w:w="140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Within-study description</w:t>
            </w:r>
          </w:p>
        </w:tc>
        <w:tc>
          <w:tcPr>
            <w:tcW w:type="dxa" w:w="20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Do not call it generic </w:t>
            </w:r>
            <w:r>
              <w:rPr>
                <w:rFonts w:ascii="Consolas" w:hAnsi="Consolas"/>
                <w:color w:val="1F4D78"/>
                <w:sz w:val="15"/>
                <w:shd w:fill="EEF1F4"/>
              </w:rPr>
              <w:t>post</w:t>
            </w:r>
            <w:r>
              <w:rPr>
                <w:rFonts w:ascii="Calibri" w:hAnsi="Calibri"/>
                <w:color w:val="222222"/>
                <w:sz w:val="16"/>
              </w:rPr>
              <w:t xml:space="preserve"> or map to exercise recovery</w:t>
            </w:r>
          </w:p>
        </w:tc>
      </w:tr>
      <w:tr>
        <w:trPr>
          <w:cantSplit w:val="true"/>
        </w:trPr>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ST003348</w:t>
            </w:r>
            <w:r>
              <w:rPr>
                <w:rFonts w:ascii="Calibri" w:hAnsi="Calibri"/>
                <w:color w:val="222222"/>
                <w:sz w:val="16"/>
              </w:rPr>
              <w:t xml:space="preserve">: </w:t>
            </w:r>
            <w:r>
              <w:rPr>
                <w:rFonts w:ascii="Consolas" w:hAnsi="Consolas"/>
                <w:color w:val="1F4D78"/>
                <w:sz w:val="15"/>
                <w:shd w:fill="EEF1F4"/>
              </w:rPr>
              <w:t>Collection_time = stat</w:t>
            </w:r>
          </w:p>
        </w:tc>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anchor = exercise_end</w:t>
            </w:r>
            <w:r>
              <w:rPr>
                <w:rFonts w:ascii="Calibri" w:hAnsi="Calibri"/>
                <w:color w:val="222222"/>
                <w:sz w:val="16"/>
              </w:rPr>
              <w:t xml:space="preserve">; </w:t>
            </w:r>
            <w:r>
              <w:rPr>
                <w:rFonts w:ascii="Consolas" w:hAnsi="Consolas"/>
                <w:color w:val="1F4D78"/>
                <w:sz w:val="15"/>
                <w:shd w:fill="EEF1F4"/>
              </w:rPr>
              <w:t>offset = 0 min</w:t>
            </w:r>
            <w:r>
              <w:rPr>
                <w:rFonts w:ascii="Calibri" w:hAnsi="Calibri"/>
                <w:color w:val="222222"/>
                <w:sz w:val="16"/>
              </w:rPr>
              <w:t xml:space="preserve">; </w:t>
            </w:r>
            <w:r>
              <w:rPr>
                <w:rFonts w:ascii="Consolas" w:hAnsi="Consolas"/>
                <w:color w:val="1F4D78"/>
                <w:sz w:val="15"/>
                <w:shd w:fill="EEF1F4"/>
              </w:rPr>
              <w:t>state = immediate_post_exercise</w:t>
            </w:r>
          </w:p>
        </w:tc>
        <w:tc>
          <w:tcPr>
            <w:tcW w:type="dxa" w:w="188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comparable with diet days</w:t>
            </w:r>
          </w:p>
        </w:tc>
        <w:tc>
          <w:tcPr>
            <w:tcW w:type="dxa" w:w="140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Exercise trajectory</w:t>
            </w:r>
          </w:p>
        </w:tc>
        <w:tc>
          <w:tcPr>
            <w:tcW w:type="dxa" w:w="20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Meaning comes from project/collection summary, not the code alone</w:t>
            </w:r>
          </w:p>
        </w:tc>
      </w:tr>
      <w:tr>
        <w:trPr>
          <w:cantSplit w:val="true"/>
        </w:trPr>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ST003348</w:t>
            </w:r>
            <w:r>
              <w:rPr>
                <w:rFonts w:ascii="Calibri" w:hAnsi="Calibri"/>
                <w:color w:val="222222"/>
                <w:sz w:val="16"/>
              </w:rPr>
              <w:t xml:space="preserve">: </w:t>
            </w:r>
            <w:r>
              <w:rPr>
                <w:rFonts w:ascii="Consolas" w:hAnsi="Consolas"/>
                <w:color w:val="1F4D78"/>
                <w:sz w:val="15"/>
                <w:shd w:fill="EEF1F4"/>
              </w:rPr>
              <w:t>Collection_time = rec3</w:t>
            </w:r>
          </w:p>
        </w:tc>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anchor = exercise_end</w:t>
            </w:r>
            <w:r>
              <w:rPr>
                <w:rFonts w:ascii="Calibri" w:hAnsi="Calibri"/>
                <w:color w:val="222222"/>
                <w:sz w:val="16"/>
              </w:rPr>
              <w:t xml:space="preserve">; </w:t>
            </w:r>
            <w:r>
              <w:rPr>
                <w:rFonts w:ascii="Consolas" w:hAnsi="Consolas"/>
                <w:color w:val="1F4D78"/>
                <w:sz w:val="15"/>
                <w:shd w:fill="EEF1F4"/>
              </w:rPr>
              <w:t>offset = 3 h</w:t>
            </w:r>
            <w:r>
              <w:rPr>
                <w:rFonts w:ascii="Calibri" w:hAnsi="Calibri"/>
                <w:color w:val="222222"/>
                <w:sz w:val="16"/>
              </w:rPr>
              <w:t xml:space="preserve">; </w:t>
            </w:r>
            <w:r>
              <w:rPr>
                <w:rFonts w:ascii="Consolas" w:hAnsi="Consolas"/>
                <w:color w:val="1F4D78"/>
                <w:sz w:val="15"/>
                <w:shd w:fill="EEF1F4"/>
              </w:rPr>
              <w:t>state = recovery</w:t>
            </w:r>
          </w:p>
        </w:tc>
        <w:tc>
          <w:tcPr>
            <w:tcW w:type="dxa" w:w="188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Direct only inside exercise study</w:t>
            </w:r>
          </w:p>
        </w:tc>
        <w:tc>
          <w:tcPr>
            <w:tcW w:type="dxa" w:w="140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Exercise trajectory</w:t>
            </w:r>
          </w:p>
        </w:tc>
        <w:tc>
          <w:tcPr>
            <w:tcW w:type="dxa" w:w="20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Preserve </w:t>
            </w:r>
            <w:r>
              <w:rPr>
                <w:rFonts w:ascii="Consolas" w:hAnsi="Consolas"/>
                <w:color w:val="1F4D78"/>
                <w:sz w:val="15"/>
                <w:shd w:fill="EEF1F4"/>
              </w:rPr>
              <w:t>REC3</w:t>
            </w:r>
            <w:r>
              <w:rPr>
                <w:rFonts w:ascii="Calibri" w:hAnsi="Calibri"/>
                <w:color w:val="222222"/>
                <w:sz w:val="16"/>
              </w:rPr>
              <w:t xml:space="preserve"> source label</w:t>
            </w:r>
          </w:p>
        </w:tc>
      </w:tr>
      <w:tr>
        <w:trPr>
          <w:cantSplit w:val="true"/>
        </w:trPr>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ST001521</w:t>
            </w:r>
            <w:r>
              <w:rPr>
                <w:rFonts w:ascii="Calibri" w:hAnsi="Calibri"/>
                <w:color w:val="222222"/>
                <w:sz w:val="16"/>
              </w:rPr>
              <w:t xml:space="preserve">: </w:t>
            </w:r>
            <w:r>
              <w:rPr>
                <w:rFonts w:ascii="Consolas" w:hAnsi="Consolas"/>
                <w:color w:val="1F4D78"/>
                <w:sz w:val="15"/>
                <w:shd w:fill="EEF1F4"/>
              </w:rPr>
              <w:t>QPP01</w:t>
            </w:r>
            <w:r>
              <w:rPr>
                <w:rFonts w:ascii="Calibri" w:hAnsi="Calibri"/>
                <w:color w:val="222222"/>
                <w:sz w:val="16"/>
              </w:rPr>
              <w:t xml:space="preserve"> with diet/sex/time NA</w:t>
            </w:r>
          </w:p>
        </w:tc>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sample_role = pooled_qc</w:t>
            </w:r>
            <w:r>
              <w:rPr>
                <w:rFonts w:ascii="Calibri" w:hAnsi="Calibri"/>
                <w:color w:val="222222"/>
                <w:sz w:val="16"/>
              </w:rPr>
              <w:t xml:space="preserve"> after evidence check</w:t>
            </w:r>
          </w:p>
        </w:tc>
        <w:tc>
          <w:tcPr>
            <w:tcW w:type="dxa" w:w="188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a participant observation</w:t>
            </w:r>
          </w:p>
        </w:tc>
        <w:tc>
          <w:tcPr>
            <w:tcW w:type="dxa" w:w="140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QC diagnostics</w:t>
            </w:r>
          </w:p>
        </w:tc>
        <w:tc>
          <w:tcPr>
            <w:tcW w:type="dxa" w:w="20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Exclude from biological PCA and participant counts; retain for QC</w:t>
            </w:r>
          </w:p>
        </w:tc>
      </w:tr>
      <w:tr>
        <w:trPr>
          <w:cantSplit w:val="true"/>
        </w:trPr>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ST001521</w:t>
            </w:r>
            <w:r>
              <w:rPr>
                <w:rFonts w:ascii="Calibri" w:hAnsi="Calibri"/>
                <w:color w:val="222222"/>
                <w:sz w:val="16"/>
              </w:rPr>
              <w:t xml:space="preserve">: </w:t>
            </w:r>
            <w:r>
              <w:rPr>
                <w:rFonts w:ascii="Consolas" w:hAnsi="Consolas"/>
                <w:color w:val="1F4D78"/>
                <w:sz w:val="15"/>
                <w:shd w:fill="EEF1F4"/>
              </w:rPr>
              <w:t>units = unitless peak areas</w:t>
            </w:r>
          </w:p>
        </w:tc>
        <w:tc>
          <w:tcPr>
            <w:tcW w:type="dxa" w:w="202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Keep source scale; no common target</w:t>
            </w:r>
          </w:p>
        </w:tc>
        <w:tc>
          <w:tcPr>
            <w:tcW w:type="dxa" w:w="188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compatible for pooled quantitative analysis</w:t>
            </w:r>
          </w:p>
        </w:tc>
        <w:tc>
          <w:tcPr>
            <w:tcW w:type="dxa" w:w="140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Measurement audit</w:t>
            </w:r>
          </w:p>
        </w:tc>
        <w:tc>
          <w:tcPr>
            <w:tcW w:type="dxa" w:w="20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Scaling cannot create a calibrated common unit</w:t>
            </w:r>
          </w:p>
        </w:tc>
      </w:tr>
      <w:tr>
        <w:trPr>
          <w:cantSplit w:val="true"/>
        </w:trPr>
        <w:tc>
          <w:tcPr>
            <w:tcW w:type="dxa" w:w="2026"/>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ST003348</w:t>
            </w:r>
            <w:r>
              <w:rPr>
                <w:rFonts w:ascii="Calibri" w:hAnsi="Calibri"/>
                <w:color w:val="222222"/>
                <w:sz w:val="16"/>
              </w:rPr>
              <w:t xml:space="preserve">: </w:t>
            </w:r>
            <w:r>
              <w:rPr>
                <w:rFonts w:ascii="Consolas" w:hAnsi="Consolas"/>
                <w:color w:val="1F4D78"/>
                <w:sz w:val="15"/>
                <w:shd w:fill="EEF1F4"/>
              </w:rPr>
              <w:t>units = Peak area</w:t>
            </w:r>
          </w:p>
        </w:tc>
        <w:tc>
          <w:tcPr>
            <w:tcW w:type="dxa" w:w="202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Keep source scale; no common target</w:t>
            </w:r>
          </w:p>
        </w:tc>
        <w:tc>
          <w:tcPr>
            <w:tcW w:type="dxa" w:w="1880"/>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compatible for pooled quantitative analysis</w:t>
            </w:r>
          </w:p>
        </w:tc>
        <w:tc>
          <w:tcPr>
            <w:tcW w:type="dxa" w:w="140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Measurement audit</w:t>
            </w:r>
          </w:p>
        </w:tc>
        <w:tc>
          <w:tcPr>
            <w:tcW w:type="dxa" w:w="20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Different assay, lab, matrix, and preprocessing remain</w:t>
            </w:r>
          </w:p>
        </w:tc>
      </w:tr>
    </w:tbl>
    <w:p>
      <w:pPr>
        <w:spacing w:before="0" w:after="40"/>
      </w:pPr>
    </w:p>
    <w:p>
      <w:pPr>
        <w:pStyle w:val="Heading2"/>
      </w:pPr>
      <w:r>
        <w:rPr>
          <w:rFonts w:ascii="Calibri" w:hAnsi="Calibri"/>
          <w:color w:val="222222"/>
        </w:rPr>
        <w:t>4. Overlap audit key</w:t>
      </w:r>
    </w:p>
    <w:p>
      <w:r>
        <w:rPr>
          <w:rFonts w:ascii="Calibri" w:hAnsi="Calibri"/>
          <w:color w:val="222222"/>
        </w:rPr>
        <w:t xml:space="preserve">The build-level checks are 153 shared nonblank exact RefMet strings before artifact and eligibility exclusions, then 145 conservative biological overlaps after excluding eight </w:t>
      </w:r>
      <w:r>
        <w:rPr>
          <w:rFonts w:ascii="Consolas" w:hAnsi="Consolas"/>
          <w:color w:val="1F4D78"/>
          <w:sz w:val="21"/>
          <w:shd w:fill="EEF1F4"/>
        </w:rPr>
        <w:t>ST003348</w:t>
      </w:r>
      <w:r>
        <w:rPr>
          <w:rFonts w:ascii="Calibri" w:hAnsi="Calibri"/>
          <w:color w:val="222222"/>
        </w:rPr>
        <w:t xml:space="preserve"> isotope/internal-standard rows that map to ordinary RefMet labels. A full-credit learner response:</w:t>
      </w:r>
    </w:p>
    <w:p>
      <w:pPr>
        <w:numPr>
          <w:ilvl w:val="0"/>
          <w:numId w:val="32"/>
        </w:numPr>
        <w:spacing w:after="80" w:line="300" w:lineRule="auto"/>
      </w:pPr>
      <w:r>
        <w:rPr>
          <w:rFonts w:ascii="Calibri" w:hAnsi="Calibri"/>
          <w:color w:val="222222"/>
        </w:rPr>
        <w:t>Labels this as preliminary.</w:t>
      </w:r>
    </w:p>
    <w:p>
      <w:pPr>
        <w:numPr>
          <w:ilvl w:val="0"/>
          <w:numId w:val="32"/>
        </w:numPr>
        <w:spacing w:after="80" w:line="300" w:lineRule="auto"/>
      </w:pPr>
      <w:r>
        <w:rPr>
          <w:rFonts w:ascii="Calibri" w:hAnsi="Calibri"/>
          <w:color w:val="222222"/>
        </w:rPr>
        <w:t>Records the retrieval and crosswalk versions.</w:t>
      </w:r>
    </w:p>
    <w:p>
      <w:pPr>
        <w:numPr>
          <w:ilvl w:val="0"/>
          <w:numId w:val="32"/>
        </w:numPr>
        <w:spacing w:after="80" w:line="300" w:lineRule="auto"/>
      </w:pPr>
      <w:r>
        <w:rPr>
          <w:rFonts w:ascii="Calibri" w:hAnsi="Calibri"/>
          <w:color w:val="222222"/>
        </w:rPr>
        <w:t>Shows how isotope-labeled compounds, artifacts, blanks, duplicates, ambiguous mappings, and annotation rules change the set.</w:t>
      </w:r>
    </w:p>
    <w:p>
      <w:pPr>
        <w:numPr>
          <w:ilvl w:val="0"/>
          <w:numId w:val="32"/>
        </w:numPr>
        <w:spacing w:after="80" w:line="300" w:lineRule="auto"/>
      </w:pPr>
      <w:r>
        <w:rPr>
          <w:rFonts w:ascii="Calibri" w:hAnsi="Calibri"/>
          <w:color w:val="222222"/>
        </w:rPr>
        <w:t>Reports diet, exercise, and shared denominators.</w:t>
      </w:r>
    </w:p>
    <w:p>
      <w:pPr>
        <w:numPr>
          <w:ilvl w:val="0"/>
          <w:numId w:val="32"/>
        </w:numPr>
        <w:spacing w:after="80" w:line="300" w:lineRule="auto"/>
      </w:pPr>
      <w:r>
        <w:rPr>
          <w:rFonts w:ascii="Calibri" w:hAnsi="Calibri"/>
          <w:color w:val="222222"/>
        </w:rPr>
        <w:t>Does not describe shared strings as shared intervention responses or comparable concentrations.</w:t>
      </w:r>
    </w:p>
    <w:p>
      <w:r>
        <w:rPr>
          <w:rFonts w:ascii="Calibri" w:hAnsi="Calibri"/>
          <w:color w:val="222222"/>
        </w:rPr>
        <w:t>Require learners to distinguish the 153 raw check from the 145 conservative artifact-filtered check. Further justified eligibility rules may reduce the reported set below 145; they must be versioned and counted.</w:t>
      </w:r>
    </w:p>
    <w:p>
      <w:pPr>
        <w:pStyle w:val="Heading2"/>
      </w:pPr>
      <w:r>
        <w:rPr>
          <w:rFonts w:ascii="Calibri" w:hAnsi="Calibri"/>
          <w:color w:val="222222"/>
        </w:rPr>
        <w:t>5. Common errors and feedback</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val="true"/>
          <w:tblHeader w:val="true"/>
        </w:trPr>
        <w:tc>
          <w:tcPr>
            <w:tcW w:type="dxa" w:w="468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Error</w:t>
            </w:r>
          </w:p>
        </w:tc>
        <w:tc>
          <w:tcPr>
            <w:tcW w:type="dxa" w:w="468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Instructor feedback</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Replacing source names with RefMet names</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Add separate source and standardized columns so the mapping remains auditable.</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Accepting every nonblank RefMet value</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repository-provided mapping still needs role, resolution, artifact, and ambiguity review.</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Dropping blank mappings</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Retain them as </w:t>
            </w:r>
            <w:r>
              <w:rPr>
                <w:rFonts w:ascii="Consolas" w:hAnsi="Consolas"/>
                <w:color w:val="1F4D78"/>
                <w:sz w:val="17"/>
                <w:shd w:fill="EEF1F4"/>
              </w:rPr>
              <w:t>unmapped</w:t>
            </w:r>
            <w:r>
              <w:rPr>
                <w:rFonts w:ascii="Calibri" w:hAnsi="Calibri"/>
                <w:color w:val="222222"/>
                <w:sz w:val="18"/>
              </w:rPr>
              <w:t>; missing mapping is a meaningful result.</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Mapping isotope-labeled standards to endogenous names</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Preserve isotope labels and exclude nonbiological standards from biological overlap.</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Merging duplicate RefMet features before preserving analysis IDs</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Keep feature-level rows; create a separate set-level key for overlap.</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Marking plasma and serum identical</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Retain exact matrix and use a broad category only for a purpose that tolerates the distinction.</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Converting peak areas to a common z-score and calling them comparable</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Standardization changes scale but does not remove platform, matrix, batch, or design differences.</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Maximizing the mapping rate</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Mapping quality and explicit uncertainty matter more than the percentage mapped.</w:t>
            </w:r>
          </w:p>
        </w:tc>
      </w:tr>
    </w:tbl>
    <w:p>
      <w:pPr>
        <w:spacing w:before="0" w:after="40"/>
      </w:pPr>
    </w:p>
    <w:p>
      <w:pPr>
        <w:pStyle w:val="Heading2"/>
      </w:pPr>
      <w:r>
        <w:rPr>
          <w:rFonts w:ascii="Calibri" w:hAnsi="Calibri"/>
          <w:color w:val="222222"/>
        </w:rPr>
        <w:t>6. Suggested scoring, 20 points</w:t>
      </w:r>
    </w:p>
    <w:tbl>
      <w:tblPr>
        <w:tblStyle w:val="TableGrid"/>
        <w:tblW w:type="dxa" w:w="9360"/>
        <w:jc w:val="left"/>
        <w:tblLayout w:type="fixed"/>
        <w:tblLook w:firstColumn="1" w:firstRow="1" w:lastColumn="0" w:lastRow="0" w:noHBand="0" w:noVBand="1" w:val="04A0"/>
        <w:tblInd w:w="120" w:type="dxa"/>
      </w:tblPr>
      <w:tblGrid>
        <w:gridCol w:w="6984"/>
        <w:gridCol w:w="2376"/>
      </w:tblGrid>
      <w:tr>
        <w:trPr>
          <w:cantSplit w:val="true"/>
          <w:tblHeader w:val="true"/>
        </w:trPr>
        <w:tc>
          <w:tcPr>
            <w:tcW w:type="dxa" w:w="698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Criterion</w:t>
            </w:r>
          </w:p>
        </w:tc>
        <w:tc>
          <w:tcPr>
            <w:tcW w:type="dxa" w:w="237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Points</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Source identity and provenance complete</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Mapping and annotation-resolution decisions justified</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Ambiguous, unmapped, isotope-labeled, and duplicate cases handled</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Specimen/time/unit metadata aligned with information loss visible</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Purpose-specific eligibility and non-pooling guardrail applied</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bl>
    <w:p>
      <w:pPr>
        <w:spacing w:before="0" w:after="40"/>
      </w:pPr>
    </w:p>
    <w:p>
      <w:r>
        <w:br w:type="page"/>
      </w:r>
    </w:p>
    <w:p>
      <w:pPr>
        <w:pStyle w:val="Heading1"/>
      </w:pPr>
      <w:r>
        <w:rPr>
          <w:rFonts w:ascii="Calibri" w:hAnsi="Calibri"/>
          <w:color w:val="222222"/>
        </w:rPr>
        <w:t>Access-pattern and transfer checklist - instructor version</w:t>
      </w:r>
    </w:p>
    <w:p>
      <w:r>
        <w:rPr>
          <w:rFonts w:ascii="Calibri" w:hAnsi="Calibri"/>
          <w:color w:val="222222"/>
        </w:rPr>
        <w:t>This key provides two worked cases and a scoring rubric. Access rules change; instructors must recheck all linked first-party documentation immediately before delivery. A learner with newer documented evidence should not be penalized for a different conclusion.</w:t>
      </w:r>
    </w:p>
    <w:p>
      <w:pPr>
        <w:pStyle w:val="Heading2"/>
      </w:pPr>
      <w:r>
        <w:rPr>
          <w:rFonts w:ascii="Calibri" w:hAnsi="Calibri"/>
          <w:color w:val="222222"/>
        </w:rPr>
        <w:t>Core rule</w:t>
      </w:r>
    </w:p>
    <w:p>
      <w:r>
        <w:rPr>
          <w:rFonts w:ascii="Calibri" w:hAnsi="Calibri"/>
          <w:color w:val="222222"/>
        </w:rPr>
        <w:t>The unit of assessment is:</w:t>
      </w:r>
    </w:p>
    <w:p>
      <w:pPr>
        <w:spacing w:before="100" w:after="120"/>
        <w:ind w:left="259" w:right="115"/>
        <w:shd w:fill="F4F6F9"/>
        <w:pBdr>
          <w:left w:val="single" w:sz="16" w:space="8" w:color="2E74B5"/>
        </w:pBdr>
      </w:pPr>
      <w:r>
        <w:rPr>
          <w:rFonts w:ascii="Calibri" w:hAnsi="Calibri"/>
          <w:color w:val="1F4D78"/>
        </w:rPr>
        <w:t>specific dataset + release + data level + intended action + user/institution + compute/storage/output plan + check date</w:t>
      </w:r>
    </w:p>
    <w:p>
      <w:r>
        <w:rPr>
          <w:rFonts w:ascii="Calibri" w:hAnsi="Calibri"/>
          <w:color w:val="222222"/>
        </w:rPr>
        <w:t xml:space="preserve">Answers that label an entire program </w:t>
      </w:r>
      <w:r>
        <w:rPr>
          <w:rFonts w:ascii="Consolas" w:hAnsi="Consolas"/>
          <w:color w:val="1F4D78"/>
          <w:sz w:val="21"/>
          <w:shd w:fill="EEF1F4"/>
        </w:rPr>
        <w:t>open</w:t>
      </w:r>
      <w:r>
        <w:rPr>
          <w:rFonts w:ascii="Calibri" w:hAnsi="Calibri"/>
          <w:color w:val="222222"/>
        </w:rPr>
        <w:t xml:space="preserve">, </w:t>
      </w:r>
      <w:r>
        <w:rPr>
          <w:rFonts w:ascii="Consolas" w:hAnsi="Consolas"/>
          <w:color w:val="1F4D78"/>
          <w:sz w:val="21"/>
          <w:shd w:fill="EEF1F4"/>
        </w:rPr>
        <w:t>gated</w:t>
      </w:r>
      <w:r>
        <w:rPr>
          <w:rFonts w:ascii="Calibri" w:hAnsi="Calibri"/>
          <w:color w:val="222222"/>
        </w:rPr>
        <w:t xml:space="preserve">, or </w:t>
      </w:r>
      <w:r>
        <w:rPr>
          <w:rFonts w:ascii="Consolas" w:hAnsi="Consolas"/>
          <w:color w:val="1F4D78"/>
          <w:sz w:val="21"/>
          <w:shd w:fill="EEF1F4"/>
        </w:rPr>
        <w:t>controlled</w:t>
      </w:r>
      <w:r>
        <w:rPr>
          <w:rFonts w:ascii="Calibri" w:hAnsi="Calibri"/>
          <w:color w:val="222222"/>
        </w:rPr>
        <w:t xml:space="preserve"> without those qualifiers are incomplete.</w:t>
      </w:r>
    </w:p>
    <w:p>
      <w:pPr>
        <w:pStyle w:val="Heading2"/>
      </w:pPr>
      <w:r>
        <w:rPr>
          <w:rFonts w:ascii="Calibri" w:hAnsi="Calibri"/>
          <w:color w:val="222222"/>
        </w:rPr>
        <w:t>Worked case A - MoTrPAC</w:t>
      </w:r>
    </w:p>
    <w:p>
      <w:pPr>
        <w:pStyle w:val="Heading3"/>
      </w:pPr>
      <w:r>
        <w:rPr>
          <w:rFonts w:ascii="Calibri" w:hAnsi="Calibri"/>
          <w:color w:val="222222"/>
        </w:rPr>
        <w:t>Scenario</w:t>
      </w:r>
    </w:p>
    <w:p>
      <w:r>
        <w:rPr>
          <w:rFonts w:ascii="Calibri" w:hAnsi="Calibri"/>
          <w:color w:val="222222"/>
        </w:rPr>
        <w:t xml:space="preserve">The learner wants to download a public MoTrPAC analysis-result file for local, noncommercial exploratory work and compare its metadata structure with </w:t>
      </w:r>
      <w:r>
        <w:rPr>
          <w:rFonts w:ascii="Consolas" w:hAnsi="Consolas"/>
          <w:color w:val="1F4D78"/>
          <w:sz w:val="21"/>
          <w:shd w:fill="EEF1F4"/>
        </w:rPr>
        <w:t>ST003348</w:t>
      </w:r>
      <w:r>
        <w:rPr>
          <w:rFonts w:ascii="Calibri" w:hAnsi="Calibri"/>
          <w:color w:val="222222"/>
        </w:rPr>
        <w:t>.</w:t>
      </w:r>
    </w:p>
    <w:p>
      <w:pPr>
        <w:pStyle w:val="Heading3"/>
      </w:pPr>
      <w:r>
        <w:rPr>
          <w:rFonts w:ascii="Calibri" w:hAnsi="Calibri"/>
          <w:color w:val="222222"/>
        </w:rPr>
        <w:t>Evidence expected as of August 10, 2026</w:t>
      </w:r>
    </w:p>
    <w:p>
      <w:pPr>
        <w:numPr>
          <w:ilvl w:val="0"/>
          <w:numId w:val="33"/>
        </w:numPr>
        <w:spacing w:after="80" w:line="300" w:lineRule="auto"/>
      </w:pPr>
      <w:r>
        <w:rPr>
          <w:rFonts w:ascii="Calibri" w:hAnsi="Calibri"/>
          <w:color w:val="222222"/>
        </w:rPr>
        <w:t>The MoTrPAC FAQ states that public data are available through the portal and that public data are accessible without login, while restricted data require authentication.</w:t>
      </w:r>
    </w:p>
    <w:p>
      <w:pPr>
        <w:numPr>
          <w:ilvl w:val="0"/>
          <w:numId w:val="33"/>
        </w:numPr>
        <w:spacing w:after="80" w:line="300" w:lineRule="auto"/>
      </w:pPr>
      <w:r>
        <w:rPr>
          <w:rFonts w:ascii="Calibri" w:hAnsi="Calibri"/>
          <w:color w:val="222222"/>
        </w:rPr>
        <w:t>The Data Hub documentation describes public releases and also an embargoed limited acute exercise rat subset requiring an account and DUA.</w:t>
      </w:r>
    </w:p>
    <w:p>
      <w:pPr>
        <w:numPr>
          <w:ilvl w:val="0"/>
          <w:numId w:val="33"/>
        </w:numPr>
        <w:spacing w:after="80" w:line="300" w:lineRule="auto"/>
      </w:pPr>
      <w:r>
        <w:rPr>
          <w:rFonts w:ascii="Calibri" w:hAnsi="Calibri"/>
          <w:color w:val="222222"/>
        </w:rPr>
        <w:t>Consortium-member onboarding explicitly says it does not apply to community users accessing public data.</w:t>
      </w:r>
    </w:p>
    <w:p>
      <w:r>
        <w:rPr>
          <w:rFonts w:ascii="Calibri" w:hAnsi="Calibri"/>
          <w:color w:val="222222"/>
        </w:rPr>
        <w:t>Primary pages:</w:t>
      </w:r>
    </w:p>
    <w:p>
      <w:pPr>
        <w:numPr>
          <w:ilvl w:val="0"/>
          <w:numId w:val="34"/>
        </w:numPr>
        <w:spacing w:after="80" w:line="300" w:lineRule="auto"/>
      </w:pPr>
      <w:hyperlink r:id="rId26">
        <w:r>
          <w:rPr>
            <w:rFonts w:ascii="Calibri" w:hAnsi="Calibri"/>
            <w:color w:val="2E74B5"/>
            <w:u w:val="single"/>
            <w:sz w:val="22"/>
          </w:rPr>
          <w:t>MoTrPAC FAQ</w:t>
        </w:r>
      </w:hyperlink>
    </w:p>
    <w:p>
      <w:pPr>
        <w:numPr>
          <w:ilvl w:val="0"/>
          <w:numId w:val="34"/>
        </w:numPr>
        <w:spacing w:after="80" w:line="300" w:lineRule="auto"/>
      </w:pPr>
      <w:hyperlink r:id="rId27">
        <w:r>
          <w:rPr>
            <w:rFonts w:ascii="Calibri" w:hAnsi="Calibri"/>
            <w:color w:val="2E74B5"/>
            <w:u w:val="single"/>
            <w:sz w:val="22"/>
          </w:rPr>
          <w:t>MoTrPAC Data Hub</w:t>
        </w:r>
      </w:hyperlink>
    </w:p>
    <w:p>
      <w:pPr>
        <w:numPr>
          <w:ilvl w:val="0"/>
          <w:numId w:val="34"/>
        </w:numPr>
        <w:spacing w:after="80" w:line="300" w:lineRule="auto"/>
      </w:pPr>
      <w:hyperlink r:id="rId28">
        <w:r>
          <w:rPr>
            <w:rFonts w:ascii="Calibri" w:hAnsi="Calibri"/>
            <w:color w:val="2E74B5"/>
            <w:u w:val="single"/>
            <w:sz w:val="22"/>
          </w:rPr>
          <w:t>MoTrPAC onboarding</w:t>
        </w:r>
      </w:hyperlink>
    </w:p>
    <w:p>
      <w:pPr>
        <w:pStyle w:val="Heading3"/>
      </w:pPr>
      <w:r>
        <w:rPr>
          <w:rFonts w:ascii="Calibri" w:hAnsi="Calibri"/>
          <w:color w:val="222222"/>
        </w:rPr>
        <w:t>Correct planning classification</w:t>
      </w:r>
    </w:p>
    <w:p>
      <w:r>
        <w:rPr>
          <w:rFonts w:ascii="Consolas" w:hAnsi="Consolas"/>
          <w:color w:val="1F4D78"/>
          <w:sz w:val="21"/>
          <w:shd w:fill="EEF1F4"/>
        </w:rPr>
        <w:t>Mixed</w:t>
      </w:r>
      <w:r>
        <w:rPr>
          <w:rFonts w:ascii="Calibri" w:hAnsi="Calibri"/>
          <w:color w:val="222222"/>
        </w:rPr>
        <w:t>, with the exact public file potentially following open public retrieval. Restricted or embargoed files follow an agreement/approval-gated path. The learner must still record license/terms for the selected public file.</w:t>
      </w:r>
    </w:p>
    <w:p>
      <w:pPr>
        <w:pStyle w:val="Heading3"/>
      </w:pPr>
      <w:r>
        <w:rPr>
          <w:rFonts w:ascii="Calibri" w:hAnsi="Calibri"/>
          <w:color w:val="222222"/>
        </w:rPr>
        <w:t>Architecture</w:t>
      </w:r>
    </w:p>
    <w:p>
      <w:r>
        <w:rPr>
          <w:rFonts w:ascii="Calibri" w:hAnsi="Calibri"/>
          <w:color w:val="222222"/>
        </w:rPr>
        <w:t>For a verified public file, local analysis and a public cache may be possible under the applicable terms. Replace the MW REST retrieval adapter with the documented MoTrPAC download method. Retain provenance, crosswalk, sample-role, and scientific-compatibility checks.</w:t>
      </w:r>
    </w:p>
    <w:p>
      <w:r>
        <w:rPr>
          <w:rFonts w:ascii="Calibri" w:hAnsi="Calibri"/>
          <w:color w:val="222222"/>
        </w:rPr>
        <w:t>For a restricted file, the learner must obtain authorization, honor storage and publication rules, and exclude restricted content from module caches and public repositories.</w:t>
      </w:r>
    </w:p>
    <w:p>
      <w:pPr>
        <w:pStyle w:val="Heading3"/>
      </w:pPr>
      <w:r>
        <w:rPr>
          <w:rFonts w:ascii="Calibri" w:hAnsi="Calibri"/>
          <w:color w:val="222222"/>
        </w:rPr>
        <w:t>Scientific decision</w:t>
      </w:r>
    </w:p>
    <w:p>
      <w:r>
        <w:rPr>
          <w:rFonts w:ascii="Calibri" w:hAnsi="Calibri"/>
          <w:color w:val="222222"/>
        </w:rPr>
        <w:t>Access does not establish compatibility. Compare exercise modality, tissue, participant structure, timepoint, assay, preprocessing, and scale before any integration. A MoTrPAC exercise dataset is not automatically comparable with the race-walking serum data.</w:t>
      </w:r>
    </w:p>
    <w:p>
      <w:pPr>
        <w:pStyle w:val="Heading2"/>
      </w:pPr>
      <w:r>
        <w:rPr>
          <w:rFonts w:ascii="Calibri" w:hAnsi="Calibri"/>
          <w:color w:val="222222"/>
        </w:rPr>
        <w:t>Worked case B - NPH/All of Us</w:t>
      </w:r>
    </w:p>
    <w:p>
      <w:pPr>
        <w:pStyle w:val="Heading3"/>
      </w:pPr>
      <w:r>
        <w:rPr>
          <w:rFonts w:ascii="Calibri" w:hAnsi="Calibri"/>
          <w:color w:val="222222"/>
        </w:rPr>
        <w:t>Scenario</w:t>
      </w:r>
    </w:p>
    <w:p>
      <w:r>
        <w:rPr>
          <w:rFonts w:ascii="Calibri" w:hAnsi="Calibri"/>
          <w:color w:val="222222"/>
        </w:rPr>
        <w:t>The learner wants to adapt the crosswalk and within-study analysis to a specified NPH release in the All of Us Researcher Workbench.</w:t>
      </w:r>
    </w:p>
    <w:p>
      <w:pPr>
        <w:pStyle w:val="Heading3"/>
      </w:pPr>
      <w:r>
        <w:rPr>
          <w:rFonts w:ascii="Calibri" w:hAnsi="Calibri"/>
          <w:color w:val="222222"/>
        </w:rPr>
        <w:t>Evidence expected as of August 10, 2026</w:t>
      </w:r>
    </w:p>
    <w:p>
      <w:pPr>
        <w:numPr>
          <w:ilvl w:val="0"/>
          <w:numId w:val="35"/>
        </w:numPr>
        <w:spacing w:after="80" w:line="300" w:lineRule="auto"/>
      </w:pPr>
      <w:r>
        <w:rPr>
          <w:rFonts w:ascii="Calibri" w:hAnsi="Calibri"/>
          <w:color w:val="222222"/>
        </w:rPr>
        <w:t>The NIH NPH FAQ says NPH data are stored in and analyzed within the All of Us Researcher Workbench and that the platform is available to approved researchers.</w:t>
      </w:r>
    </w:p>
    <w:p>
      <w:pPr>
        <w:numPr>
          <w:ilvl w:val="0"/>
          <w:numId w:val="35"/>
        </w:numPr>
        <w:spacing w:after="80" w:line="300" w:lineRule="auto"/>
      </w:pPr>
      <w:r>
        <w:rPr>
          <w:rFonts w:ascii="Calibri" w:hAnsi="Calibri"/>
          <w:color w:val="222222"/>
        </w:rPr>
        <w:t>All of Us documentation describes Registered and Controlled Tier collections and governed access requirements.</w:t>
      </w:r>
    </w:p>
    <w:p>
      <w:pPr>
        <w:numPr>
          <w:ilvl w:val="0"/>
          <w:numId w:val="35"/>
        </w:numPr>
        <w:spacing w:after="80" w:line="300" w:lineRule="auto"/>
      </w:pPr>
      <w:r>
        <w:rPr>
          <w:rFonts w:ascii="Calibri" w:hAnsi="Calibri"/>
          <w:color w:val="222222"/>
        </w:rPr>
        <w:t>Current support documentation prohibits participant-level data and direct or inferable small counts outside the Workbench and provides dissemination guidance for allowable outputs.</w:t>
      </w:r>
    </w:p>
    <w:p>
      <w:r>
        <w:rPr>
          <w:rFonts w:ascii="Calibri" w:hAnsi="Calibri"/>
          <w:color w:val="222222"/>
        </w:rPr>
        <w:t>Primary pages:</w:t>
      </w:r>
    </w:p>
    <w:p>
      <w:pPr>
        <w:numPr>
          <w:ilvl w:val="0"/>
          <w:numId w:val="36"/>
        </w:numPr>
        <w:spacing w:after="80" w:line="300" w:lineRule="auto"/>
      </w:pPr>
      <w:hyperlink r:id="rId16">
        <w:r>
          <w:rPr>
            <w:rFonts w:ascii="Calibri" w:hAnsi="Calibri"/>
            <w:color w:val="2E74B5"/>
            <w:u w:val="single"/>
            <w:sz w:val="22"/>
          </w:rPr>
          <w:t>NPH FAQ</w:t>
        </w:r>
      </w:hyperlink>
    </w:p>
    <w:p>
      <w:pPr>
        <w:numPr>
          <w:ilvl w:val="0"/>
          <w:numId w:val="36"/>
        </w:numPr>
        <w:spacing w:after="80" w:line="300" w:lineRule="auto"/>
      </w:pPr>
      <w:hyperlink r:id="rId17">
        <w:r>
          <w:rPr>
            <w:rFonts w:ascii="Calibri" w:hAnsi="Calibri"/>
            <w:color w:val="2E74B5"/>
            <w:u w:val="single"/>
            <w:sz w:val="22"/>
          </w:rPr>
          <w:t>All of Us Researcher Workbench</w:t>
        </w:r>
      </w:hyperlink>
    </w:p>
    <w:p>
      <w:pPr>
        <w:numPr>
          <w:ilvl w:val="0"/>
          <w:numId w:val="36"/>
        </w:numPr>
        <w:spacing w:after="80" w:line="300" w:lineRule="auto"/>
      </w:pPr>
      <w:hyperlink r:id="rId18">
        <w:r>
          <w:rPr>
            <w:rFonts w:ascii="Calibri" w:hAnsi="Calibri"/>
            <w:color w:val="2E74B5"/>
            <w:u w:val="single"/>
            <w:sz w:val="22"/>
          </w:rPr>
          <w:t>All of Us policy questions</w:t>
        </w:r>
      </w:hyperlink>
    </w:p>
    <w:p>
      <w:pPr>
        <w:numPr>
          <w:ilvl w:val="0"/>
          <w:numId w:val="36"/>
        </w:numPr>
        <w:spacing w:after="80" w:line="300" w:lineRule="auto"/>
      </w:pPr>
      <w:hyperlink r:id="rId29">
        <w:r>
          <w:rPr>
            <w:rFonts w:ascii="Calibri" w:hAnsi="Calibri"/>
            <w:color w:val="2E74B5"/>
            <w:u w:val="single"/>
            <w:sz w:val="22"/>
          </w:rPr>
          <w:t>All of Us access-tier overview</w:t>
        </w:r>
      </w:hyperlink>
    </w:p>
    <w:p>
      <w:pPr>
        <w:pStyle w:val="Heading3"/>
      </w:pPr>
      <w:r>
        <w:rPr>
          <w:rFonts w:ascii="Calibri" w:hAnsi="Calibri"/>
          <w:color w:val="222222"/>
        </w:rPr>
        <w:t>Correct planning classification</w:t>
      </w:r>
    </w:p>
    <w:p>
      <w:r>
        <w:rPr>
          <w:rFonts w:ascii="Consolas" w:hAnsi="Consolas"/>
          <w:color w:val="1F4D78"/>
          <w:sz w:val="21"/>
          <w:shd w:fill="EEF1F4"/>
        </w:rPr>
        <w:t>Controlled compute</w:t>
      </w:r>
      <w:r>
        <w:rPr>
          <w:rFonts w:ascii="Calibri" w:hAnsi="Calibri"/>
          <w:color w:val="222222"/>
        </w:rPr>
        <w:t xml:space="preserve"> for participant-level analysis, with the exact Registered or Controlled Tier and NPH release verified. Do not claim that no outputs can ever leave; state that only policy-permitted outputs may leave under current dissemination rules.</w:t>
      </w:r>
    </w:p>
    <w:p>
      <w:pPr>
        <w:pStyle w:val="Heading3"/>
      </w:pPr>
      <w:r>
        <w:rPr>
          <w:rFonts w:ascii="Calibri" w:hAnsi="Calibri"/>
          <w:color w:val="222222"/>
        </w:rPr>
        <w:t>Architecture</w:t>
      </w:r>
    </w:p>
    <w:p>
      <w:pPr>
        <w:numPr>
          <w:ilvl w:val="0"/>
          <w:numId w:val="37"/>
        </w:numPr>
        <w:spacing w:after="80" w:line="300" w:lineRule="auto"/>
      </w:pPr>
      <w:r>
        <w:rPr>
          <w:rFonts w:ascii="Calibri" w:hAnsi="Calibri"/>
          <w:color w:val="222222"/>
        </w:rPr>
        <w:t>Move approved analysis code and permitted public reference resources into the Workbench.</w:t>
      </w:r>
    </w:p>
    <w:p>
      <w:pPr>
        <w:numPr>
          <w:ilvl w:val="0"/>
          <w:numId w:val="37"/>
        </w:numPr>
        <w:spacing w:after="80" w:line="300" w:lineRule="auto"/>
      </w:pPr>
      <w:r>
        <w:rPr>
          <w:rFonts w:ascii="Calibri" w:hAnsi="Calibri"/>
          <w:color w:val="222222"/>
        </w:rPr>
        <w:t>Keep participant-level and restricted derived data inside approved storage.</w:t>
      </w:r>
    </w:p>
    <w:p>
      <w:pPr>
        <w:numPr>
          <w:ilvl w:val="0"/>
          <w:numId w:val="37"/>
        </w:numPr>
        <w:spacing w:after="80" w:line="300" w:lineRule="auto"/>
      </w:pPr>
      <w:r>
        <w:rPr>
          <w:rFonts w:ascii="Calibri" w:hAnsi="Calibri"/>
          <w:color w:val="222222"/>
        </w:rPr>
        <w:t>Do not populate the module's local cache with NPH participant data.</w:t>
      </w:r>
    </w:p>
    <w:p>
      <w:pPr>
        <w:numPr>
          <w:ilvl w:val="0"/>
          <w:numId w:val="37"/>
        </w:numPr>
        <w:spacing w:after="80" w:line="300" w:lineRule="auto"/>
      </w:pPr>
      <w:r>
        <w:rPr>
          <w:rFonts w:ascii="Calibri" w:hAnsi="Calibri"/>
          <w:color w:val="222222"/>
        </w:rPr>
        <w:t>Use a dated RefMet snapshot if live external calls are unavailable or inappropriate.</w:t>
      </w:r>
    </w:p>
    <w:p>
      <w:pPr>
        <w:numPr>
          <w:ilvl w:val="0"/>
          <w:numId w:val="37"/>
        </w:numPr>
        <w:spacing w:after="80" w:line="300" w:lineRule="auto"/>
      </w:pPr>
      <w:r>
        <w:rPr>
          <w:rFonts w:ascii="Calibri" w:hAnsi="Calibri"/>
          <w:color w:val="222222"/>
        </w:rPr>
        <w:t>Review plots, counts, tables, code outputs, and model artifacts against current policy before export.</w:t>
      </w:r>
    </w:p>
    <w:p>
      <w:pPr>
        <w:numPr>
          <w:ilvl w:val="0"/>
          <w:numId w:val="37"/>
        </w:numPr>
        <w:spacing w:after="80" w:line="300" w:lineRule="auto"/>
      </w:pPr>
      <w:r>
        <w:rPr>
          <w:rFonts w:ascii="Calibri" w:hAnsi="Calibri"/>
          <w:color w:val="222222"/>
        </w:rPr>
        <w:t>Keep secrets out of code, notebooks, logs, and repositories.</w:t>
      </w:r>
    </w:p>
    <w:p>
      <w:pPr>
        <w:pStyle w:val="Heading3"/>
      </w:pPr>
      <w:r>
        <w:rPr>
          <w:rFonts w:ascii="Calibri" w:hAnsi="Calibri"/>
          <w:color w:val="222222"/>
        </w:rPr>
        <w:t>Scientific decision</w:t>
      </w:r>
    </w:p>
    <w:p>
      <w:r>
        <w:rPr>
          <w:rFonts w:ascii="Calibri" w:hAnsi="Calibri"/>
          <w:color w:val="222222"/>
        </w:rPr>
        <w:t>NPH may support richer diet-response questions, but each module, diet period, test meal, specimen, assay, repeated measure, and target estimand must be defined. Controlled access does not make a study scientifically suitable, and a richer dataset does not justify a vague question.</w:t>
      </w:r>
    </w:p>
    <w:p>
      <w:pPr>
        <w:pStyle w:val="Heading2"/>
      </w:pPr>
      <w:r>
        <w:rPr>
          <w:rFonts w:ascii="Calibri" w:hAnsi="Calibri"/>
          <w:color w:val="222222"/>
        </w:rPr>
        <w:t>Common misconceptions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val="true"/>
          <w:tblHeader w:val="true"/>
        </w:trPr>
        <w:tc>
          <w:tcPr>
            <w:tcW w:type="dxa" w:w="468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Misconception</w:t>
            </w:r>
          </w:p>
        </w:tc>
        <w:tc>
          <w:tcPr>
            <w:tcW w:type="dxa" w:w="468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Corrective feedback</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"MoTrPAC is registration-gated."</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Current documentation shows both public and restricted paths. Assess the exact release and action.</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"MoTrPAC is open."</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Some releases are public, while restricted or embargoed content can require authentication and a DUA.</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"NPH data can never produce an external result."</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Participant-level data remain governed, but policy-permitted aggregate outputs can be disseminated. Verify current rules.</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public landing page means the data can be downloaded."</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Discovery and download are separate actions; document each.</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 have approval, so I can put data in GitHub."</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Authorization is bounded by storage, sharing, and output rules.</w:t>
            </w:r>
          </w:p>
        </w:tc>
      </w:tr>
      <w:tr>
        <w:trPr>
          <w:cantSplit w:val="true"/>
        </w:trPr>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"Access is the only issue."</w:t>
            </w:r>
          </w:p>
        </w:tc>
        <w:tc>
          <w:tcPr>
            <w:tcW w:type="dxa" w:w="468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dataset can be accessible and still be unsuitable for the intended scientific comparison.</w:t>
            </w:r>
          </w:p>
        </w:tc>
      </w:tr>
    </w:tbl>
    <w:p>
      <w:pPr>
        <w:spacing w:before="0" w:after="40"/>
      </w:pPr>
    </w:p>
    <w:p>
      <w:pPr>
        <w:pStyle w:val="Heading2"/>
      </w:pPr>
      <w:r>
        <w:rPr>
          <w:rFonts w:ascii="Calibri" w:hAnsi="Calibri"/>
          <w:color w:val="222222"/>
        </w:rPr>
        <w:t>Suggested scoring, 20 points</w:t>
      </w:r>
    </w:p>
    <w:tbl>
      <w:tblPr>
        <w:tblStyle w:val="TableGrid"/>
        <w:tblW w:type="dxa" w:w="9360"/>
        <w:jc w:val="left"/>
        <w:tblLayout w:type="fixed"/>
        <w:tblLook w:firstColumn="1" w:firstRow="1" w:lastColumn="0" w:lastRow="0" w:noHBand="0" w:noVBand="1" w:val="04A0"/>
        <w:tblInd w:w="120" w:type="dxa"/>
      </w:tblPr>
      <w:tblGrid>
        <w:gridCol w:w="6984"/>
        <w:gridCol w:w="2376"/>
      </w:tblGrid>
      <w:tr>
        <w:trPr>
          <w:cantSplit w:val="true"/>
          <w:tblHeader w:val="true"/>
        </w:trPr>
        <w:tc>
          <w:tcPr>
            <w:tcW w:type="dxa" w:w="698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Criterion</w:t>
            </w:r>
          </w:p>
        </w:tc>
        <w:tc>
          <w:tcPr>
            <w:tcW w:type="dxa" w:w="237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Points</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dataset, release, action, and intended flow scoped</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Current first-party evidence and check dates recorded</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Account/agreement/compute/output rules correctly separated</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Scientific compatibility assessed independently</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Workflow and data-flow adaptations are concrete and compliant</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Decision and unresolved dependencies are explicit</w:t>
            </w:r>
          </w:p>
        </w:tc>
        <w:tc>
          <w:tcPr>
            <w:tcW w:type="dxa" w:w="23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2</w:t>
            </w:r>
          </w:p>
        </w:tc>
      </w:tr>
    </w:tbl>
    <w:p>
      <w:pPr>
        <w:spacing w:before="0" w:after="40"/>
      </w:pPr>
    </w:p>
    <w:p>
      <w:pPr>
        <w:pStyle w:val="Heading2"/>
      </w:pPr>
      <w:r>
        <w:rPr>
          <w:rFonts w:ascii="Calibri" w:hAnsi="Calibri"/>
          <w:color w:val="222222"/>
        </w:rPr>
        <w:t>Minimum pass conditions</w:t>
      </w:r>
    </w:p>
    <w:p>
      <w:r>
        <w:rPr>
          <w:rFonts w:ascii="Calibri" w:hAnsi="Calibri"/>
          <w:color w:val="222222"/>
        </w:rPr>
        <w:t>Regardless of numeric score, require revision if the learner:</w:t>
      </w:r>
    </w:p>
    <w:p>
      <w:pPr>
        <w:numPr>
          <w:ilvl w:val="0"/>
          <w:numId w:val="38"/>
        </w:numPr>
        <w:spacing w:after="80" w:line="300" w:lineRule="auto"/>
      </w:pPr>
      <w:r>
        <w:rPr>
          <w:rFonts w:ascii="Calibri" w:hAnsi="Calibri"/>
          <w:color w:val="222222"/>
        </w:rPr>
        <w:t>Places credentials or sensitive identifiers in the worksheet.</w:t>
      </w:r>
    </w:p>
    <w:p>
      <w:pPr>
        <w:numPr>
          <w:ilvl w:val="0"/>
          <w:numId w:val="38"/>
        </w:numPr>
        <w:spacing w:after="80" w:line="300" w:lineRule="auto"/>
      </w:pPr>
      <w:r>
        <w:rPr>
          <w:rFonts w:ascii="Calibri" w:hAnsi="Calibri"/>
          <w:color w:val="222222"/>
        </w:rPr>
        <w:t>Proposes exporting participant-level governed data without authority.</w:t>
      </w:r>
    </w:p>
    <w:p>
      <w:pPr>
        <w:numPr>
          <w:ilvl w:val="0"/>
          <w:numId w:val="38"/>
        </w:numPr>
        <w:spacing w:after="80" w:line="300" w:lineRule="auto"/>
      </w:pPr>
      <w:r>
        <w:rPr>
          <w:rFonts w:ascii="Calibri" w:hAnsi="Calibri"/>
          <w:color w:val="222222"/>
        </w:rPr>
        <w:t>Uses a program-wide access label without checking the selected release.</w:t>
      </w:r>
    </w:p>
    <w:p>
      <w:pPr>
        <w:numPr>
          <w:ilvl w:val="0"/>
          <w:numId w:val="38"/>
        </w:numPr>
        <w:spacing w:after="80" w:line="300" w:lineRule="auto"/>
      </w:pPr>
      <w:r>
        <w:rPr>
          <w:rFonts w:ascii="Calibri" w:hAnsi="Calibri"/>
          <w:color w:val="222222"/>
        </w:rPr>
        <w:t>Treats access approval as scientific compatibility.</w:t>
      </w:r>
    </w:p>
    <w:p>
      <w:pPr>
        <w:numPr>
          <w:ilvl w:val="0"/>
          <w:numId w:val="38"/>
        </w:numPr>
        <w:spacing w:after="80" w:line="300" w:lineRule="auto"/>
      </w:pPr>
      <w:r>
        <w:rPr>
          <w:rFonts w:ascii="Calibri" w:hAnsi="Calibri"/>
          <w:color w:val="222222"/>
        </w:rPr>
        <w:t>Proposes local or public caching of controlled participant data.</w:t>
      </w:r>
    </w:p>
    <w:p>
      <w:r>
        <w:br w:type="page"/>
      </w:r>
    </w:p>
    <w:p>
      <w:pPr>
        <w:pStyle w:val="Heading1"/>
      </w:pPr>
      <w:r>
        <w:t>Appendix - Data provenance</w:t>
      </w:r>
    </w:p>
    <w:p>
      <w:r>
        <w:rPr>
          <w:rFonts w:ascii="Calibri" w:hAnsi="Calibri"/>
          <w:color w:val="222222"/>
        </w:rPr>
        <w:t>This appendix summarizes the versioned evidence trail used by the release. The machine-readable source is module/data/provenance.json.</w:t>
      </w:r>
    </w:p>
    <w:tbl>
      <w:tblPr>
        <w:tblStyle w:val="TableGrid"/>
        <w:tblW w:type="dxa" w:w="9360"/>
        <w:jc w:val="left"/>
        <w:tblLayout w:type="fixed"/>
        <w:tblLook w:firstColumn="1" w:firstRow="1" w:lastColumn="0" w:lastRow="0" w:noHBand="0" w:noVBand="1" w:val="04A0"/>
        <w:tblInd w:w="120" w:type="dxa"/>
      </w:tblPr>
      <w:tblGrid>
        <w:gridCol w:w="3356"/>
        <w:gridCol w:w="6004"/>
      </w:tblGrid>
      <w:tr>
        <w:trPr>
          <w:cantSplit w:val="true"/>
          <w:tblHeader w:val="true"/>
        </w:trPr>
        <w:tc>
          <w:tcPr>
            <w:tcW w:type="dxa" w:w="335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Provenance field</w:t>
            </w:r>
          </w:p>
        </w:tc>
        <w:tc>
          <w:tcPr>
            <w:tcW w:type="dxa" w:w="600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Release value</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Repository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Metabolomics Workbench / National Metabolomics Data Repository</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Retrieval time (UTC)</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2026-08-10T11:44:11Z</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Access model</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open; no login, registration, credential, or data-use agreement required for the selected public REST records</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Selection status</w:t>
            </w:r>
          </w:p>
        </w:tc>
        <w:tc>
          <w:tcPr>
            <w:tcW w:type="dxa" w:w="6004"/>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locked</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Manifest schema</w:t>
            </w:r>
          </w:p>
        </w:tc>
        <w:tc>
          <w:tcPr>
            <w:tcW w:type="dxa" w:w="6004"/>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1.0.0</w:t>
            </w:r>
          </w:p>
        </w:tc>
      </w:tr>
    </w:tbl>
    <w:p>
      <w:pPr>
        <w:spacing w:before="0" w:after="40"/>
      </w:pPr>
    </w:p>
    <w:p>
      <w:pPr>
        <w:pStyle w:val="Heading2"/>
      </w:pPr>
      <w:r>
        <w:t>Locked study pair</w:t>
      </w:r>
    </w:p>
    <w:tbl>
      <w:tblPr>
        <w:tblStyle w:val="TableGrid"/>
        <w:tblW w:type="dxa" w:w="9360"/>
        <w:jc w:val="left"/>
        <w:tblLayout w:type="fixed"/>
        <w:tblLook w:firstColumn="1" w:firstRow="1" w:lastColumn="0" w:lastRow="0" w:noHBand="0" w:noVBand="1" w:val="04A0"/>
        <w:tblInd w:w="120" w:type="dxa"/>
      </w:tblPr>
      <w:tblGrid>
        <w:gridCol w:w="1313"/>
        <w:gridCol w:w="1365"/>
        <w:gridCol w:w="1623"/>
        <w:gridCol w:w="3691"/>
        <w:gridCol w:w="1368"/>
      </w:tblGrid>
      <w:tr>
        <w:trPr>
          <w:cantSplit w:val="true"/>
          <w:tblHeader w:val="true"/>
        </w:trPr>
        <w:tc>
          <w:tcPr>
            <w:tcW w:type="dxa" w:w="131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Role</w:t>
            </w:r>
          </w:p>
        </w:tc>
        <w:tc>
          <w:tcPr>
            <w:tcW w:type="dxa" w:w="136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Accession</w:t>
            </w:r>
          </w:p>
        </w:tc>
        <w:tc>
          <w:tcPr>
            <w:tcW w:type="dxa" w:w="162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Specimen</w:t>
            </w:r>
          </w:p>
        </w:tc>
        <w:tc>
          <w:tcPr>
            <w:tcW w:type="dxa" w:w="369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Design summary</w:t>
            </w:r>
          </w:p>
        </w:tc>
        <w:tc>
          <w:tcPr>
            <w:tcW w:type="dxa" w:w="136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License</w:t>
            </w:r>
          </w:p>
        </w:tc>
      </w:tr>
      <w:tr>
        <w:trPr>
          <w:cantSplit w:val="true"/>
        </w:trPr>
        <w:tc>
          <w:tcPr>
            <w:tcW w:type="dxa" w:w="131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Diet</w:t>
            </w:r>
          </w:p>
        </w:tc>
        <w:tc>
          <w:tcPr>
            <w:tcW w:type="dxa" w:w="136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ST001521</w:t>
            </w:r>
          </w:p>
        </w:tc>
        <w:tc>
          <w:tcPr>
            <w:tcW w:type="dxa" w:w="162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Blood (plasma)</w:t>
            </w:r>
          </w:p>
        </w:tc>
        <w:tc>
          <w:tcPr>
            <w:tcW w:type="dxa" w:w="369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FARMM longitudinal diet study. Twenty omnivores were randomized to inpatient Western/omnivore or exclusive enteral nutrition (Modulen) feeding; ten established vegans continued their usual diet as outpatients. Plasma was collected at baseline and days 5, 9, 12, and 15.</w:t>
            </w:r>
          </w:p>
        </w:tc>
        <w:tc>
          <w:tcPr>
            <w:tcW w:type="dxa" w:w="136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CC BY 4.0</w:t>
            </w:r>
          </w:p>
        </w:tc>
      </w:tr>
      <w:tr>
        <w:trPr>
          <w:cantSplit w:val="true"/>
        </w:trPr>
        <w:tc>
          <w:tcPr>
            <w:tcW w:type="dxa" w:w="131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Exercise</w:t>
            </w:r>
          </w:p>
        </w:tc>
        <w:tc>
          <w:tcPr>
            <w:tcW w:type="dxa" w:w="136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ST003348</w:t>
            </w:r>
          </w:p>
        </w:tc>
        <w:tc>
          <w:tcPr>
            <w:tcW w:type="dxa" w:w="162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Blood (serum)</w:t>
            </w:r>
          </w:p>
        </w:tc>
        <w:tc>
          <w:tcPr>
            <w:tcW w:type="dxa" w:w="369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Acute endurance race-walking study with fasting pre-exercise REST, immediate post-exercise STAT, 3-hour recovery REC3, and fasting 22-hour recovery REC22 serum samples.</w:t>
            </w:r>
          </w:p>
        </w:tc>
        <w:tc>
          <w:tcPr>
            <w:tcW w:type="dxa" w:w="136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CC BY 4.0</w:t>
            </w:r>
          </w:p>
        </w:tc>
      </w:tr>
    </w:tbl>
    <w:p>
      <w:pPr>
        <w:spacing w:before="0" w:after="40"/>
      </w:pPr>
    </w:p>
    <w:p>
      <w:pPr>
        <w:pStyle w:val="Heading2"/>
      </w:pPr>
      <w:r>
        <w:t>RefMet overlap audit</w:t>
      </w:r>
    </w:p>
    <w:tbl>
      <w:tblPr>
        <w:tblStyle w:val="TableGrid"/>
        <w:tblW w:type="dxa" w:w="9360"/>
        <w:jc w:val="left"/>
        <w:tblLayout w:type="fixed"/>
        <w:tblLook w:firstColumn="1" w:firstRow="1" w:lastColumn="0" w:lastRow="0" w:noHBand="0" w:noVBand="1" w:val="04A0"/>
        <w:tblInd w:w="120" w:type="dxa"/>
      </w:tblPr>
      <w:tblGrid>
        <w:gridCol w:w="6840"/>
        <w:gridCol w:w="2520"/>
      </w:tblGrid>
      <w:tr>
        <w:trPr>
          <w:cantSplit w:val="true"/>
          <w:tblHeader w:val="true"/>
        </w:trPr>
        <w:tc>
          <w:tcPr>
            <w:tcW w:type="dxa" w:w="684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Measure</w:t>
            </w:r>
          </w:p>
        </w:tc>
        <w:tc>
          <w:tcPr>
            <w:tcW w:type="dxa" w:w="252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Value</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Diet unique nonblank RefMet names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510</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Exercise unique nonblank RefMet names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475</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Raw exact overlap</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153</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Known isotope/internal-standard exclusions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Conservative biological overlap</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145</w:t>
            </w:r>
          </w:p>
        </w:tc>
      </w:tr>
    </w:tbl>
    <w:p>
      <w:pPr>
        <w:spacing w:before="0" w:after="40"/>
      </w:pPr>
    </w:p>
    <w:p>
      <w:r>
        <w:rPr>
          <w:rFonts w:ascii="Calibri" w:hAnsi="Calibri"/>
          <w:color w:val="222222"/>
        </w:rPr>
        <w:t>The 145-name count excludes eight known labeled/internal-standard mappings and is the operational biological crosswalk count. Further annotation curation may reduce it. Overlap supports identifier-crosswalk and class-summary exercises; it does not make raw peak areas quantitatively comparable across studies.</w:t>
      </w:r>
    </w:p>
    <w:p>
      <w:pPr>
        <w:pStyle w:val="Heading2"/>
      </w:pPr>
      <w:r>
        <w:t>Sanitization and claim boundaries</w:t>
      </w:r>
    </w:p>
    <w:p>
      <w:r>
        <w:rPr>
          <w:rFonts w:ascii="Calibri" w:hAnsi="Calibri"/>
          <w:color w:val="222222"/>
        </w:rPr>
        <w:t>Files in module/data/raw are exact source snapshots and must not be edited in place. Sanitized/derived tables must retain source IDs and record these transformations.</w:t>
      </w:r>
    </w:p>
    <w:p>
      <w:pPr>
        <w:pStyle w:val="Heading3"/>
      </w:pPr>
      <w:r>
        <w:rPr>
          <w:rFonts w:ascii="Calibri" w:hAnsi="Calibri"/>
          <w:color w:val="222222"/>
        </w:rPr>
        <w:t>ST001521 Factors</w:t>
      </w:r>
    </w:p>
    <w:p>
      <w:pPr>
        <w:numPr>
          <w:ilvl w:val="0"/>
          <w:numId w:val="39"/>
        </w:numPr>
        <w:spacing w:after="80" w:line="300" w:lineRule="auto"/>
      </w:pPr>
      <w:r>
        <w:rPr>
          <w:rFonts w:ascii="Calibri" w:hAnsi="Calibri"/>
          <w:color w:val="222222"/>
        </w:rPr>
        <w:t>Trim factor-field whitespace without changing repository labels.</w:t>
      </w:r>
    </w:p>
    <w:p>
      <w:pPr>
        <w:numPr>
          <w:ilvl w:val="0"/>
          <w:numId w:val="39"/>
        </w:numPr>
        <w:spacing w:after="80" w:line="300" w:lineRule="auto"/>
      </w:pPr>
      <w:r>
        <w:rPr>
          <w:rFonts w:ascii="Calibri" w:hAnsi="Calibri"/>
          <w:color w:val="222222"/>
        </w:rPr>
        <w:t>Exclude QPP01 through QPP10 and rows whose Study_Diet, Sex, and Time factors are NA from biological analyses; retain them only as pooled-QC records.</w:t>
      </w:r>
    </w:p>
    <w:p>
      <w:pPr>
        <w:numPr>
          <w:ilvl w:val="0"/>
          <w:numId w:val="39"/>
        </w:numPr>
        <w:spacing w:after="80" w:line="300" w:lineRule="auto"/>
      </w:pPr>
      <w:r>
        <w:rPr>
          <w:rFonts w:ascii="Calibri" w:hAnsi="Calibri"/>
          <w:color w:val="222222"/>
        </w:rPr>
        <w:t>Derive biological participant_id from the leading four digits of local_sample_id and verify observed visits rather than forcing a balanced panel.</w:t>
      </w:r>
    </w:p>
    <w:p>
      <w:pPr>
        <w:numPr>
          <w:ilvl w:val="0"/>
          <w:numId w:val="39"/>
        </w:numPr>
        <w:spacing w:after="80" w:line="300" w:lineRule="auto"/>
      </w:pPr>
      <w:r>
        <w:rPr>
          <w:rFonts w:ascii="Calibri" w:hAnsi="Calibri"/>
          <w:color w:val="222222"/>
        </w:rPr>
        <w:t>Preserve Western as the factor label and document that the narrative calls this arm omnivore.</w:t>
      </w:r>
    </w:p>
    <w:p>
      <w:pPr>
        <w:numPr>
          <w:ilvl w:val="0"/>
          <w:numId w:val="39"/>
        </w:numPr>
        <w:spacing w:after="80" w:line="300" w:lineRule="auto"/>
      </w:pPr>
      <w:r>
        <w:rPr>
          <w:rFonts w:ascii="Calibri" w:hAnsi="Calibri"/>
          <w:color w:val="222222"/>
        </w:rPr>
        <w:t>Use the valid split study REST endpoints; do not ingest malformed AN002533, AN002535, or AN002536 mwTab JSON.</w:t>
      </w:r>
    </w:p>
    <w:p>
      <w:pPr>
        <w:pStyle w:val="Heading3"/>
      </w:pPr>
      <w:r>
        <w:rPr>
          <w:rFonts w:ascii="Calibri" w:hAnsi="Calibri"/>
          <w:color w:val="222222"/>
        </w:rPr>
        <w:t>ST003348 Factors</w:t>
      </w:r>
    </w:p>
    <w:p>
      <w:pPr>
        <w:numPr>
          <w:ilvl w:val="0"/>
          <w:numId w:val="40"/>
        </w:numPr>
        <w:spacing w:after="80" w:line="300" w:lineRule="auto"/>
      </w:pPr>
      <w:r>
        <w:rPr>
          <w:rFonts w:ascii="Calibri" w:hAnsi="Calibri"/>
          <w:color w:val="222222"/>
        </w:rPr>
        <w:t>Derive participant_id from the integer before the underscore in local_sample_id.</w:t>
      </w:r>
    </w:p>
    <w:p>
      <w:pPr>
        <w:numPr>
          <w:ilvl w:val="0"/>
          <w:numId w:val="40"/>
        </w:numPr>
        <w:spacing w:after="80" w:line="300" w:lineRule="auto"/>
      </w:pPr>
      <w:r>
        <w:rPr>
          <w:rFonts w:ascii="Calibri" w:hAnsi="Calibri"/>
          <w:color w:val="222222"/>
        </w:rPr>
        <w:t>Validate suffixes 1, 2, 3, and 4 against rest, stat, rec3, and rec22, respectively.</w:t>
      </w:r>
    </w:p>
    <w:p>
      <w:pPr>
        <w:numPr>
          <w:ilvl w:val="0"/>
          <w:numId w:val="40"/>
        </w:numPr>
        <w:spacing w:after="80" w:line="300" w:lineRule="auto"/>
      </w:pPr>
      <w:r>
        <w:rPr>
          <w:rFonts w:ascii="Calibri" w:hAnsi="Calibri"/>
          <w:color w:val="222222"/>
        </w:rPr>
        <w:t>Retain source sample_source=blood while setting harmonized specimen to serum from the collection block.</w:t>
      </w:r>
    </w:p>
    <w:p>
      <w:pPr>
        <w:numPr>
          <w:ilvl w:val="0"/>
          <w:numId w:val="40"/>
        </w:numPr>
        <w:spacing w:after="80" w:line="300" w:lineRule="auto"/>
      </w:pPr>
      <w:r>
        <w:rPr>
          <w:rFonts w:ascii="Calibri" w:hAnsi="Calibri"/>
          <w:color w:val="222222"/>
        </w:rPr>
        <w:t>Treat the treatment-block value no treatment as a metadata defect; define the exercise contrast from the documented protocol, collection, and time factors.</w:t>
      </w:r>
    </w:p>
    <w:p>
      <w:pPr>
        <w:pStyle w:val="Heading3"/>
      </w:pPr>
      <w:r>
        <w:rPr>
          <w:rFonts w:ascii="Calibri" w:hAnsi="Calibri"/>
          <w:color w:val="222222"/>
        </w:rPr>
        <w:t>Cross Study Metabolites</w:t>
      </w:r>
    </w:p>
    <w:p>
      <w:pPr>
        <w:numPr>
          <w:ilvl w:val="0"/>
          <w:numId w:val="41"/>
        </w:numPr>
        <w:spacing w:after="80" w:line="300" w:lineRule="auto"/>
      </w:pPr>
      <w:r>
        <w:rPr>
          <w:rFonts w:ascii="Calibri" w:hAnsi="Calibri"/>
          <w:color w:val="222222"/>
        </w:rPr>
        <w:t>Remove the eight explicit isotope-labeled/internal-standard mappings listed in primary_pair.overlap before constructing the biological RefMet crosswalk.</w:t>
      </w:r>
    </w:p>
    <w:p>
      <w:pPr>
        <w:numPr>
          <w:ilvl w:val="0"/>
          <w:numId w:val="41"/>
        </w:numPr>
        <w:spacing w:after="80" w:line="300" w:lineRule="auto"/>
      </w:pPr>
      <w:r>
        <w:rPr>
          <w:rFonts w:ascii="Calibri" w:hAnsi="Calibri"/>
          <w:color w:val="222222"/>
        </w:rPr>
        <w:t>Keep analysis_id attached to duplicated RefMet names unless a documented within-study collapse rule is applied.</w:t>
      </w:r>
    </w:p>
    <w:p>
      <w:pPr>
        <w:numPr>
          <w:ilvl w:val="0"/>
          <w:numId w:val="41"/>
        </w:numPr>
        <w:spacing w:after="80" w:line="300" w:lineRule="auto"/>
      </w:pPr>
      <w:r>
        <w:rPr>
          <w:rFonts w:ascii="Calibri" w:hAnsi="Calibri"/>
          <w:color w:val="222222"/>
        </w:rPr>
        <w:t>Never concatenate uncalibrated peak areas across the plasma and serum studies.</w:t>
      </w:r>
    </w:p>
    <w:p>
      <w:pPr>
        <w:pStyle w:val="Heading2"/>
      </w:pPr>
      <w:r>
        <w:t>Cached-source integrity</w:t>
      </w:r>
    </w:p>
    <w:tbl>
      <w:tblPr>
        <w:tblStyle w:val="TableGrid"/>
        <w:tblW w:type="dxa" w:w="9360"/>
        <w:jc w:val="left"/>
        <w:tblLayout w:type="fixed"/>
        <w:tblLook w:firstColumn="1" w:firstRow="1" w:lastColumn="0" w:lastRow="0" w:noHBand="0" w:noVBand="1" w:val="04A0"/>
        <w:tblInd w:w="120" w:type="dxa"/>
      </w:tblPr>
      <w:tblGrid>
        <w:gridCol w:w="1621"/>
        <w:gridCol w:w="2445"/>
        <w:gridCol w:w="1721"/>
        <w:gridCol w:w="3573"/>
      </w:tblGrid>
      <w:tr>
        <w:trPr>
          <w:cantSplit w:val="true"/>
          <w:tblHeader w:val="true"/>
        </w:trPr>
        <w:tc>
          <w:tcPr>
            <w:tcW w:type="dxa" w:w="162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Study</w:t>
            </w:r>
          </w:p>
        </w:tc>
        <w:tc>
          <w:tcPr>
            <w:tcW w:type="dxa" w:w="244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Cached file</w:t>
            </w:r>
          </w:p>
        </w:tc>
        <w:tc>
          <w:tcPr>
            <w:tcW w:type="dxa" w:w="172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Bytes</w:t>
            </w:r>
          </w:p>
        </w:tc>
        <w:tc>
          <w:tcPr>
            <w:tcW w:type="dxa" w:w="357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SHA-256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ST001521_summary.json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575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d2199dc631f33c09b9d9cb13f64a9c5233e1b6b7fe3f372e4cb8e947817541d9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ST001521_factors.json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49194</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7b88427c7434f20538aff398f8ddac7e88d666696f4e19992c85d6017fe0372f</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ST001521_analysis.json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2025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72d60232e8a0f39eb24c790cabe7bd1585a1e852eb58f4b0288703273a0c70ac</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ST001521_metabolites.json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95806</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7686f09d81f632d3996d5a5eceaedf31632a3c160d291f21cfa574d680251a53</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ST001521_data.json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1997104</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5528f4a721189f45de65d65b325727177bc5355181f571827f6030a7e7676c06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ST003348_summary.json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621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3766073c903b8975c2959fbb9c562b4cee531cddc02e749f380915354b193bee</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ST003348_factors.json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11791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e31bb851873fee1d185a2d91d8b5553637145d799793d416ecf2be6c3f8c3329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ST003348_analysis.json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1051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27f654c3cee086b2310ebe4aeee64f5a835949e99c8b0da4736e6316652c4a19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ST003348_metabolites.json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106651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492be3dd45c6bd741b64634249e4acc89a3d0c9750f98f816215305cff5ef566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ST003348_data.json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1076605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0610a28e0e858524adefee5ee2d0dca46cf75c9a5bab1ebcb659e2573715adfb</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refmet_classification.json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31375639</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b11b6f09c5f068226ac440b815c693af0255e506a2cb33736a265004a95cb50d</w:t>
            </w:r>
          </w:p>
        </w:tc>
      </w:tr>
    </w:tbl>
    <w:p>
      <w:pPr>
        <w:spacing w:before="0" w:after="40"/>
      </w:pPr>
    </w:p>
    <w:p>
      <w:pPr>
        <w:pStyle w:val="Heading1"/>
      </w:pPr>
      <w:r>
        <w:t>Data attribution and reuse</w:t>
      </w:r>
    </w:p>
    <w:p>
      <w:pPr>
        <w:keepNext/>
        <w:spacing w:before="0" w:after="20"/>
      </w:pPr>
    </w:p>
    <w:p>
      <w:pPr>
        <w:pStyle w:val="Heading2"/>
      </w:pPr>
      <w:r>
        <w:rPr>
          <w:rFonts w:ascii="Calibri" w:hAnsi="Calibri"/>
          <w:color w:val="222222"/>
        </w:rPr>
        <w:t>Primary public datasets</w:t>
      </w:r>
    </w:p>
    <w:p>
      <w:r>
        <w:rPr>
          <w:rFonts w:ascii="Calibri" w:hAnsi="Calibri"/>
          <w:color w:val="222222"/>
        </w:rPr>
        <w:t>This training package includes cached copies and derived educational artifacts from two public Metabolomics Workbench/NMDR studies. Each study's public summary endpoint reports a Creative Commons Attribution 4.0 International license.</w:t>
      </w:r>
    </w:p>
    <w:p>
      <w:pPr>
        <w:keepNext/>
        <w:spacing w:before="0" w:after="20"/>
      </w:pPr>
    </w:p>
    <w:p>
      <w:pPr>
        <w:pStyle w:val="Heading3"/>
      </w:pPr>
      <w:r>
        <w:rPr>
          <w:rFonts w:ascii="Calibri" w:hAnsi="Calibri"/>
          <w:color w:val="222222"/>
        </w:rPr>
        <w:t>Diet-anchored case study</w:t>
      </w:r>
    </w:p>
    <w:p>
      <w:pPr>
        <w:numPr>
          <w:ilvl w:val="0"/>
          <w:numId w:val="42"/>
        </w:numPr>
        <w:spacing w:after="40" w:line="264" w:lineRule="auto"/>
      </w:pPr>
      <w:r>
        <w:rPr>
          <w:rFonts w:ascii="Calibri" w:hAnsi="Calibri"/>
          <w:color w:val="222222"/>
        </w:rPr>
        <w:t xml:space="preserve">Metabolomics Workbench study: </w:t>
      </w:r>
      <w:r>
        <w:rPr>
          <w:rFonts w:ascii="Consolas" w:hAnsi="Consolas"/>
          <w:color w:val="1F4D78"/>
          <w:sz w:val="21"/>
          <w:shd w:fill="EEF1F4"/>
        </w:rPr>
        <w:t>ST001521</w:t>
      </w:r>
    </w:p>
    <w:p>
      <w:pPr>
        <w:numPr>
          <w:ilvl w:val="0"/>
          <w:numId w:val="42"/>
        </w:numPr>
        <w:spacing w:after="40" w:line="264" w:lineRule="auto"/>
      </w:pPr>
      <w:r>
        <w:rPr>
          <w:rFonts w:ascii="Calibri" w:hAnsi="Calibri"/>
          <w:color w:val="222222"/>
        </w:rPr>
        <w:t xml:space="preserve">Project: </w:t>
      </w:r>
      <w:r>
        <w:rPr>
          <w:rFonts w:ascii="Consolas" w:hAnsi="Consolas"/>
          <w:color w:val="1F4D78"/>
          <w:sz w:val="21"/>
          <w:shd w:fill="EEF1F4"/>
        </w:rPr>
        <w:t>PR001024</w:t>
      </w:r>
    </w:p>
    <w:p>
      <w:pPr>
        <w:numPr>
          <w:ilvl w:val="0"/>
          <w:numId w:val="42"/>
        </w:numPr>
        <w:spacing w:after="40" w:line="264" w:lineRule="auto"/>
      </w:pPr>
      <w:r>
        <w:rPr>
          <w:rFonts w:ascii="Calibri" w:hAnsi="Calibri"/>
          <w:color w:val="222222"/>
        </w:rPr>
        <w:t xml:space="preserve">Project DOI: </w:t>
      </w:r>
      <w:hyperlink r:id="rId30">
        <w:r>
          <w:rPr>
            <w:rFonts w:ascii="Calibri" w:hAnsi="Calibri"/>
            <w:color w:val="2E74B5"/>
            <w:u w:val="single"/>
            <w:sz w:val="22"/>
          </w:rPr>
          <w:t>10.21228/M8B984</w:t>
        </w:r>
      </w:hyperlink>
    </w:p>
    <w:p>
      <w:pPr>
        <w:numPr>
          <w:ilvl w:val="0"/>
          <w:numId w:val="42"/>
        </w:numPr>
        <w:spacing w:after="40" w:line="264" w:lineRule="auto"/>
      </w:pPr>
      <w:r>
        <w:rPr>
          <w:rFonts w:ascii="Calibri" w:hAnsi="Calibri"/>
          <w:color w:val="222222"/>
        </w:rPr>
        <w:t xml:space="preserve">Repository record: </w:t>
      </w:r>
      <w:hyperlink r:id="rId31">
        <w:r>
          <w:rPr>
            <w:rFonts w:ascii="Calibri" w:hAnsi="Calibri"/>
            <w:color w:val="2E74B5"/>
            <w:u w:val="single"/>
            <w:sz w:val="22"/>
          </w:rPr>
          <w:t>Metabolomics Workbench ST001521</w:t>
        </w:r>
      </w:hyperlink>
    </w:p>
    <w:p>
      <w:pPr>
        <w:numPr>
          <w:ilvl w:val="0"/>
          <w:numId w:val="42"/>
        </w:numPr>
        <w:spacing w:after="40" w:line="264" w:lineRule="auto"/>
      </w:pPr>
      <w:r>
        <w:rPr>
          <w:rFonts w:ascii="Calibri" w:hAnsi="Calibri"/>
          <w:color w:val="222222"/>
        </w:rPr>
        <w:t xml:space="preserve">License: </w:t>
      </w:r>
      <w:hyperlink r:id="rId32">
        <w:r>
          <w:rPr>
            <w:rFonts w:ascii="Calibri" w:hAnsi="Calibri"/>
            <w:color w:val="2E74B5"/>
            <w:u w:val="single"/>
            <w:sz w:val="22"/>
          </w:rPr>
          <w:t>CC BY 4.0</w:t>
        </w:r>
      </w:hyperlink>
    </w:p>
    <w:p>
      <w:pPr>
        <w:keepNext/>
        <w:spacing w:before="0" w:after="20"/>
      </w:pPr>
    </w:p>
    <w:p>
      <w:pPr>
        <w:pStyle w:val="Heading3"/>
      </w:pPr>
      <w:r>
        <w:rPr>
          <w:rFonts w:ascii="Calibri" w:hAnsi="Calibri"/>
          <w:color w:val="222222"/>
        </w:rPr>
        <w:t>Exercise-anchored case study</w:t>
      </w:r>
    </w:p>
    <w:p>
      <w:pPr>
        <w:numPr>
          <w:ilvl w:val="0"/>
          <w:numId w:val="43"/>
        </w:numPr>
        <w:spacing w:after="40" w:line="264" w:lineRule="auto"/>
      </w:pPr>
      <w:r>
        <w:rPr>
          <w:rFonts w:ascii="Calibri" w:hAnsi="Calibri"/>
          <w:color w:val="222222"/>
        </w:rPr>
        <w:t xml:space="preserve">Metabolomics Workbench study: </w:t>
      </w:r>
      <w:r>
        <w:rPr>
          <w:rFonts w:ascii="Consolas" w:hAnsi="Consolas"/>
          <w:color w:val="1F4D78"/>
          <w:sz w:val="21"/>
          <w:shd w:fill="EEF1F4"/>
        </w:rPr>
        <w:t>ST003348</w:t>
      </w:r>
    </w:p>
    <w:p>
      <w:pPr>
        <w:numPr>
          <w:ilvl w:val="0"/>
          <w:numId w:val="43"/>
        </w:numPr>
        <w:spacing w:after="40" w:line="264" w:lineRule="auto"/>
      </w:pPr>
      <w:r>
        <w:rPr>
          <w:rFonts w:ascii="Calibri" w:hAnsi="Calibri"/>
          <w:color w:val="222222"/>
        </w:rPr>
        <w:t xml:space="preserve">Project: </w:t>
      </w:r>
      <w:r>
        <w:rPr>
          <w:rFonts w:ascii="Consolas" w:hAnsi="Consolas"/>
          <w:color w:val="1F4D78"/>
          <w:sz w:val="21"/>
          <w:shd w:fill="EEF1F4"/>
        </w:rPr>
        <w:t>PR002083</w:t>
      </w:r>
    </w:p>
    <w:p>
      <w:pPr>
        <w:numPr>
          <w:ilvl w:val="0"/>
          <w:numId w:val="43"/>
        </w:numPr>
        <w:spacing w:after="40" w:line="264" w:lineRule="auto"/>
      </w:pPr>
      <w:r>
        <w:rPr>
          <w:rFonts w:ascii="Calibri" w:hAnsi="Calibri"/>
          <w:color w:val="222222"/>
        </w:rPr>
        <w:t xml:space="preserve">Project DOI: </w:t>
      </w:r>
      <w:hyperlink r:id="rId33">
        <w:r>
          <w:rPr>
            <w:rFonts w:ascii="Calibri" w:hAnsi="Calibri"/>
            <w:color w:val="2E74B5"/>
            <w:u w:val="single"/>
            <w:sz w:val="22"/>
          </w:rPr>
          <w:t>10.21228/M8C802</w:t>
        </w:r>
      </w:hyperlink>
    </w:p>
    <w:p>
      <w:pPr>
        <w:numPr>
          <w:ilvl w:val="0"/>
          <w:numId w:val="43"/>
        </w:numPr>
        <w:spacing w:after="40" w:line="264" w:lineRule="auto"/>
      </w:pPr>
      <w:r>
        <w:rPr>
          <w:rFonts w:ascii="Calibri" w:hAnsi="Calibri"/>
          <w:color w:val="222222"/>
        </w:rPr>
        <w:t xml:space="preserve">Repository record: </w:t>
      </w:r>
      <w:hyperlink r:id="rId34">
        <w:r>
          <w:rPr>
            <w:rFonts w:ascii="Calibri" w:hAnsi="Calibri"/>
            <w:color w:val="2E74B5"/>
            <w:u w:val="single"/>
            <w:sz w:val="22"/>
          </w:rPr>
          <w:t>Metabolomics Workbench ST003348</w:t>
        </w:r>
      </w:hyperlink>
    </w:p>
    <w:p>
      <w:pPr>
        <w:numPr>
          <w:ilvl w:val="0"/>
          <w:numId w:val="43"/>
        </w:numPr>
        <w:spacing w:after="40" w:line="264" w:lineRule="auto"/>
      </w:pPr>
      <w:r>
        <w:rPr>
          <w:rFonts w:ascii="Calibri" w:hAnsi="Calibri"/>
          <w:color w:val="222222"/>
        </w:rPr>
        <w:t xml:space="preserve">License: </w:t>
      </w:r>
      <w:hyperlink r:id="rId32">
        <w:r>
          <w:rPr>
            <w:rFonts w:ascii="Calibri" w:hAnsi="Calibri"/>
            <w:color w:val="2E74B5"/>
            <w:u w:val="single"/>
            <w:sz w:val="22"/>
          </w:rPr>
          <w:t>CC BY 4.0</w:t>
        </w:r>
      </w:hyperlink>
    </w:p>
    <w:p>
      <w:pPr>
        <w:keepNext/>
        <w:spacing w:before="0" w:after="20"/>
      </w:pPr>
    </w:p>
    <w:p>
      <w:pPr>
        <w:pStyle w:val="Heading3"/>
      </w:pPr>
      <w:r>
        <w:rPr>
          <w:rFonts w:ascii="Calibri" w:hAnsi="Calibri"/>
          <w:color w:val="222222"/>
        </w:rPr>
        <w:t>RefMet classification</w:t>
      </w:r>
    </w:p>
    <w:p>
      <w:pPr>
        <w:numPr>
          <w:ilvl w:val="0"/>
          <w:numId w:val="44"/>
        </w:numPr>
        <w:spacing w:after="40" w:line="264" w:lineRule="auto"/>
      </w:pPr>
      <w:r>
        <w:rPr>
          <w:rFonts w:ascii="Calibri" w:hAnsi="Calibri"/>
          <w:color w:val="222222"/>
        </w:rPr>
        <w:t>Source: Metabolomics Workbench RefMet REST service</w:t>
      </w:r>
    </w:p>
    <w:p>
      <w:pPr>
        <w:numPr>
          <w:ilvl w:val="0"/>
          <w:numId w:val="44"/>
        </w:numPr>
        <w:spacing w:after="40" w:line="264" w:lineRule="auto"/>
      </w:pPr>
      <w:r>
        <w:rPr>
          <w:rFonts w:ascii="Calibri" w:hAnsi="Calibri"/>
          <w:color w:val="222222"/>
        </w:rPr>
        <w:t xml:space="preserve">Endpoint: </w:t>
      </w:r>
      <w:hyperlink r:id="rId35">
        <w:r>
          <w:rPr>
            <w:rFonts w:ascii="Calibri" w:hAnsi="Calibri"/>
            <w:color w:val="2E74B5"/>
            <w:u w:val="single"/>
            <w:sz w:val="22"/>
          </w:rPr>
          <w:t>RefMet classification REST endpoint</w:t>
        </w:r>
      </w:hyperlink>
    </w:p>
    <w:p>
      <w:pPr>
        <w:numPr>
          <w:ilvl w:val="0"/>
          <w:numId w:val="44"/>
        </w:numPr>
        <w:spacing w:after="40" w:line="264" w:lineRule="auto"/>
      </w:pPr>
      <w:r>
        <w:rPr>
          <w:rFonts w:ascii="Calibri" w:hAnsi="Calibri"/>
          <w:color w:val="222222"/>
        </w:rPr>
        <w:t xml:space="preserve">Documentation: </w:t>
      </w:r>
      <w:hyperlink r:id="rId11">
        <w:r>
          <w:rPr>
            <w:rFonts w:ascii="Calibri" w:hAnsi="Calibri"/>
            <w:color w:val="2E74B5"/>
            <w:u w:val="single"/>
            <w:sz w:val="22"/>
          </w:rPr>
          <w:t>Metabolomics Workbench REST documentation</w:t>
        </w:r>
      </w:hyperlink>
    </w:p>
    <w:p>
      <w:r>
        <w:rPr>
          <w:rFonts w:ascii="Calibri" w:hAnsi="Calibri"/>
          <w:color w:val="222222"/>
        </w:rPr>
        <w:t xml:space="preserve">Exact retrieval times, response sizes, SHA-256 checksums, release fields, and transformations are recorded in </w:t>
      </w:r>
      <w:r>
        <w:rPr>
          <w:rFonts w:ascii="Consolas" w:hAnsi="Consolas"/>
          <w:color w:val="1F4D78"/>
          <w:sz w:val="21"/>
          <w:shd w:fill="EEF1F4"/>
        </w:rPr>
        <w:t>module/data/provenance.json</w:t>
      </w:r>
      <w:r>
        <w:rPr>
          <w:rFonts w:ascii="Calibri" w:hAnsi="Calibri"/>
          <w:color w:val="222222"/>
        </w:rPr>
        <w:t xml:space="preserve"> in the repository and analysis bundle.</w:t>
      </w:r>
    </w:p>
    <w:p>
      <w:pPr>
        <w:keepNext/>
        <w:spacing w:before="0" w:after="20"/>
      </w:pPr>
    </w:p>
    <w:p>
      <w:pPr>
        <w:pStyle w:val="Heading2"/>
      </w:pPr>
      <w:r>
        <w:rPr>
          <w:rFonts w:ascii="Calibri" w:hAnsi="Calibri"/>
          <w:color w:val="222222"/>
        </w:rPr>
        <w:t>Training materials</w:t>
      </w:r>
    </w:p>
    <w:p>
      <w:r>
        <w:rPr>
          <w:rFonts w:ascii="Calibri" w:hAnsi="Calibri"/>
          <w:color w:val="222222"/>
        </w:rPr>
        <w:t xml:space="preserve">Except for third-party material identified here or in </w:t>
      </w:r>
      <w:r>
        <w:rPr>
          <w:rFonts w:ascii="Consolas" w:hAnsi="Consolas"/>
          <w:color w:val="1F4D78"/>
          <w:sz w:val="21"/>
          <w:shd w:fill="EEF1F4"/>
        </w:rPr>
        <w:t>module/data/provenance.json</w:t>
      </w:r>
      <w:r>
        <w:rPr>
          <w:rFonts w:ascii="Calibri" w:hAnsi="Calibri"/>
          <w:color w:val="222222"/>
        </w:rPr>
        <w:t xml:space="preserve">, the lesson text, original templates, notebook narrative and code, scripts, figures, and assessments in this package are licensed under the </w:t>
      </w:r>
      <w:hyperlink r:id="rId32">
        <w:r>
          <w:rPr>
            <w:rFonts w:ascii="Calibri" w:hAnsi="Calibri"/>
            <w:color w:val="2E74B5"/>
            <w:u w:val="single"/>
            <w:sz w:val="22"/>
          </w:rPr>
          <w:t>Creative Commons Attribution 4.0 International Public License</w:t>
        </w:r>
      </w:hyperlink>
      <w:r>
        <w:rPr>
          <w:rFonts w:ascii="Calibri" w:hAnsi="Calibri"/>
          <w:color w:val="222222"/>
        </w:rPr>
        <w:t xml:space="preserve">. Reusers must give appropriate credit, link to the license, and indicate changes. The repository and release packages include the full English legal code; it is also available from </w:t>
      </w:r>
      <w:hyperlink r:id="rId36">
        <w:r>
          <w:rPr>
            <w:rFonts w:ascii="Calibri" w:hAnsi="Calibri"/>
            <w:color w:val="2E74B5"/>
            <w:u w:val="single"/>
            <w:sz w:val="22"/>
          </w:rPr>
          <w:t>Creative Commons</w:t>
        </w:r>
      </w:hyperlink>
      <w:r>
        <w:rPr>
          <w:rFonts w:ascii="Calibri" w:hAnsi="Calibri"/>
          <w:color w:val="222222"/>
        </w:rPr>
        <w:t>.</w:t>
      </w:r>
    </w:p>
    <w:p>
      <w:r>
        <w:rPr>
          <w:rFonts w:ascii="Calibri" w:hAnsi="Calibri"/>
          <w:color w:val="222222"/>
        </w:rPr>
        <w:t>This grant does not relicense third-party datasets, repository records, software dependencies, trademarks, or logos. Dataset attribution does not imply that the original investigators, the Metabolomics Workbench, NIH, CFDE, MoTrPAC, NPH, All of Us, or any affiliated institution reviewed or endorsed the module.</w:t>
      </w:r>
    </w:p>
    <w:p>
      <w:pPr>
        <w:keepNext/>
        <w:spacing w:before="0" w:after="20"/>
      </w:pPr>
    </w:p>
    <w:p>
      <w:pPr>
        <w:pStyle w:val="Heading2"/>
      </w:pPr>
      <w:r>
        <w:rPr>
          <w:rFonts w:ascii="Calibri" w:hAnsi="Calibri"/>
          <w:color w:val="222222"/>
        </w:rPr>
        <w:t>Interpretation notice</w:t>
      </w:r>
    </w:p>
    <w:p>
      <w:r>
        <w:rPr>
          <w:rFonts w:ascii="Calibri" w:hAnsi="Calibri"/>
          <w:color w:val="222222"/>
        </w:rPr>
        <w:t>The package uses these studies to teach metadata reasoning, identifier harmonization, and within-study exploratory analysis. It does not treat the studies as one experiment, estimate a diet-versus-exercise causal effect, or claim that plasma and serum peak areas are quantitatively interchangeable.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6570"/>
        <w:sz w:val="17"/>
      </w:rPr>
      <w:t xml:space="preserve">Metabo-Diet  |  Page </w:t>
    </w:r>
    <w:r>
      <w:fldChar w:fldCharType="begin"/>
      <w:instrText xml:space="preserve">PAGE</w:instrText>
      <w:fldChar w:fldCharType="separate"/>
      <w:t>1</w:t>
      <w:fldChar w:fldCharType="end"/>
    </w:r>
    <w:r>
      <w:rPr>
        <w:rFonts w:ascii="Calibri" w:hAnsi="Calibri"/>
        <w:color w:val="5A6570"/>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b/>
        <w:color w:val="5A6570"/>
        <w:sz w:val="17"/>
      </w:rPr>
      <w:t>METABO-DIET  |  INSTRUCTOR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multilevel"/>
    <w:lvl w:ilvl="0">
      <w:start w:val="1"/>
      <w:numFmt w:val="bullet"/>
      <w:lvlText w:val="•"/>
      <w:lvlJc w:val="left"/>
      <w:pPr>
        <w:tabs>
          <w:tab w:val="num" w:pos="540"/>
        </w:tabs>
        <w:ind w:left="540" w:hanging="270"/>
        <w:spacing w:after="80" w:line="300" w:lineRule="auto"/>
      </w:pPr>
      <w:rPr>
        <w:rFonts w:ascii="Symbol" w:hAnsi="Symbol"/>
      </w:rPr>
    </w:lvl>
    <w:lvl w:ilvl="1">
      <w:start w:val="1"/>
      <w:numFmt w:val="bullet"/>
      <w:lvlText w:val="•"/>
      <w:lvlJc w:val="left"/>
      <w:pPr>
        <w:tabs>
          <w:tab w:val="num" w:pos="900"/>
        </w:tabs>
        <w:ind w:left="900" w:hanging="270"/>
        <w:spacing w:after="80" w:line="300" w:lineRule="auto"/>
      </w:pPr>
      <w:rPr>
        <w:rFonts w:ascii="Symbol" w:hAnsi="Symbol"/>
      </w:rPr>
    </w:lvl>
    <w:lvl w:ilvl="2">
      <w:start w:val="1"/>
      <w:numFmt w:val="bullet"/>
      <w:lvlText w:val="•"/>
      <w:lvlJc w:val="left"/>
      <w:pPr>
        <w:tabs>
          <w:tab w:val="num" w:pos="1260"/>
        </w:tabs>
        <w:ind w:left="1260" w:hanging="270"/>
        <w:spacing w:after="80" w:line="300" w:lineRule="auto"/>
      </w:pPr>
      <w:rPr>
        <w:rFonts w:ascii="Symbol" w:hAnsi="Symbol"/>
      </w:rPr>
    </w:lvl>
  </w:abstractNum>
  <w:abstractNum w:abstractNumId="10">
    <w:nsid w:val="0000000A"/>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9"/>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9"/>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 w:numId="16">
    <w:abstractNumId w:val="10"/>
    <w:lvlOverride w:ilvl="0">
      <w:startOverride w:val="1"/>
    </w:lvlOverride>
    <w:lvlOverride w:ilvl="1">
      <w:startOverride w:val="1"/>
    </w:lvlOverride>
    <w:lvlOverride w:ilvl="2">
      <w:startOverride w:val="1"/>
    </w:lvlOverride>
  </w:num>
  <w:num w:numId="17">
    <w:abstractNumId w:val="9"/>
    <w:lvlOverride w:ilvl="0">
      <w:startOverride w:val="1"/>
    </w:lvlOverride>
    <w:lvlOverride w:ilvl="1">
      <w:startOverride w:val="1"/>
    </w:lvlOverride>
    <w:lvlOverride w:ilvl="2">
      <w:startOverride w:val="1"/>
    </w:lvlOverride>
  </w:num>
  <w:num w:numId="18">
    <w:abstractNumId w:val="9"/>
    <w:lvlOverride w:ilvl="0">
      <w:startOverride w:val="1"/>
    </w:lvlOverride>
    <w:lvlOverride w:ilvl="1">
      <w:startOverride w:val="1"/>
    </w:lvlOverride>
    <w:lvlOverride w:ilvl="2">
      <w:startOverride w:val="1"/>
    </w:lvlOverride>
  </w:num>
  <w:num w:numId="19">
    <w:abstractNumId w:val="9"/>
    <w:lvlOverride w:ilvl="0">
      <w:startOverride w:val="1"/>
    </w:lvlOverride>
    <w:lvlOverride w:ilvl="1">
      <w:startOverride w:val="1"/>
    </w:lvlOverride>
    <w:lvlOverride w:ilvl="2">
      <w:startOverride w:val="1"/>
    </w:lvlOverride>
  </w:num>
  <w:num w:numId="20">
    <w:abstractNumId w:val="9"/>
    <w:lvlOverride w:ilvl="0">
      <w:startOverride w:val="1"/>
    </w:lvlOverride>
    <w:lvlOverride w:ilvl="1">
      <w:startOverride w:val="1"/>
    </w:lvlOverride>
    <w:lvlOverride w:ilvl="2">
      <w:startOverride w:val="1"/>
    </w:lvlOverride>
  </w:num>
  <w:num w:numId="21">
    <w:abstractNumId w:val="9"/>
    <w:lvlOverride w:ilvl="0">
      <w:startOverride w:val="1"/>
    </w:lvlOverride>
    <w:lvlOverride w:ilvl="1">
      <w:startOverride w:val="1"/>
    </w:lvlOverride>
    <w:lvlOverride w:ilvl="2">
      <w:startOverride w:val="1"/>
    </w:lvlOverride>
  </w:num>
  <w:num w:numId="22">
    <w:abstractNumId w:val="9"/>
    <w:lvlOverride w:ilvl="0">
      <w:startOverride w:val="1"/>
    </w:lvlOverride>
    <w:lvlOverride w:ilvl="1">
      <w:startOverride w:val="1"/>
    </w:lvlOverride>
    <w:lvlOverride w:ilvl="2">
      <w:startOverride w:val="1"/>
    </w:lvlOverride>
  </w:num>
  <w:num w:numId="23">
    <w:abstractNumId w:val="9"/>
    <w:lvlOverride w:ilvl="0">
      <w:startOverride w:val="1"/>
    </w:lvlOverride>
    <w:lvlOverride w:ilvl="1">
      <w:startOverride w:val="1"/>
    </w:lvlOverride>
    <w:lvlOverride w:ilvl="2">
      <w:startOverride w:val="1"/>
    </w:lvlOverride>
  </w:num>
  <w:num w:numId="24">
    <w:abstractNumId w:val="9"/>
    <w:lvlOverride w:ilvl="0">
      <w:startOverride w:val="1"/>
    </w:lvlOverride>
    <w:lvlOverride w:ilvl="1">
      <w:startOverride w:val="1"/>
    </w:lvlOverride>
    <w:lvlOverride w:ilvl="2">
      <w:startOverride w:val="1"/>
    </w:lvlOverride>
  </w:num>
  <w:num w:numId="25">
    <w:abstractNumId w:val="10"/>
    <w:lvlOverride w:ilvl="0">
      <w:startOverride w:val="1"/>
    </w:lvlOverride>
    <w:lvlOverride w:ilvl="1">
      <w:startOverride w:val="1"/>
    </w:lvlOverride>
    <w:lvlOverride w:ilvl="2">
      <w:startOverride w:val="1"/>
    </w:lvlOverride>
  </w:num>
  <w:num w:numId="26">
    <w:abstractNumId w:val="9"/>
    <w:lvlOverride w:ilvl="0">
      <w:startOverride w:val="1"/>
    </w:lvlOverride>
    <w:lvlOverride w:ilvl="1">
      <w:startOverride w:val="1"/>
    </w:lvlOverride>
    <w:lvlOverride w:ilvl="2">
      <w:startOverride w:val="1"/>
    </w:lvlOverride>
  </w:num>
  <w:num w:numId="27">
    <w:abstractNumId w:val="9"/>
    <w:lvlOverride w:ilvl="0">
      <w:startOverride w:val="1"/>
    </w:lvlOverride>
    <w:lvlOverride w:ilvl="1">
      <w:startOverride w:val="1"/>
    </w:lvlOverride>
    <w:lvlOverride w:ilvl="2">
      <w:startOverride w:val="1"/>
    </w:lvlOverride>
  </w:num>
  <w:num w:numId="28">
    <w:abstractNumId w:val="9"/>
    <w:lvlOverride w:ilvl="0">
      <w:startOverride w:val="1"/>
    </w:lvlOverride>
    <w:lvlOverride w:ilvl="1">
      <w:startOverride w:val="1"/>
    </w:lvlOverride>
    <w:lvlOverride w:ilvl="2">
      <w:startOverride w:val="1"/>
    </w:lvlOverride>
  </w:num>
  <w:num w:numId="29">
    <w:abstractNumId w:val="9"/>
    <w:lvlOverride w:ilvl="0">
      <w:startOverride w:val="1"/>
    </w:lvlOverride>
    <w:lvlOverride w:ilvl="1">
      <w:startOverride w:val="1"/>
    </w:lvlOverride>
    <w:lvlOverride w:ilvl="2">
      <w:startOverride w:val="1"/>
    </w:lvlOverride>
  </w:num>
  <w:num w:numId="30">
    <w:abstractNumId w:val="9"/>
    <w:lvlOverride w:ilvl="0">
      <w:startOverride w:val="1"/>
    </w:lvlOverride>
    <w:lvlOverride w:ilvl="1">
      <w:startOverride w:val="1"/>
    </w:lvlOverride>
    <w:lvlOverride w:ilvl="2">
      <w:startOverride w:val="1"/>
    </w:lvlOverride>
  </w:num>
  <w:num w:numId="31">
    <w:abstractNumId w:val="9"/>
    <w:lvlOverride w:ilvl="0">
      <w:startOverride w:val="1"/>
    </w:lvlOverride>
    <w:lvlOverride w:ilvl="1">
      <w:startOverride w:val="1"/>
    </w:lvlOverride>
    <w:lvlOverride w:ilvl="2">
      <w:startOverride w:val="1"/>
    </w:lvlOverride>
  </w:num>
  <w:num w:numId="32">
    <w:abstractNumId w:val="10"/>
    <w:lvlOverride w:ilvl="0">
      <w:startOverride w:val="1"/>
    </w:lvlOverride>
    <w:lvlOverride w:ilvl="1">
      <w:startOverride w:val="1"/>
    </w:lvlOverride>
    <w:lvlOverride w:ilvl="2">
      <w:startOverride w:val="1"/>
    </w:lvlOverride>
  </w:num>
  <w:num w:numId="33">
    <w:abstractNumId w:val="9"/>
    <w:lvlOverride w:ilvl="0">
      <w:startOverride w:val="1"/>
    </w:lvlOverride>
    <w:lvlOverride w:ilvl="1">
      <w:startOverride w:val="1"/>
    </w:lvlOverride>
    <w:lvlOverride w:ilvl="2">
      <w:startOverride w:val="1"/>
    </w:lvlOverride>
  </w:num>
  <w:num w:numId="34">
    <w:abstractNumId w:val="9"/>
    <w:lvlOverride w:ilvl="0">
      <w:startOverride w:val="1"/>
    </w:lvlOverride>
    <w:lvlOverride w:ilvl="1">
      <w:startOverride w:val="1"/>
    </w:lvlOverride>
    <w:lvlOverride w:ilvl="2">
      <w:startOverride w:val="1"/>
    </w:lvlOverride>
  </w:num>
  <w:num w:numId="35">
    <w:abstractNumId w:val="9"/>
    <w:lvlOverride w:ilvl="0">
      <w:startOverride w:val="1"/>
    </w:lvlOverride>
    <w:lvlOverride w:ilvl="1">
      <w:startOverride w:val="1"/>
    </w:lvlOverride>
    <w:lvlOverride w:ilvl="2">
      <w:startOverride w:val="1"/>
    </w:lvlOverride>
  </w:num>
  <w:num w:numId="36">
    <w:abstractNumId w:val="9"/>
    <w:lvlOverride w:ilvl="0">
      <w:startOverride w:val="1"/>
    </w:lvlOverride>
    <w:lvlOverride w:ilvl="1">
      <w:startOverride w:val="1"/>
    </w:lvlOverride>
    <w:lvlOverride w:ilvl="2">
      <w:startOverride w:val="1"/>
    </w:lvlOverride>
  </w:num>
  <w:num w:numId="37">
    <w:abstractNumId w:val="9"/>
    <w:lvlOverride w:ilvl="0">
      <w:startOverride w:val="1"/>
    </w:lvlOverride>
    <w:lvlOverride w:ilvl="1">
      <w:startOverride w:val="1"/>
    </w:lvlOverride>
    <w:lvlOverride w:ilvl="2">
      <w:startOverride w:val="1"/>
    </w:lvlOverride>
  </w:num>
  <w:num w:numId="38">
    <w:abstractNumId w:val="9"/>
    <w:lvlOverride w:ilvl="0">
      <w:startOverride w:val="1"/>
    </w:lvlOverride>
    <w:lvlOverride w:ilvl="1">
      <w:startOverride w:val="1"/>
    </w:lvlOverride>
    <w:lvlOverride w:ilvl="2">
      <w:startOverride w:val="1"/>
    </w:lvlOverride>
  </w:num>
  <w:num w:numId="39">
    <w:abstractNumId w:val="9"/>
    <w:lvlOverride w:ilvl="0">
      <w:startOverride w:val="1"/>
    </w:lvlOverride>
    <w:lvlOverride w:ilvl="1">
      <w:startOverride w:val="1"/>
    </w:lvlOverride>
    <w:lvlOverride w:ilvl="2">
      <w:startOverride w:val="1"/>
    </w:lvlOverride>
  </w:num>
  <w:num w:numId="40">
    <w:abstractNumId w:val="9"/>
    <w:lvlOverride w:ilvl="0">
      <w:startOverride w:val="1"/>
    </w:lvlOverride>
    <w:lvlOverride w:ilvl="1">
      <w:startOverride w:val="1"/>
    </w:lvlOverride>
    <w:lvlOverride w:ilvl="2">
      <w:startOverride w:val="1"/>
    </w:lvlOverride>
  </w:num>
  <w:num w:numId="41">
    <w:abstractNumId w:val="9"/>
    <w:lvlOverride w:ilvl="0">
      <w:startOverride w:val="1"/>
    </w:lvlOverride>
    <w:lvlOverride w:ilvl="1">
      <w:startOverride w:val="1"/>
    </w:lvlOverride>
    <w:lvlOverride w:ilvl="2">
      <w:startOverride w:val="1"/>
    </w:lvlOverride>
  </w:num>
  <w:num w:numId="42">
    <w:abstractNumId w:val="9"/>
    <w:lvlOverride w:ilvl="0">
      <w:startOverride w:val="1"/>
    </w:lvlOverride>
    <w:lvlOverride w:ilvl="1">
      <w:startOverride w:val="1"/>
    </w:lvlOverride>
    <w:lvlOverride w:ilvl="2">
      <w:startOverride w:val="1"/>
    </w:lvlOverride>
  </w:num>
  <w:num w:numId="43">
    <w:abstractNumId w:val="9"/>
    <w:lvlOverride w:ilvl="0">
      <w:startOverride w:val="1"/>
    </w:lvlOverride>
    <w:lvlOverride w:ilvl="1">
      <w:startOverride w:val="1"/>
    </w:lvlOverride>
    <w:lvlOverride w:ilvl="2">
      <w:startOverride w:val="1"/>
    </w:lvlOverride>
  </w:num>
  <w:num w:numId="44">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A657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A657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line="264" w:lineRule="auto"/>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tabolomicsworkbench.org/tools/mw_rest.php" TargetMode="External"/><Relationship Id="rId12" Type="http://schemas.openxmlformats.org/officeDocument/2006/relationships/hyperlink" Target="https://www.metabolomicsworkbench.org/data/tutorials.php" TargetMode="External"/><Relationship Id="rId13" Type="http://schemas.openxmlformats.org/officeDocument/2006/relationships/hyperlink" Target="https://www.metabolomicsworkbench.org/databases/refmet/index.php" TargetMode="External"/><Relationship Id="rId14" Type="http://schemas.openxmlformats.org/officeDocument/2006/relationships/hyperlink" Target="https://doi.org/10.1038/s41592-020-01009-y" TargetMode="External"/><Relationship Id="rId15" Type="http://schemas.openxmlformats.org/officeDocument/2006/relationships/hyperlink" Target="https://doi.org/10.1152/japplphysiol.00102.2024" TargetMode="External"/><Relationship Id="rId16" Type="http://schemas.openxmlformats.org/officeDocument/2006/relationships/hyperlink" Target="https://commonfund.nih.gov/nutritionforprecisionhealth/frequently-asked-questions" TargetMode="External"/><Relationship Id="rId17" Type="http://schemas.openxmlformats.org/officeDocument/2006/relationships/hyperlink" Target="https://support.researchallofus.org/hc/en-us/articles/41981123613716-Researcher-Workbench" TargetMode="External"/><Relationship Id="rId18" Type="http://schemas.openxmlformats.org/officeDocument/2006/relationships/hyperlink" Target="https://support.researchallofus.org/hc/en-us/articles/34814131370388-Policy-Questions" TargetMode="External"/><Relationship Id="rId19" Type="http://schemas.openxmlformats.org/officeDocument/2006/relationships/hyperlink" Target="https://doi.org/10.1038/sdata.2016.18" TargetMode="External"/><Relationship Id="rId20" Type="http://schemas.openxmlformats.org/officeDocument/2006/relationships/hyperlink" Target="https://www.metabolomicsworkbench.org/data/DRCCMetadata.php?StudyID=ST001521" TargetMode="External"/><Relationship Id="rId21" Type="http://schemas.openxmlformats.org/officeDocument/2006/relationships/hyperlink" Target="https://www.metabolomicsworkbench.org/rest/study/study_id/ST001521/factors" TargetMode="External"/><Relationship Id="rId22" Type="http://schemas.openxmlformats.org/officeDocument/2006/relationships/hyperlink" Target="https://www.metabolomicsworkbench.org/rest/study/study_id/ST001521/analysis" TargetMode="External"/><Relationship Id="rId23" Type="http://schemas.openxmlformats.org/officeDocument/2006/relationships/hyperlink" Target="https://www.metabolomicsworkbench.org/data/DRCCMetadata.php?StudyID=ST003348" TargetMode="External"/><Relationship Id="rId24" Type="http://schemas.openxmlformats.org/officeDocument/2006/relationships/hyperlink" Target="https://www.metabolomicsworkbench.org/rest/study/study_id/ST003348/factors" TargetMode="External"/><Relationship Id="rId25" Type="http://schemas.openxmlformats.org/officeDocument/2006/relationships/hyperlink" Target="https://www.metabolomicsworkbench.org/rest/study/study_id/ST003348/analysis" TargetMode="External"/><Relationship Id="rId26" Type="http://schemas.openxmlformats.org/officeDocument/2006/relationships/hyperlink" Target="https://motrpac-data.org/knowledge-center/project-overview/faq" TargetMode="External"/><Relationship Id="rId27" Type="http://schemas.openxmlformats.org/officeDocument/2006/relationships/hyperlink" Target="https://motrpac-data.org/knowledge-center/dissemination/data-access/data-hub" TargetMode="External"/><Relationship Id="rId28" Type="http://schemas.openxmlformats.org/officeDocument/2006/relationships/hyperlink" Target="https://motrpac-data.org/knowledge-center/dissemination/data-access/onboarding" TargetMode="External"/><Relationship Id="rId29" Type="http://schemas.openxmlformats.org/officeDocument/2006/relationships/hyperlink" Target="https://www.allofus.nih.gov/protecting-data-and-privacy/research-projects-all-us-data/" TargetMode="External"/><Relationship Id="rId30" Type="http://schemas.openxmlformats.org/officeDocument/2006/relationships/hyperlink" Target="https://doi.org/10.21228/M8B984" TargetMode="External"/><Relationship Id="rId31" Type="http://schemas.openxmlformats.org/officeDocument/2006/relationships/hyperlink" Target="https://www.metabolomicsworkbench.org/data/DRCCMetadata.php?Mode=Study&amp;StudyID=ST001521" TargetMode="External"/><Relationship Id="rId32" Type="http://schemas.openxmlformats.org/officeDocument/2006/relationships/hyperlink" Target="https://creativecommons.org/licenses/by/4.0/" TargetMode="External"/><Relationship Id="rId33" Type="http://schemas.openxmlformats.org/officeDocument/2006/relationships/hyperlink" Target="https://doi.org/10.21228/M8C802" TargetMode="External"/><Relationship Id="rId34" Type="http://schemas.openxmlformats.org/officeDocument/2006/relationships/hyperlink" Target="https://www.metabolomicsworkbench.org/data/DRCCMetadata.php?Mode=Study&amp;StudyID=ST003348" TargetMode="External"/><Relationship Id="rId35" Type="http://schemas.openxmlformats.org/officeDocument/2006/relationships/hyperlink" Target="https://www.metabolomicsworkbench.org/rest/refmet/classification" TargetMode="External"/><Relationship Id="rId36" Type="http://schemas.openxmlformats.org/officeDocument/2006/relationships/hyperlink" Target="https://creativecommons.org/licenses/by/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Metabo-Diet Instructor Packet</dc:title>
  <dc:subject>Facilitation, assessment, guardrail, and troubleshooting packet.</dc:subject>
  <dc:creator>Metabo-Diet Training Module</dc:creator>
  <cp:keywords>metabolomics, harmonization, diet, exercise, Metabolomics Workbench, CFDE</cp:keywords>
  <dc:description>Generated from version-controlled curriculum sources.</dc:description>
  <cp:lastModifiedBy/>
  <cp:revision>1</cp:revision>
  <dcterms:created xsi:type="dcterms:W3CDTF">2013-12-23T23:15:00Z</dcterms:created>
  <dcterms:modified xsi:type="dcterms:W3CDTF">2013-12-23T23:15:00Z</dcterms:modified>
  <cp:category/>
</cp:coreProperties>
</file>