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800"/>
      </w:pPr>
    </w:p>
    <w:p>
      <w:pPr>
        <w:spacing w:after="360"/>
        <w:jc w:val="center"/>
      </w:pPr>
      <w:r>
        <w:rPr>
          <w:rFonts w:ascii="Calibri" w:hAnsi="Calibri"/>
          <w:b/>
          <w:color w:val="9A6B12"/>
          <w:sz w:val="21"/>
        </w:rPr>
        <w:t>LEARNER GUIDE</w:t>
      </w:r>
    </w:p>
    <w:p>
      <w:pPr>
        <w:pStyle w:val="Title"/>
        <w:jc w:val="center"/>
      </w:pPr>
      <w:r>
        <w:t>Metabo-Diet</w:t>
      </w:r>
    </w:p>
    <w:p>
      <w:pPr>
        <w:pStyle w:val="Subtitle"/>
        <w:jc w:val="center"/>
      </w:pPr>
      <w:r>
        <w:t>Harmonizing Dietary and Exercise Phenotypes</w:t>
      </w:r>
    </w:p>
    <w:p>
      <w:pPr>
        <w:pStyle w:val="Subtitle"/>
        <w:spacing w:after="560"/>
        <w:jc w:val="center"/>
      </w:pPr>
      <w:r>
        <w:t>with Metabolomics Across CFDE Resources</w:t>
      </w:r>
    </w:p>
    <w:p>
      <w:pPr>
        <w:spacing w:after="1440"/>
        <w:jc w:val="center"/>
      </w:pPr>
      <w:r>
        <w:rPr>
          <w:rFonts w:ascii="Calibri" w:hAnsi="Calibri"/>
          <w:b/>
          <w:color w:val="9A6B12"/>
          <w:sz w:val="21"/>
        </w:rPr>
        <w:t>A guided, self-paced module</w:t>
      </w:r>
    </w:p>
    <w:p>
      <w:pPr>
        <w:spacing w:after="80"/>
        <w:jc w:val="center"/>
      </w:pPr>
      <w:r>
        <w:rPr>
          <w:rFonts w:ascii="Calibri" w:hAnsi="Calibri"/>
          <w:b/>
          <w:color w:val="203748"/>
          <w:sz w:val="24"/>
        </w:rPr>
        <w:t>Release 1.0  |  August 2026</w:t>
      </w:r>
    </w:p>
    <w:p>
      <w:pPr>
        <w:spacing w:after="360"/>
        <w:jc w:val="center"/>
      </w:pPr>
      <w:r>
        <w:rPr>
          <w:rFonts w:ascii="Calibri" w:hAnsi="Calibri"/>
          <w:i/>
          <w:color w:val="5A6570"/>
          <w:sz w:val="19"/>
        </w:rPr>
        <w:t>Prepared for CFDE learners working with public metabolomics data</w:t>
      </w:r>
    </w:p>
    <w:p>
      <w:r>
        <w:br w:type="page"/>
      </w:r>
    </w:p>
    <w:p>
      <w:pPr>
        <w:pStyle w:val="Heading1"/>
      </w:pPr>
      <w:r>
        <w:t>Contents</w:t>
      </w:r>
    </w:p>
    <w:p>
      <w:r>
        <w:rPr>
          <w:rFonts w:ascii="Calibri" w:hAnsi="Calibri"/>
          <w:color w:val="222222"/>
        </w:rPr>
        <w:t>In Word, use the Navigation pane. In the PDF, use this contents list or search for a descriptive heading.</w:t>
      </w:r>
    </w:p>
    <w:p>
      <w:pPr>
        <w:ind w:left="259" w:hanging="259"/>
      </w:pPr>
      <w:r>
        <w:rPr>
          <w:rFonts w:ascii="Calibri" w:hAnsi="Calibri"/>
          <w:b/>
          <w:color w:val="9A6B12"/>
          <w:sz w:val="21"/>
        </w:rPr>
        <w:t xml:space="preserve">01  </w:t>
      </w:r>
      <w:r>
        <w:rPr>
          <w:rFonts w:ascii="Calibri" w:hAnsi="Calibri"/>
          <w:b/>
          <w:color w:val="203748"/>
          <w:sz w:val="22"/>
        </w:rPr>
        <w:t>How to use this guide</w:t>
      </w:r>
    </w:p>
    <w:p>
      <w:pPr>
        <w:ind w:left="259" w:hanging="259"/>
      </w:pPr>
      <w:r>
        <w:rPr>
          <w:rFonts w:ascii="Calibri" w:hAnsi="Calibri"/>
          <w:b/>
          <w:color w:val="9A6B12"/>
          <w:sz w:val="21"/>
        </w:rPr>
        <w:t xml:space="preserve">02  </w:t>
      </w:r>
      <w:r>
        <w:rPr>
          <w:rFonts w:ascii="Calibri" w:hAnsi="Calibri"/>
          <w:b/>
          <w:color w:val="203748"/>
          <w:sz w:val="22"/>
        </w:rPr>
        <w:t>Before you begin - first-time setup</w:t>
      </w:r>
    </w:p>
    <w:p>
      <w:pPr>
        <w:ind w:left="259" w:hanging="259"/>
      </w:pPr>
      <w:r>
        <w:rPr>
          <w:rFonts w:ascii="Calibri" w:hAnsi="Calibri"/>
          <w:b/>
          <w:color w:val="9A6B12"/>
          <w:sz w:val="21"/>
        </w:rPr>
        <w:t xml:space="preserve">03  </w:t>
      </w:r>
      <w:r>
        <w:rPr>
          <w:rFonts w:ascii="Calibri" w:hAnsi="Calibri"/>
          <w:b/>
          <w:color w:val="203748"/>
          <w:sz w:val="22"/>
        </w:rPr>
        <w:t>Pretest</w:t>
      </w:r>
    </w:p>
    <w:p>
      <w:pPr>
        <w:ind w:left="259" w:hanging="259"/>
      </w:pPr>
      <w:r>
        <w:rPr>
          <w:rFonts w:ascii="Calibri" w:hAnsi="Calibri"/>
          <w:b/>
          <w:color w:val="9A6B12"/>
          <w:sz w:val="21"/>
        </w:rPr>
        <w:t xml:space="preserve">04  </w:t>
      </w:r>
      <w:r>
        <w:rPr>
          <w:rFonts w:ascii="Calibri" w:hAnsi="Calibri"/>
          <w:b/>
          <w:color w:val="203748"/>
          <w:sz w:val="22"/>
        </w:rPr>
        <w:t>Lesson 1 - Why harmonization matters</w:t>
      </w:r>
    </w:p>
    <w:p>
      <w:pPr>
        <w:ind w:left="259" w:hanging="259"/>
      </w:pPr>
      <w:r>
        <w:rPr>
          <w:rFonts w:ascii="Calibri" w:hAnsi="Calibri"/>
          <w:b/>
          <w:color w:val="9A6B12"/>
          <w:sz w:val="21"/>
        </w:rPr>
        <w:t xml:space="preserve">05  </w:t>
      </w:r>
      <w:r>
        <w:rPr>
          <w:rFonts w:ascii="Calibri" w:hAnsi="Calibri"/>
          <w:b/>
          <w:color w:val="203748"/>
          <w:sz w:val="22"/>
        </w:rPr>
        <w:t>Lesson 2 - Comparing study design</w:t>
      </w:r>
    </w:p>
    <w:p>
      <w:pPr>
        <w:ind w:left="259" w:hanging="259"/>
      </w:pPr>
      <w:r>
        <w:rPr>
          <w:rFonts w:ascii="Calibri" w:hAnsi="Calibri"/>
          <w:b/>
          <w:color w:val="9A6B12"/>
          <w:sz w:val="21"/>
        </w:rPr>
        <w:t xml:space="preserve">06  </w:t>
      </w:r>
      <w:r>
        <w:rPr>
          <w:rFonts w:ascii="Calibri" w:hAnsi="Calibri"/>
          <w:b/>
          <w:color w:val="203748"/>
          <w:sz w:val="22"/>
        </w:rPr>
        <w:t>Lesson 3 - Harmonizing metabolomics and metadata</w:t>
      </w:r>
    </w:p>
    <w:p>
      <w:pPr>
        <w:ind w:left="259" w:hanging="259"/>
      </w:pPr>
      <w:r>
        <w:rPr>
          <w:rFonts w:ascii="Calibri" w:hAnsi="Calibri"/>
          <w:b/>
          <w:color w:val="9A6B12"/>
          <w:sz w:val="21"/>
        </w:rPr>
        <w:t xml:space="preserve">07  </w:t>
      </w:r>
      <w:r>
        <w:rPr>
          <w:rFonts w:ascii="Calibri" w:hAnsi="Calibri"/>
          <w:b/>
          <w:color w:val="203748"/>
          <w:sz w:val="22"/>
        </w:rPr>
        <w:t>Lesson 4 - Guided analysis and interpretation</w:t>
      </w:r>
    </w:p>
    <w:p>
      <w:pPr>
        <w:ind w:left="259" w:hanging="259"/>
      </w:pPr>
      <w:r>
        <w:rPr>
          <w:rFonts w:ascii="Calibri" w:hAnsi="Calibri"/>
          <w:b/>
          <w:color w:val="9A6B12"/>
          <w:sz w:val="21"/>
        </w:rPr>
        <w:t xml:space="preserve">08  </w:t>
      </w:r>
      <w:r>
        <w:rPr>
          <w:rFonts w:ascii="Calibri" w:hAnsi="Calibri"/>
          <w:b/>
          <w:color w:val="203748"/>
          <w:sz w:val="22"/>
        </w:rPr>
        <w:t>Lesson 5 - Access tiers and transfer</w:t>
      </w:r>
    </w:p>
    <w:p>
      <w:pPr>
        <w:ind w:left="259" w:hanging="259"/>
      </w:pPr>
      <w:r>
        <w:rPr>
          <w:rFonts w:ascii="Calibri" w:hAnsi="Calibri"/>
          <w:b/>
          <w:color w:val="9A6B12"/>
          <w:sz w:val="21"/>
        </w:rPr>
        <w:t xml:space="preserve">09  </w:t>
      </w:r>
      <w:r>
        <w:rPr>
          <w:rFonts w:ascii="Calibri" w:hAnsi="Calibri"/>
          <w:b/>
          <w:color w:val="203748"/>
          <w:sz w:val="22"/>
        </w:rPr>
        <w:t>Posttest</w:t>
      </w:r>
    </w:p>
    <w:p>
      <w:pPr>
        <w:ind w:left="259" w:hanging="259"/>
      </w:pPr>
      <w:r>
        <w:rPr>
          <w:rFonts w:ascii="Calibri" w:hAnsi="Calibri"/>
          <w:b/>
          <w:color w:val="9A6B12"/>
          <w:sz w:val="21"/>
        </w:rPr>
        <w:t xml:space="preserve">10  </w:t>
      </w:r>
      <w:r>
        <w:rPr>
          <w:rFonts w:ascii="Calibri" w:hAnsi="Calibri"/>
          <w:b/>
          <w:color w:val="203748"/>
          <w:sz w:val="22"/>
        </w:rPr>
        <w:t>Learner worksheets and checklists</w:t>
      </w:r>
    </w:p>
    <w:p>
      <w:pPr>
        <w:ind w:left="259" w:hanging="259"/>
      </w:pPr>
      <w:r>
        <w:rPr>
          <w:rFonts w:ascii="Calibri" w:hAnsi="Calibri"/>
          <w:b/>
          <w:color w:val="9A6B12"/>
          <w:sz w:val="21"/>
        </w:rPr>
        <w:t xml:space="preserve">11  </w:t>
      </w:r>
      <w:r>
        <w:rPr>
          <w:rFonts w:ascii="Calibri" w:hAnsi="Calibri"/>
          <w:b/>
          <w:color w:val="203748"/>
          <w:sz w:val="22"/>
        </w:rPr>
        <w:t>Glossary</w:t>
      </w:r>
    </w:p>
    <w:p>
      <w:pPr>
        <w:ind w:left="259" w:hanging="259"/>
      </w:pPr>
      <w:r>
        <w:rPr>
          <w:rFonts w:ascii="Calibri" w:hAnsi="Calibri"/>
          <w:b/>
          <w:color w:val="9A6B12"/>
          <w:sz w:val="21"/>
        </w:rPr>
        <w:t xml:space="preserve">12  </w:t>
      </w:r>
      <w:r>
        <w:rPr>
          <w:rFonts w:ascii="Calibri" w:hAnsi="Calibri"/>
          <w:b/>
          <w:color w:val="203748"/>
          <w:sz w:val="22"/>
        </w:rPr>
        <w:t>Appendix - PCA worked examples</w:t>
      </w:r>
    </w:p>
    <w:p>
      <w:pPr>
        <w:ind w:left="259" w:hanging="259"/>
      </w:pPr>
      <w:r>
        <w:rPr>
          <w:rFonts w:ascii="Calibri" w:hAnsi="Calibri"/>
          <w:b/>
          <w:color w:val="9A6B12"/>
          <w:sz w:val="21"/>
        </w:rPr>
        <w:t xml:space="preserve">13  </w:t>
      </w:r>
      <w:r>
        <w:rPr>
          <w:rFonts w:ascii="Calibri" w:hAnsi="Calibri"/>
          <w:b/>
          <w:color w:val="203748"/>
          <w:sz w:val="22"/>
        </w:rPr>
        <w:t>Data provenance and sources</w:t>
      </w:r>
    </w:p>
    <w:p>
      <w:r>
        <w:br w:type="page"/>
      </w:r>
    </w:p>
    <w:p>
      <w:pPr>
        <w:pStyle w:val="Heading1"/>
      </w:pPr>
      <w:r>
        <w:t>How to use this guide</w:t>
      </w:r>
    </w:p>
    <w:p>
      <w:r>
        <w:rPr>
          <w:rFonts w:ascii="Calibri" w:hAnsi="Calibri"/>
          <w:color w:val="222222"/>
        </w:rPr>
        <w:t>The module takes approximately 153 minutes after software setup: 140 minutes of lesson activity, a 5-minute pretest, and an 8-minute posttest. First-time Python or metabolomics learners should allow another 30 to 60 minutes. Extract metabo_diet_analysis_bundle.zip and metabo_diet_templates.zip, and keep this guide plus the three worksheets open. The main notebook is module/notebooks/metabo_diet_harmonization.ipynb.</w:t>
      </w:r>
    </w:p>
    <w:p>
      <w:pPr>
        <w:pStyle w:val="Heading2"/>
      </w:pPr>
      <w:r>
        <w:t>Guide-to-notebook sequence</w:t>
      </w:r>
    </w:p>
    <w:p>
      <w:pPr>
        <w:numPr>
          <w:ilvl w:val="0"/>
          <w:numId w:val="10"/>
        </w:numPr>
        <w:spacing w:after="80" w:line="300" w:lineRule="auto"/>
      </w:pPr>
      <w:r>
        <w:rPr>
          <w:rFonts w:ascii="Calibri" w:hAnsi="Calibri"/>
          <w:color w:val="222222"/>
        </w:rPr>
        <w:t>Read the matching lesson in this guide.</w:t>
      </w:r>
    </w:p>
    <w:p>
      <w:pPr>
        <w:numPr>
          <w:ilvl w:val="0"/>
          <w:numId w:val="10"/>
        </w:numPr>
        <w:spacing w:after="80" w:line="300" w:lineRule="auto"/>
      </w:pPr>
      <w:r>
        <w:rPr>
          <w:rFonts w:ascii="Calibri" w:hAnsi="Calibri"/>
          <w:color w:val="222222"/>
        </w:rPr>
        <w:t>Open the notebook section with the same NB-L1 through NB-L5 key.</w:t>
      </w:r>
    </w:p>
    <w:p>
      <w:pPr>
        <w:numPr>
          <w:ilvl w:val="0"/>
          <w:numId w:val="10"/>
        </w:numPr>
        <w:spacing w:after="80" w:line="300" w:lineRule="auto"/>
      </w:pPr>
      <w:r>
        <w:rPr>
          <w:rFonts w:ascii="Calibri" w:hAnsi="Calibri"/>
          <w:color w:val="222222"/>
        </w:rPr>
        <w:t>Run each code cell after a Run now heading, from top to bottom.</w:t>
      </w:r>
    </w:p>
    <w:p>
      <w:pPr>
        <w:numPr>
          <w:ilvl w:val="0"/>
          <w:numId w:val="10"/>
        </w:numPr>
        <w:spacing w:after="80" w:line="300" w:lineRule="auto"/>
      </w:pPr>
      <w:r>
        <w:rPr>
          <w:rFonts w:ascii="Calibri" w:hAnsi="Calibri"/>
          <w:color w:val="222222"/>
        </w:rPr>
        <w:t>At a Learner edit heading, change only the named value or response, then run the cell.</w:t>
      </w:r>
    </w:p>
    <w:p>
      <w:pPr>
        <w:numPr>
          <w:ilvl w:val="0"/>
          <w:numId w:val="10"/>
        </w:numPr>
        <w:spacing w:after="80" w:line="300" w:lineRule="auto"/>
      </w:pPr>
      <w:r>
        <w:rPr>
          <w:rFonts w:ascii="Calibri" w:hAnsi="Calibri"/>
          <w:color w:val="222222"/>
        </w:rPr>
        <w:t>Compare the output with the stated result and stop if a check fails.</w:t>
      </w:r>
    </w:p>
    <w:p>
      <w:pPr>
        <w:numPr>
          <w:ilvl w:val="0"/>
          <w:numId w:val="10"/>
        </w:numPr>
        <w:spacing w:after="80" w:line="300" w:lineRule="auto"/>
      </w:pPr>
      <w:r>
        <w:rPr>
          <w:rFonts w:ascii="Calibri" w:hAnsi="Calibri"/>
          <w:color w:val="222222"/>
        </w:rPr>
        <w:t>Write the requested answer and use the Ready to move on? note before continuing.</w:t>
      </w:r>
    </w:p>
    <w:tbl>
      <w:tblPr>
        <w:tblStyle w:val="TableGrid"/>
        <w:tblW w:type="dxa" w:w="9360"/>
        <w:jc w:val="left"/>
        <w:tblLayout w:type="fixed"/>
        <w:tblLook w:firstColumn="1" w:firstRow="1" w:lastColumn="0" w:lastRow="0" w:noHBand="0" w:noVBand="1" w:val="04A0"/>
        <w:tblInd w:w="120" w:type="dxa"/>
      </w:tblPr>
      <w:tblGrid>
        <w:gridCol w:w="3435"/>
        <w:gridCol w:w="2040"/>
        <w:gridCol w:w="3885"/>
      </w:tblGrid>
      <w:tr>
        <w:trPr>
          <w:cantSplit w:val="true"/>
          <w:tblHeader w:val="true"/>
        </w:trPr>
        <w:tc>
          <w:tcPr>
            <w:tcW w:type="dxa" w:w="3435"/>
            <w:tcMar>
              <w:top w:w="80" w:type="dxa"/>
              <w:bottom w:w="80" w:type="dxa"/>
              <w:start w:w="120" w:type="dxa"/>
              <w:end w:w="120" w:type="dxa"/>
            </w:tcMar>
            <w:vAlign w:val="center"/>
            <w:shd w:fill="E8EEF5"/>
          </w:tcPr>
          <w:p>
            <w:pPr>
              <w:spacing w:before="0" w:after="0" w:line="269" w:lineRule="auto"/>
              <w:jc w:val="left"/>
            </w:pPr>
            <w:r>
              <w:rPr>
                <w:b/>
                <w:color w:val="203748"/>
              </w:rPr>
            </w:r>
            <w:r>
              <w:rPr>
                <w:rFonts w:ascii="Calibri" w:hAnsi="Calibri"/>
                <w:b/>
                <w:color w:val="203748"/>
                <w:sz w:val="18"/>
              </w:rPr>
              <w:t>Guide lesson</w:t>
            </w:r>
          </w:p>
        </w:tc>
        <w:tc>
          <w:tcPr>
            <w:tcW w:type="dxa" w:w="2040"/>
            <w:tcMar>
              <w:top w:w="80" w:type="dxa"/>
              <w:bottom w:w="80" w:type="dxa"/>
              <w:start w:w="120" w:type="dxa"/>
              <w:end w:w="120" w:type="dxa"/>
            </w:tcMar>
            <w:vAlign w:val="center"/>
            <w:shd w:fill="E8EEF5"/>
          </w:tcPr>
          <w:p>
            <w:pPr>
              <w:spacing w:before="0" w:after="0" w:line="269" w:lineRule="auto"/>
              <w:jc w:val="center"/>
            </w:pPr>
            <w:r>
              <w:rPr>
                <w:b/>
                <w:color w:val="203748"/>
              </w:rPr>
            </w:r>
            <w:r>
              <w:rPr>
                <w:rFonts w:ascii="Calibri" w:hAnsi="Calibri"/>
                <w:b/>
                <w:color w:val="203748"/>
                <w:sz w:val="18"/>
              </w:rPr>
              <w:t>Notebook key</w:t>
            </w:r>
          </w:p>
        </w:tc>
        <w:tc>
          <w:tcPr>
            <w:tcW w:type="dxa" w:w="3885"/>
            <w:tcMar>
              <w:top w:w="80" w:type="dxa"/>
              <w:bottom w:w="80" w:type="dxa"/>
              <w:start w:w="120" w:type="dxa"/>
              <w:end w:w="120" w:type="dxa"/>
            </w:tcMar>
            <w:vAlign w:val="center"/>
            <w:shd w:fill="E8EEF5"/>
          </w:tcPr>
          <w:p>
            <w:pPr>
              <w:spacing w:before="0" w:after="0" w:line="269" w:lineRule="auto"/>
              <w:jc w:val="center"/>
            </w:pPr>
            <w:r>
              <w:rPr>
                <w:b/>
                <w:color w:val="203748"/>
              </w:rPr>
            </w:r>
            <w:r>
              <w:rPr>
                <w:rFonts w:ascii="Calibri" w:hAnsi="Calibri"/>
                <w:b/>
                <w:color w:val="203748"/>
                <w:sz w:val="18"/>
              </w:rPr>
              <w:t>Run or complete</w:t>
            </w:r>
          </w:p>
        </w:tc>
      </w:tr>
      <w:tr>
        <w:trPr>
          <w:cantSplit w:val="true"/>
        </w:trPr>
        <w:tc>
          <w:tcPr>
            <w:tcW w:type="dxa" w:w="3435"/>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Lesson 1 - Why harmonization matters</w:t>
            </w:r>
          </w:p>
        </w:tc>
        <w:tc>
          <w:tcPr>
            <w:tcW w:type="dxa" w:w="2040"/>
            <w:tcMar>
              <w:top w:w="80" w:type="dxa"/>
              <w:bottom w:w="80" w:type="dxa"/>
              <w:start w:w="120" w:type="dxa"/>
              <w:end w:w="120" w:type="dxa"/>
            </w:tcMar>
            <w:vAlign w:val="center"/>
          </w:tcPr>
          <w:p>
            <w:pPr>
              <w:spacing w:before="0" w:after="0" w:line="269" w:lineRule="auto"/>
              <w:jc w:val="center"/>
            </w:pPr>
            <w:r/>
            <w:r>
              <w:rPr>
                <w:rFonts w:ascii="Calibri" w:hAnsi="Calibri"/>
                <w:color w:val="222222"/>
                <w:sz w:val="18"/>
              </w:rPr>
              <w:t>NB-L1</w:t>
            </w:r>
          </w:p>
        </w:tc>
        <w:tc>
          <w:tcPr>
            <w:tcW w:type="dxa" w:w="3885"/>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NB-SETUP; locked configuration; scientific boundary</w:t>
            </w:r>
          </w:p>
        </w:tc>
      </w:tr>
      <w:tr>
        <w:trPr>
          <w:cantSplit w:val="true"/>
        </w:trPr>
        <w:tc>
          <w:tcPr>
            <w:tcW w:type="dxa" w:w="3435"/>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Lesson 2 - Comparing study design</w:t>
            </w:r>
          </w:p>
        </w:tc>
        <w:tc>
          <w:tcPr>
            <w:tcW w:type="dxa" w:w="2040"/>
            <w:tcMar>
              <w:top w:w="80" w:type="dxa"/>
              <w:bottom w:w="80" w:type="dxa"/>
              <w:start w:w="120" w:type="dxa"/>
              <w:end w:w="120" w:type="dxa"/>
            </w:tcMar>
            <w:vAlign w:val="center"/>
          </w:tcPr>
          <w:p>
            <w:pPr>
              <w:spacing w:before="0" w:after="0" w:line="269" w:lineRule="auto"/>
              <w:jc w:val="center"/>
            </w:pPr>
            <w:r/>
            <w:r>
              <w:rPr>
                <w:rFonts w:ascii="Calibri" w:hAnsi="Calibri"/>
                <w:color w:val="222222"/>
                <w:sz w:val="18"/>
              </w:rPr>
              <w:t>NB-L2</w:t>
            </w:r>
          </w:p>
        </w:tc>
        <w:tc>
          <w:tcPr>
            <w:tcW w:type="dxa" w:w="3885"/>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Endpoint, sample-role, participant, and time audits</w:t>
            </w:r>
          </w:p>
        </w:tc>
      </w:tr>
      <w:tr>
        <w:trPr>
          <w:cantSplit w:val="true"/>
        </w:trPr>
        <w:tc>
          <w:tcPr>
            <w:tcW w:type="dxa" w:w="3435"/>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Lesson 3 - Harmonizing metadata/metabolites</w:t>
            </w:r>
          </w:p>
        </w:tc>
        <w:tc>
          <w:tcPr>
            <w:tcW w:type="dxa" w:w="2040"/>
            <w:tcMar>
              <w:top w:w="80" w:type="dxa"/>
              <w:bottom w:w="80" w:type="dxa"/>
              <w:start w:w="120" w:type="dxa"/>
              <w:end w:w="120" w:type="dxa"/>
            </w:tcMar>
            <w:vAlign w:val="center"/>
          </w:tcPr>
          <w:p>
            <w:pPr>
              <w:spacing w:before="0" w:after="0" w:line="269" w:lineRule="auto"/>
              <w:jc w:val="center"/>
            </w:pPr>
            <w:r/>
            <w:r>
              <w:rPr>
                <w:rFonts w:ascii="Calibri" w:hAnsi="Calibri"/>
                <w:color w:val="222222"/>
                <w:sz w:val="18"/>
              </w:rPr>
              <w:t>NB-L3</w:t>
            </w:r>
          </w:p>
        </w:tc>
        <w:tc>
          <w:tcPr>
            <w:tcW w:type="dxa" w:w="3885"/>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NB-L3-CROSSWALK; labeled-standard and trace exercises</w:t>
            </w:r>
          </w:p>
        </w:tc>
      </w:tr>
      <w:tr>
        <w:trPr>
          <w:cantSplit w:val="true"/>
        </w:trPr>
        <w:tc>
          <w:tcPr>
            <w:tcW w:type="dxa" w:w="3435"/>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Lesson 4 - Guided analysis</w:t>
            </w:r>
          </w:p>
        </w:tc>
        <w:tc>
          <w:tcPr>
            <w:tcW w:type="dxa" w:w="2040"/>
            <w:tcMar>
              <w:top w:w="80" w:type="dxa"/>
              <w:bottom w:w="80" w:type="dxa"/>
              <w:start w:w="120" w:type="dxa"/>
              <w:end w:w="120" w:type="dxa"/>
            </w:tcMar>
            <w:vAlign w:val="center"/>
          </w:tcPr>
          <w:p>
            <w:pPr>
              <w:spacing w:before="0" w:after="0" w:line="269" w:lineRule="auto"/>
              <w:jc w:val="center"/>
            </w:pPr>
            <w:r/>
            <w:r>
              <w:rPr>
                <w:rFonts w:ascii="Calibri" w:hAnsi="Calibri"/>
                <w:color w:val="222222"/>
                <w:sz w:val="18"/>
              </w:rPr>
              <w:t>NB-L4</w:t>
            </w:r>
          </w:p>
        </w:tc>
        <w:tc>
          <w:tcPr>
            <w:tcW w:type="dxa" w:w="3885"/>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NB-L4-CLASS; NB-L4-PCA-DIET; NB-L4-PCA-EXERCISE</w:t>
            </w:r>
          </w:p>
        </w:tc>
      </w:tr>
      <w:tr>
        <w:trPr>
          <w:cantSplit w:val="true"/>
        </w:trPr>
        <w:tc>
          <w:tcPr>
            <w:tcW w:type="dxa" w:w="3435"/>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Lesson 5 - Access transfer</w:t>
            </w:r>
          </w:p>
        </w:tc>
        <w:tc>
          <w:tcPr>
            <w:tcW w:type="dxa" w:w="2040"/>
            <w:tcMar>
              <w:top w:w="80" w:type="dxa"/>
              <w:bottom w:w="80" w:type="dxa"/>
              <w:start w:w="120" w:type="dxa"/>
              <w:end w:w="120" w:type="dxa"/>
            </w:tcMar>
            <w:vAlign w:val="center"/>
          </w:tcPr>
          <w:p>
            <w:pPr>
              <w:spacing w:before="0" w:after="0" w:line="269" w:lineRule="auto"/>
              <w:jc w:val="center"/>
            </w:pPr>
            <w:r/>
            <w:r>
              <w:rPr>
                <w:rFonts w:ascii="Calibri" w:hAnsi="Calibri"/>
                <w:color w:val="222222"/>
                <w:sz w:val="18"/>
              </w:rPr>
              <w:t>NB-L5</w:t>
            </w:r>
          </w:p>
        </w:tc>
        <w:tc>
          <w:tcPr>
            <w:tcW w:type="dxa" w:w="3885"/>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Transfer-decision learner edit; NB-REPRO; posttest</w:t>
            </w:r>
          </w:p>
        </w:tc>
      </w:tr>
    </w:tbl>
    <w:p>
      <w:pPr>
        <w:spacing w:before="0" w:after="40"/>
      </w:pPr>
    </w:p>
    <w:tbl>
      <w:tblPr>
        <w:tblStyle w:val="TableGrid"/>
        <w:tblW w:type="dxa" w:w="9360"/>
        <w:jc w:val="left"/>
        <w:tblLayout w:type="fixed"/>
        <w:tblLook w:firstColumn="1" w:firstRow="1" w:lastColumn="0" w:lastRow="0" w:noHBand="0" w:noVBand="1" w:val="04A0"/>
        <w:tblInd w:w="120" w:type="dxa"/>
      </w:tblPr>
      <w:tblGrid>
        <w:gridCol w:w="3356"/>
        <w:gridCol w:w="6004"/>
      </w:tblGrid>
      <w:tr>
        <w:trPr>
          <w:cantSplit w:val="true"/>
          <w:tblHeader w:val="true"/>
        </w:trPr>
        <w:tc>
          <w:tcPr>
            <w:tcW w:type="dxa" w:w="3356"/>
            <w:tcMar>
              <w:top w:w="80" w:type="dxa"/>
              <w:bottom w:w="80" w:type="dxa"/>
              <w:start w:w="120" w:type="dxa"/>
              <w:end w:w="120" w:type="dxa"/>
            </w:tcMar>
            <w:vAlign w:val="center"/>
            <w:shd w:fill="E8EEF5"/>
          </w:tcPr>
          <w:p>
            <w:pPr>
              <w:spacing w:before="0" w:after="0" w:line="269" w:lineRule="auto"/>
              <w:jc w:val="left"/>
            </w:pPr>
            <w:r>
              <w:rPr>
                <w:b/>
                <w:color w:val="203748"/>
              </w:rPr>
            </w:r>
            <w:r>
              <w:rPr>
                <w:rFonts w:ascii="Calibri" w:hAnsi="Calibri"/>
                <w:b/>
                <w:color w:val="203748"/>
                <w:sz w:val="18"/>
              </w:rPr>
              <w:t>Release control</w:t>
            </w:r>
          </w:p>
        </w:tc>
        <w:tc>
          <w:tcPr>
            <w:tcW w:type="dxa" w:w="6004"/>
            <w:tcMar>
              <w:top w:w="80" w:type="dxa"/>
              <w:bottom w:w="80" w:type="dxa"/>
              <w:start w:w="120" w:type="dxa"/>
              <w:end w:w="120" w:type="dxa"/>
            </w:tcMar>
            <w:vAlign w:val="center"/>
            <w:shd w:fill="E8EEF5"/>
          </w:tcPr>
          <w:p>
            <w:pPr>
              <w:spacing w:before="0" w:after="0" w:line="269" w:lineRule="auto"/>
              <w:jc w:val="center"/>
            </w:pPr>
            <w:r>
              <w:rPr>
                <w:b/>
                <w:color w:val="203748"/>
              </w:rPr>
            </w:r>
            <w:r>
              <w:rPr>
                <w:rFonts w:ascii="Calibri" w:hAnsi="Calibri"/>
                <w:b/>
                <w:color w:val="203748"/>
                <w:sz w:val="18"/>
              </w:rPr>
              <w:t>Value</w:t>
            </w:r>
          </w:p>
        </w:tc>
      </w:tr>
      <w:tr>
        <w:trPr>
          <w:cantSplit w:val="true"/>
        </w:trPr>
        <w:tc>
          <w:tcPr>
            <w:tcW w:type="dxa" w:w="3356"/>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Diet case study</w:t>
            </w:r>
          </w:p>
        </w:tc>
        <w:tc>
          <w:tcPr>
            <w:tcW w:type="dxa" w:w="6004"/>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ST001521 - FARMM diet-anchored plasma study</w:t>
            </w:r>
          </w:p>
        </w:tc>
      </w:tr>
      <w:tr>
        <w:trPr>
          <w:cantSplit w:val="true"/>
        </w:trPr>
        <w:tc>
          <w:tcPr>
            <w:tcW w:type="dxa" w:w="3356"/>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Exercise case study</w:t>
            </w:r>
          </w:p>
        </w:tc>
        <w:tc>
          <w:tcPr>
            <w:tcW w:type="dxa" w:w="6004"/>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ST003348 - race-walking exercise-anchored serum study</w:t>
            </w:r>
          </w:p>
        </w:tc>
      </w:tr>
      <w:tr>
        <w:trPr>
          <w:cantSplit w:val="true"/>
        </w:trPr>
        <w:tc>
          <w:tcPr>
            <w:tcW w:type="dxa" w:w="3356"/>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Analysis boundary</w:t>
            </w:r>
          </w:p>
        </w:tc>
        <w:tc>
          <w:tcPr>
            <w:tcW w:type="dxa" w:w="6004"/>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Quantitative exploration stays within study; cross-study pooling is not authorized.</w:t>
            </w:r>
          </w:p>
        </w:tc>
      </w:tr>
      <w:tr>
        <w:trPr>
          <w:cantSplit w:val="true"/>
        </w:trPr>
        <w:tc>
          <w:tcPr>
            <w:tcW w:type="dxa" w:w="3356"/>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Offline path</w:t>
            </w:r>
          </w:p>
        </w:tc>
        <w:tc>
          <w:tcPr>
            <w:tcW w:type="dxa" w:w="6004"/>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Use the versioned cache and record the fallback in the source log.</w:t>
            </w:r>
          </w:p>
        </w:tc>
      </w:tr>
      <w:tr>
        <w:trPr>
          <w:cantSplit w:val="true"/>
        </w:trPr>
        <w:tc>
          <w:tcPr>
            <w:tcW w:type="dxa" w:w="3356"/>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Visual accessibility</w:t>
            </w:r>
          </w:p>
        </w:tc>
        <w:tc>
          <w:tcPr>
            <w:tcW w:type="dxa" w:w="6004"/>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Conceptual workflows are presented as text-only sketches; generated charts include equivalent text descriptions.</w:t>
            </w:r>
          </w:p>
        </w:tc>
      </w:tr>
    </w:tbl>
    <w:p>
      <w:pPr>
        <w:spacing w:before="0" w:after="40"/>
      </w:pPr>
    </w:p>
    <w:p>
      <w:pPr>
        <w:pStyle w:val="Heading2"/>
      </w:pPr>
      <w:r>
        <w:t>Module learning objectives</w:t>
      </w:r>
    </w:p>
    <w:p>
      <w:pPr>
        <w:numPr>
          <w:ilvl w:val="0"/>
          <w:numId w:val="11"/>
        </w:numPr>
        <w:spacing w:after="80" w:line="300" w:lineRule="auto"/>
      </w:pPr>
      <w:r>
        <w:rPr>
          <w:rFonts w:ascii="Calibri" w:hAnsi="Calibri"/>
          <w:color w:val="222222"/>
        </w:rPr>
        <w:t>LO1 - Explain how study design, specimen, time, and phenotype context shape interpretation.</w:t>
      </w:r>
    </w:p>
    <w:p>
      <w:pPr>
        <w:numPr>
          <w:ilvl w:val="0"/>
          <w:numId w:val="11"/>
        </w:numPr>
        <w:spacing w:after="80" w:line="300" w:lineRule="auto"/>
      </w:pPr>
      <w:r>
        <w:rPr>
          <w:rFonts w:ascii="Calibri" w:hAnsi="Calibri"/>
          <w:color w:val="222222"/>
        </w:rPr>
        <w:t>LO2 - Judge direct, partial, and non-comparability for a stated purpose.</w:t>
      </w:r>
    </w:p>
    <w:p>
      <w:pPr>
        <w:numPr>
          <w:ilvl w:val="0"/>
          <w:numId w:val="11"/>
        </w:numPr>
        <w:spacing w:after="80" w:line="300" w:lineRule="auto"/>
      </w:pPr>
      <w:r>
        <w:rPr>
          <w:rFonts w:ascii="Calibri" w:hAnsi="Calibri"/>
          <w:color w:val="222222"/>
        </w:rPr>
        <w:t>LO3 - Build a provenance-preserving RefMet crosswalk and document mapping uncertainty.</w:t>
      </w:r>
    </w:p>
    <w:p>
      <w:pPr>
        <w:numPr>
          <w:ilvl w:val="0"/>
          <w:numId w:val="11"/>
        </w:numPr>
        <w:spacing w:after="80" w:line="300" w:lineRule="auto"/>
      </w:pPr>
      <w:r>
        <w:rPr>
          <w:rFonts w:ascii="Calibri" w:hAnsi="Calibri"/>
          <w:color w:val="222222"/>
        </w:rPr>
        <w:t>LO4 - Retrieve, validate, harmonize, and explore public MW data reproducibly.</w:t>
      </w:r>
    </w:p>
    <w:p>
      <w:pPr>
        <w:numPr>
          <w:ilvl w:val="0"/>
          <w:numId w:val="11"/>
        </w:numPr>
        <w:spacing w:after="80" w:line="300" w:lineRule="auto"/>
      </w:pPr>
      <w:r>
        <w:rPr>
          <w:rFonts w:ascii="Calibri" w:hAnsi="Calibri"/>
          <w:color w:val="222222"/>
        </w:rPr>
        <w:t>LO5 - Verify access requirements and transfer the workflow safely to other resources.</w:t>
      </w:r>
    </w:p>
    <w:p>
      <w:r>
        <w:br w:type="page"/>
      </w:r>
    </w:p>
    <w:p>
      <w:pPr>
        <w:pStyle w:val="Heading1"/>
      </w:pPr>
      <w:r>
        <w:rPr>
          <w:rFonts w:ascii="Calibri" w:hAnsi="Calibri"/>
          <w:color w:val="222222"/>
        </w:rPr>
        <w:t>Before you begin: first-time setup</w:t>
      </w:r>
    </w:p>
    <w:p>
      <w:r>
        <w:rPr>
          <w:rFonts w:ascii="Calibri" w:hAnsi="Calibri"/>
          <w:color w:val="222222"/>
        </w:rPr>
        <w:t>The scientific material is written for learners who can read a data table and a scatterplot. You do not need prior experience with Metabolomics Workbench, RefMet, a terminal, Jupyter, or R. This is not an introductory Python course, and you will not be asked to write an analysis from a blank page.</w:t>
      </w:r>
    </w:p>
    <w:p>
      <w:r>
        <w:rPr>
          <w:rFonts w:ascii="Calibri" w:hAnsi="Calibri"/>
          <w:color w:val="222222"/>
        </w:rPr>
        <w:t>The 153-minute course estimate begins after software setup. If Python, metabolomics, or principal component analysis (PCA) is new to you, allow an additional 30 to 60 minutes and keep the glossary open.</w:t>
      </w:r>
    </w:p>
    <w:p>
      <w:pPr>
        <w:pStyle w:val="Heading2"/>
      </w:pPr>
      <w:r>
        <w:rPr>
          <w:rFonts w:ascii="Calibri" w:hAnsi="Calibri"/>
          <w:color w:val="222222"/>
        </w:rPr>
        <w:t>Choose your starting point</w:t>
      </w:r>
    </w:p>
    <w:p>
      <w:r>
        <w:rPr>
          <w:rFonts w:ascii="Calibri" w:hAnsi="Calibri"/>
          <w:color w:val="222222"/>
        </w:rPr>
        <w:t>If you received the packaged course, keep these files together in one working folder:</w:t>
      </w:r>
    </w:p>
    <w:p>
      <w:pPr>
        <w:numPr>
          <w:ilvl w:val="0"/>
          <w:numId w:val="12"/>
        </w:numPr>
        <w:spacing w:after="80" w:line="300" w:lineRule="auto"/>
      </w:pPr>
      <w:r>
        <w:rPr>
          <w:rFonts w:ascii="Consolas" w:hAnsi="Consolas"/>
          <w:color w:val="1F4D78"/>
          <w:sz w:val="21"/>
          <w:shd w:fill="EEF1F4"/>
        </w:rPr>
        <w:t>metabo_diet_learner_guide.pdf</w:t>
      </w:r>
      <w:r>
        <w:rPr>
          <w:rFonts w:ascii="Calibri" w:hAnsi="Calibri"/>
          <w:color w:val="222222"/>
        </w:rPr>
        <w:t xml:space="preserve"> - the lessons, pretest, posttest, and worked PCA figures.</w:t>
      </w:r>
    </w:p>
    <w:p>
      <w:pPr>
        <w:numPr>
          <w:ilvl w:val="0"/>
          <w:numId w:val="12"/>
        </w:numPr>
        <w:spacing w:after="80" w:line="300" w:lineRule="auto"/>
      </w:pPr>
      <w:r>
        <w:rPr>
          <w:rFonts w:ascii="Consolas" w:hAnsi="Consolas"/>
          <w:color w:val="1F4D78"/>
          <w:sz w:val="21"/>
          <w:shd w:fill="EEF1F4"/>
        </w:rPr>
        <w:t>metabo_diet_analysis_bundle.zip</w:t>
      </w:r>
      <w:r>
        <w:rPr>
          <w:rFonts w:ascii="Calibri" w:hAnsi="Calibri"/>
          <w:color w:val="222222"/>
        </w:rPr>
        <w:t xml:space="preserve"> - the Python notebook, R companion, scripts, and public cached data.</w:t>
      </w:r>
    </w:p>
    <w:p>
      <w:pPr>
        <w:numPr>
          <w:ilvl w:val="0"/>
          <w:numId w:val="12"/>
        </w:numPr>
        <w:spacing w:after="80" w:line="300" w:lineRule="auto"/>
      </w:pPr>
      <w:r>
        <w:rPr>
          <w:rFonts w:ascii="Consolas" w:hAnsi="Consolas"/>
          <w:color w:val="1F4D78"/>
          <w:sz w:val="21"/>
          <w:shd w:fill="EEF1F4"/>
        </w:rPr>
        <w:t>metabo_diet_templates.zip</w:t>
      </w:r>
      <w:r>
        <w:rPr>
          <w:rFonts w:ascii="Calibri" w:hAnsi="Calibri"/>
          <w:color w:val="222222"/>
        </w:rPr>
        <w:t xml:space="preserve"> - editable learner worksheets.</w:t>
      </w:r>
    </w:p>
    <w:p>
      <w:r>
        <w:rPr>
          <w:rFonts w:ascii="Calibri" w:hAnsi="Calibri"/>
          <w:color w:val="222222"/>
        </w:rPr>
        <w:t xml:space="preserve">Extract both ZIP files before starting. If you are reading this page inside an extracted analysis bundle, that bundle is already extracted; extract only </w:t>
      </w:r>
      <w:r>
        <w:rPr>
          <w:rFonts w:ascii="Consolas" w:hAnsi="Consolas"/>
          <w:color w:val="1F4D78"/>
          <w:sz w:val="21"/>
          <w:shd w:fill="EEF1F4"/>
        </w:rPr>
        <w:t>module/support/metabo_diet_templates.zip</w:t>
      </w:r>
      <w:r>
        <w:rPr>
          <w:rFonts w:ascii="Calibri" w:hAnsi="Calibri"/>
          <w:color w:val="222222"/>
        </w:rPr>
        <w:t>.</w:t>
      </w:r>
    </w:p>
    <w:p>
      <w:r>
        <w:rPr>
          <w:rFonts w:ascii="Calibri" w:hAnsi="Calibri"/>
          <w:color w:val="222222"/>
        </w:rPr>
        <w:t xml:space="preserve">If you cloned the repository, use its existing </w:t>
      </w:r>
      <w:r>
        <w:rPr>
          <w:rFonts w:ascii="Consolas" w:hAnsi="Consolas"/>
          <w:color w:val="1F4D78"/>
          <w:sz w:val="21"/>
          <w:shd w:fill="EEF1F4"/>
        </w:rPr>
        <w:t>module/</w:t>
      </w:r>
      <w:r>
        <w:rPr>
          <w:rFonts w:ascii="Calibri" w:hAnsi="Calibri"/>
          <w:color w:val="222222"/>
        </w:rPr>
        <w:t xml:space="preserve"> directory. Open the guide in </w:t>
      </w:r>
      <w:r>
        <w:rPr>
          <w:rFonts w:ascii="Consolas" w:hAnsi="Consolas"/>
          <w:color w:val="1F4D78"/>
          <w:sz w:val="21"/>
          <w:shd w:fill="EEF1F4"/>
        </w:rPr>
        <w:t>module/support/</w:t>
      </w:r>
      <w:r>
        <w:rPr>
          <w:rFonts w:ascii="Calibri" w:hAnsi="Calibri"/>
          <w:color w:val="222222"/>
        </w:rPr>
        <w:t xml:space="preserve">, use the learner worksheets in </w:t>
      </w:r>
      <w:r>
        <w:rPr>
          <w:rFonts w:ascii="Consolas" w:hAnsi="Consolas"/>
          <w:color w:val="1F4D78"/>
          <w:sz w:val="21"/>
          <w:shd w:fill="EEF1F4"/>
        </w:rPr>
        <w:t>module/templates/</w:t>
      </w:r>
      <w:r>
        <w:rPr>
          <w:rFonts w:ascii="Calibri" w:hAnsi="Calibri"/>
          <w:color w:val="222222"/>
        </w:rPr>
        <w:t>, and do not extract the analysis bundle on top of the clone.</w:t>
      </w:r>
    </w:p>
    <w:p>
      <w:r>
        <w:rPr>
          <w:rFonts w:ascii="Calibri" w:hAnsi="Calibri"/>
          <w:color w:val="222222"/>
        </w:rPr>
        <w:t xml:space="preserve">Do not run the notebook from inside a ZIP. Keep the </w:t>
      </w:r>
      <w:r>
        <w:rPr>
          <w:rFonts w:ascii="Consolas" w:hAnsi="Consolas"/>
          <w:color w:val="1F4D78"/>
          <w:sz w:val="21"/>
          <w:shd w:fill="EEF1F4"/>
        </w:rPr>
        <w:t>module/</w:t>
      </w:r>
      <w:r>
        <w:rPr>
          <w:rFonts w:ascii="Calibri" w:hAnsi="Calibri"/>
          <w:color w:val="222222"/>
        </w:rPr>
        <w:t xml:space="preserve"> folder intact because the notebook uses its </w:t>
      </w:r>
      <w:r>
        <w:rPr>
          <w:rFonts w:ascii="Consolas" w:hAnsi="Consolas"/>
          <w:color w:val="1F4D78"/>
          <w:sz w:val="21"/>
          <w:shd w:fill="EEF1F4"/>
        </w:rPr>
        <w:t>scripts/</w:t>
      </w:r>
      <w:r>
        <w:rPr>
          <w:rFonts w:ascii="Calibri" w:hAnsi="Calibri"/>
          <w:color w:val="222222"/>
        </w:rPr>
        <w:t xml:space="preserve"> and </w:t>
      </w:r>
      <w:r>
        <w:rPr>
          <w:rFonts w:ascii="Consolas" w:hAnsi="Consolas"/>
          <w:color w:val="1F4D78"/>
          <w:sz w:val="21"/>
          <w:shd w:fill="EEF1F4"/>
        </w:rPr>
        <w:t>data/</w:t>
      </w:r>
      <w:r>
        <w:rPr>
          <w:rFonts w:ascii="Calibri" w:hAnsi="Calibri"/>
          <w:color w:val="222222"/>
        </w:rPr>
        <w:t xml:space="preserve"> subfolders.</w:t>
      </w:r>
    </w:p>
    <w:p>
      <w:pPr>
        <w:pStyle w:val="Heading2"/>
      </w:pPr>
      <w:r>
        <w:rPr>
          <w:rFonts w:ascii="Calibri" w:hAnsi="Calibri"/>
          <w:color w:val="222222"/>
        </w:rPr>
        <w:t>Install Python and open Jupyter</w:t>
      </w:r>
    </w:p>
    <w:p>
      <w:r>
        <w:rPr>
          <w:rFonts w:ascii="Calibri" w:hAnsi="Calibri"/>
          <w:color w:val="222222"/>
        </w:rPr>
        <w:t xml:space="preserve">A terminal is the text-based app used to enter the commands below. On macOS, open </w:t>
      </w:r>
      <w:r>
        <w:rPr>
          <w:rFonts w:ascii="Calibri" w:hAnsi="Calibri"/>
          <w:b/>
          <w:color w:val="222222"/>
        </w:rPr>
        <w:t>Terminal</w:t>
      </w:r>
      <w:r>
        <w:rPr>
          <w:rFonts w:ascii="Calibri" w:hAnsi="Calibri"/>
          <w:color w:val="222222"/>
        </w:rPr>
        <w:t xml:space="preserve">. On Windows, open </w:t>
      </w:r>
      <w:r>
        <w:rPr>
          <w:rFonts w:ascii="Calibri" w:hAnsi="Calibri"/>
          <w:b/>
          <w:color w:val="222222"/>
        </w:rPr>
        <w:t>PowerShell</w:t>
      </w:r>
      <w:r>
        <w:rPr>
          <w:rFonts w:ascii="Calibri" w:hAnsi="Calibri"/>
          <w:color w:val="222222"/>
        </w:rPr>
        <w:t xml:space="preserve">. Open the terminal in the folder that contains </w:t>
      </w:r>
      <w:r>
        <w:rPr>
          <w:rFonts w:ascii="Consolas" w:hAnsi="Consolas"/>
          <w:color w:val="1F4D78"/>
          <w:sz w:val="21"/>
          <w:shd w:fill="EEF1F4"/>
        </w:rPr>
        <w:t>module/</w:t>
      </w:r>
      <w:r>
        <w:rPr>
          <w:rFonts w:ascii="Calibri" w:hAnsi="Calibri"/>
          <w:color w:val="222222"/>
        </w:rPr>
        <w:t xml:space="preserve">, then type each command without a leading prompt symbol such as </w:t>
      </w:r>
      <w:r>
        <w:rPr>
          <w:rFonts w:ascii="Consolas" w:hAnsi="Consolas"/>
          <w:color w:val="1F4D78"/>
          <w:sz w:val="21"/>
          <w:shd w:fill="EEF1F4"/>
        </w:rPr>
        <w:t>$</w:t>
      </w:r>
      <w:r>
        <w:rPr>
          <w:rFonts w:ascii="Calibri" w:hAnsi="Calibri"/>
          <w:color w:val="222222"/>
        </w:rPr>
        <w:t xml:space="preserve"> or </w:t>
      </w:r>
      <w:r>
        <w:rPr>
          <w:rFonts w:ascii="Consolas" w:hAnsi="Consolas"/>
          <w:color w:val="1F4D78"/>
          <w:sz w:val="21"/>
          <w:shd w:fill="EEF1F4"/>
        </w:rPr>
        <w:t>&gt;</w:t>
      </w:r>
      <w:r>
        <w:rPr>
          <w:rFonts w:ascii="Calibri" w:hAnsi="Calibri"/>
          <w:color w:val="222222"/>
        </w:rPr>
        <w:t>.</w:t>
      </w:r>
    </w:p>
    <w:p>
      <w:r>
        <w:rPr>
          <w:rFonts w:ascii="Calibri" w:hAnsi="Calibri"/>
          <w:color w:val="222222"/>
        </w:rPr>
        <w:t xml:space="preserve">Install </w:t>
      </w:r>
      <w:hyperlink r:id="rId11">
        <w:r>
          <w:rPr>
            <w:rFonts w:ascii="Calibri" w:hAnsi="Calibri"/>
            <w:color w:val="2E74B5"/>
            <w:u w:val="single"/>
            <w:sz w:val="22"/>
          </w:rPr>
          <w:t>Python 3.12</w:t>
        </w:r>
      </w:hyperlink>
      <w:r>
        <w:rPr>
          <w:rFonts w:ascii="Calibri" w:hAnsi="Calibri"/>
          <w:color w:val="222222"/>
        </w:rPr>
        <w:t xml:space="preserve">. Python 3.11 is also supported; substitute </w:t>
      </w:r>
      <w:r>
        <w:rPr>
          <w:rFonts w:ascii="Consolas" w:hAnsi="Consolas"/>
          <w:color w:val="1F4D78"/>
          <w:sz w:val="21"/>
          <w:shd w:fill="EEF1F4"/>
        </w:rPr>
        <w:t>python3.11</w:t>
      </w:r>
      <w:r>
        <w:rPr>
          <w:rFonts w:ascii="Calibri" w:hAnsi="Calibri"/>
          <w:color w:val="222222"/>
        </w:rPr>
        <w:t xml:space="preserve"> or </w:t>
      </w:r>
      <w:r>
        <w:rPr>
          <w:rFonts w:ascii="Consolas" w:hAnsi="Consolas"/>
          <w:color w:val="1F4D78"/>
          <w:sz w:val="21"/>
          <w:shd w:fill="EEF1F4"/>
        </w:rPr>
        <w:t>py -3.11</w:t>
      </w:r>
      <w:r>
        <w:rPr>
          <w:rFonts w:ascii="Calibri" w:hAnsi="Calibri"/>
          <w:color w:val="222222"/>
        </w:rPr>
        <w:t xml:space="preserve"> if that is the version you installed.</w:t>
      </w:r>
    </w:p>
    <w:p>
      <w:pPr>
        <w:pStyle w:val="Heading3"/>
      </w:pPr>
      <w:r>
        <w:rPr>
          <w:rFonts w:ascii="Calibri" w:hAnsi="Calibri"/>
          <w:color w:val="222222"/>
        </w:rPr>
        <w:t>macOS or Linux</w:t>
      </w:r>
    </w:p>
    <w:p>
      <w:pPr>
        <w:keepNext/>
        <w:keepLines/>
        <w:spacing w:before="0" w:after="0" w:line="240" w:lineRule="auto"/>
        <w:ind w:left="259" w:right="72"/>
        <w:shd w:fill="F3F5F7"/>
        <w:pBdr>
          <w:left w:val="single" w:sz="16" w:space="8" w:color="B8C3CC"/>
        </w:pBdr>
      </w:pPr>
      <w:r>
        <w:rPr>
          <w:rFonts w:ascii="Consolas" w:hAnsi="Consolas"/>
          <w:color w:val="24313B"/>
          <w:sz w:val="16"/>
        </w:rPr>
        <w:t>python3.12 --version</w:t>
      </w:r>
    </w:p>
    <w:p>
      <w:pPr>
        <w:keepNext/>
        <w:keepLines/>
        <w:spacing w:before="0" w:after="0" w:line="240" w:lineRule="auto"/>
        <w:ind w:left="259" w:right="72"/>
        <w:shd w:fill="F3F5F7"/>
        <w:pBdr>
          <w:left w:val="single" w:sz="16" w:space="8" w:color="B8C3CC"/>
        </w:pBdr>
      </w:pPr>
      <w:r>
        <w:rPr>
          <w:rFonts w:ascii="Consolas" w:hAnsi="Consolas"/>
          <w:color w:val="24313B"/>
          <w:sz w:val="16"/>
        </w:rPr>
        <w:t>python3.12 -m venv .venv</w:t>
      </w:r>
    </w:p>
    <w:p>
      <w:pPr>
        <w:keepNext/>
        <w:keepLines/>
        <w:spacing w:before="0" w:after="0" w:line="240" w:lineRule="auto"/>
        <w:ind w:left="259" w:right="72"/>
        <w:shd w:fill="F3F5F7"/>
        <w:pBdr>
          <w:left w:val="single" w:sz="16" w:space="8" w:color="B8C3CC"/>
        </w:pBdr>
      </w:pPr>
      <w:r>
        <w:rPr>
          <w:rFonts w:ascii="Consolas" w:hAnsi="Consolas"/>
          <w:color w:val="24313B"/>
          <w:sz w:val="16"/>
        </w:rPr>
        <w:t>./.venv/bin/python -m pip install --upgrade pip</w:t>
      </w:r>
    </w:p>
    <w:p>
      <w:pPr>
        <w:keepNext/>
        <w:keepLines/>
        <w:spacing w:before="0" w:after="0" w:line="240" w:lineRule="auto"/>
        <w:ind w:left="259" w:right="72"/>
        <w:shd w:fill="F3F5F7"/>
        <w:pBdr>
          <w:left w:val="single" w:sz="16" w:space="8" w:color="B8C3CC"/>
        </w:pBdr>
      </w:pPr>
      <w:r>
        <w:rPr>
          <w:rFonts w:ascii="Consolas" w:hAnsi="Consolas"/>
          <w:color w:val="24313B"/>
          <w:sz w:val="16"/>
        </w:rPr>
        <w:t>./.venv/bin/python -m pip install -r module/notebooks/requirements-dev.txt</w:t>
      </w:r>
    </w:p>
    <w:p>
      <w:pPr>
        <w:keepNext w:val="0"/>
        <w:keepLines/>
        <w:spacing w:before="0" w:after="120" w:line="240" w:lineRule="auto"/>
        <w:ind w:left="259" w:right="72"/>
        <w:shd w:fill="F3F5F7"/>
        <w:pBdr>
          <w:left w:val="single" w:sz="16" w:space="8" w:color="B8C3CC"/>
        </w:pBdr>
      </w:pPr>
      <w:r>
        <w:rPr>
          <w:rFonts w:ascii="Consolas" w:hAnsi="Consolas"/>
          <w:color w:val="24313B"/>
          <w:sz w:val="16"/>
        </w:rPr>
        <w:t>./.venv/bin/python -m jupyter lab module/notebooks/metabo_diet_harmonization.ipynb</w:t>
      </w:r>
    </w:p>
    <w:p>
      <w:pPr>
        <w:pStyle w:val="Heading3"/>
      </w:pPr>
      <w:r>
        <w:rPr>
          <w:rFonts w:ascii="Calibri" w:hAnsi="Calibri"/>
          <w:color w:val="222222"/>
        </w:rPr>
        <w:t>Windows PowerShell</w:t>
      </w:r>
    </w:p>
    <w:p>
      <w:pPr>
        <w:keepNext/>
        <w:keepLines/>
        <w:spacing w:before="0" w:after="0" w:line="240" w:lineRule="auto"/>
        <w:ind w:left="259" w:right="72"/>
        <w:shd w:fill="F3F5F7"/>
        <w:pBdr>
          <w:left w:val="single" w:sz="16" w:space="8" w:color="B8C3CC"/>
        </w:pBdr>
      </w:pPr>
      <w:r>
        <w:rPr>
          <w:rFonts w:ascii="Consolas" w:hAnsi="Consolas"/>
          <w:color w:val="24313B"/>
          <w:sz w:val="16"/>
        </w:rPr>
        <w:t>py -3.12 --version</w:t>
      </w:r>
    </w:p>
    <w:p>
      <w:pPr>
        <w:keepNext/>
        <w:keepLines/>
        <w:spacing w:before="0" w:after="0" w:line="240" w:lineRule="auto"/>
        <w:ind w:left="259" w:right="72"/>
        <w:shd w:fill="F3F5F7"/>
        <w:pBdr>
          <w:left w:val="single" w:sz="16" w:space="8" w:color="B8C3CC"/>
        </w:pBdr>
      </w:pPr>
      <w:r>
        <w:rPr>
          <w:rFonts w:ascii="Consolas" w:hAnsi="Consolas"/>
          <w:color w:val="24313B"/>
          <w:sz w:val="16"/>
        </w:rPr>
        <w:t>py -3.12 -m venv .venv</w:t>
      </w:r>
    </w:p>
    <w:p>
      <w:pPr>
        <w:keepNext/>
        <w:keepLines/>
        <w:spacing w:before="0" w:after="0" w:line="240" w:lineRule="auto"/>
        <w:ind w:left="259" w:right="72"/>
        <w:shd w:fill="F3F5F7"/>
        <w:pBdr>
          <w:left w:val="single" w:sz="16" w:space="8" w:color="B8C3CC"/>
        </w:pBdr>
      </w:pPr>
      <w:r>
        <w:rPr>
          <w:rFonts w:ascii="Consolas" w:hAnsi="Consolas"/>
          <w:color w:val="24313B"/>
          <w:sz w:val="16"/>
        </w:rPr>
        <w:t>.\.venv\Scripts\python.exe -m pip install --upgrade pip</w:t>
      </w:r>
    </w:p>
    <w:p>
      <w:pPr>
        <w:keepNext/>
        <w:keepLines/>
        <w:spacing w:before="0" w:after="0" w:line="240" w:lineRule="auto"/>
        <w:ind w:left="259" w:right="72"/>
        <w:shd w:fill="F3F5F7"/>
        <w:pBdr>
          <w:left w:val="single" w:sz="16" w:space="8" w:color="B8C3CC"/>
        </w:pBdr>
      </w:pPr>
      <w:r>
        <w:rPr>
          <w:rFonts w:ascii="Consolas" w:hAnsi="Consolas"/>
          <w:color w:val="24313B"/>
          <w:sz w:val="16"/>
        </w:rPr>
        <w:t>.\.venv\Scripts\python.exe -m pip install -r module\notebooks\requirements-dev.txt</w:t>
      </w:r>
    </w:p>
    <w:p>
      <w:pPr>
        <w:keepNext w:val="0"/>
        <w:keepLines/>
        <w:spacing w:before="0" w:after="120" w:line="240" w:lineRule="auto"/>
        <w:ind w:left="259" w:right="72"/>
        <w:shd w:fill="F3F5F7"/>
        <w:pBdr>
          <w:left w:val="single" w:sz="16" w:space="8" w:color="B8C3CC"/>
        </w:pBdr>
      </w:pPr>
      <w:r>
        <w:rPr>
          <w:rFonts w:ascii="Consolas" w:hAnsi="Consolas"/>
          <w:color w:val="24313B"/>
          <w:sz w:val="16"/>
        </w:rPr>
        <w:t>.\.venv\Scripts\python.exe -m jupyter lab module\notebooks\metabo_diet_harmonization.ipynb</w:t>
      </w:r>
    </w:p>
    <w:p>
      <w:r>
        <w:rPr>
          <w:rFonts w:ascii="Calibri" w:hAnsi="Calibri"/>
          <w:color w:val="222222"/>
        </w:rPr>
        <w:t xml:space="preserve">The version check should report Python 3.11 or 3.12. The package installation can take several minutes. Jupyter should then open in a browser. If it asks for a kernel, choose </w:t>
      </w:r>
      <w:r>
        <w:rPr>
          <w:rFonts w:ascii="Calibri" w:hAnsi="Calibri"/>
          <w:b/>
          <w:color w:val="222222"/>
        </w:rPr>
        <w:t>Python 3 (ipykernel)</w:t>
      </w:r>
      <w:r>
        <w:rPr>
          <w:rFonts w:ascii="Calibri" w:hAnsi="Calibri"/>
          <w:color w:val="222222"/>
        </w:rPr>
        <w:t xml:space="preserve"> from the </w:t>
      </w:r>
      <w:r>
        <w:rPr>
          <w:rFonts w:ascii="Consolas" w:hAnsi="Consolas"/>
          <w:color w:val="1F4D78"/>
          <w:sz w:val="21"/>
          <w:shd w:fill="EEF1F4"/>
        </w:rPr>
        <w:t>.venv</w:t>
      </w:r>
      <w:r>
        <w:rPr>
          <w:rFonts w:ascii="Calibri" w:hAnsi="Calibri"/>
          <w:color w:val="222222"/>
        </w:rPr>
        <w:t xml:space="preserve"> environment. The first notebook diagnostic must report </w:t>
      </w:r>
      <w:r>
        <w:rPr>
          <w:rFonts w:ascii="Consolas" w:hAnsi="Consolas"/>
          <w:color w:val="1F4D78"/>
          <w:sz w:val="21"/>
          <w:shd w:fill="EEF1F4"/>
        </w:rPr>
        <w:t>Virtual environment: active</w:t>
      </w:r>
      <w:r>
        <w:rPr>
          <w:rFonts w:ascii="Calibri" w:hAnsi="Calibri"/>
          <w:color w:val="222222"/>
        </w:rPr>
        <w:t>.</w:t>
      </w:r>
    </w:p>
    <w:p>
      <w:pPr>
        <w:pStyle w:val="Heading2"/>
      </w:pPr>
      <w:r>
        <w:rPr>
          <w:rFonts w:ascii="Calibri" w:hAnsi="Calibri"/>
          <w:color w:val="222222"/>
        </w:rPr>
        <w:t>Jupyter in one minute</w:t>
      </w:r>
    </w:p>
    <w:p>
      <w:pPr>
        <w:numPr>
          <w:ilvl w:val="0"/>
          <w:numId w:val="13"/>
        </w:numPr>
        <w:spacing w:after="80" w:line="300" w:lineRule="auto"/>
      </w:pPr>
      <w:r>
        <w:rPr>
          <w:rFonts w:ascii="Calibri" w:hAnsi="Calibri"/>
          <w:color w:val="222222"/>
        </w:rPr>
        <w:t xml:space="preserve">A notebook contains text cells and code cells. Click a code cell and press </w:t>
      </w:r>
      <w:r>
        <w:rPr>
          <w:rFonts w:ascii="Calibri" w:hAnsi="Calibri"/>
          <w:b/>
          <w:color w:val="222222"/>
        </w:rPr>
        <w:t>Shift+Enter</w:t>
      </w:r>
      <w:r>
        <w:rPr>
          <w:rFonts w:ascii="Calibri" w:hAnsi="Calibri"/>
          <w:color w:val="222222"/>
        </w:rPr>
        <w:t xml:space="preserve"> to run it.</w:t>
      </w:r>
    </w:p>
    <w:p>
      <w:pPr>
        <w:numPr>
          <w:ilvl w:val="0"/>
          <w:numId w:val="13"/>
        </w:numPr>
        <w:spacing w:after="80" w:line="300" w:lineRule="auto"/>
      </w:pPr>
      <w:r>
        <w:rPr>
          <w:rFonts w:ascii="Consolas" w:hAnsi="Consolas"/>
          <w:color w:val="1F4D78"/>
          <w:sz w:val="21"/>
          <w:shd w:fill="EEF1F4"/>
        </w:rPr>
        <w:t>[*]</w:t>
      </w:r>
      <w:r>
        <w:rPr>
          <w:rFonts w:ascii="Calibri" w:hAnsi="Calibri"/>
          <w:color w:val="222222"/>
        </w:rPr>
        <w:t xml:space="preserve"> beside a cell means it is still running. A number such as </w:t>
      </w:r>
      <w:r>
        <w:rPr>
          <w:rFonts w:ascii="Consolas" w:hAnsi="Consolas"/>
          <w:color w:val="1F4D78"/>
          <w:sz w:val="21"/>
          <w:shd w:fill="EEF1F4"/>
        </w:rPr>
        <w:t>[1]</w:t>
      </w:r>
      <w:r>
        <w:rPr>
          <w:rFonts w:ascii="Calibri" w:hAnsi="Calibri"/>
          <w:color w:val="222222"/>
        </w:rPr>
        <w:t xml:space="preserve"> means it finished.</w:t>
      </w:r>
    </w:p>
    <w:p>
      <w:pPr>
        <w:numPr>
          <w:ilvl w:val="0"/>
          <w:numId w:val="13"/>
        </w:numPr>
        <w:spacing w:after="80" w:line="300" w:lineRule="auto"/>
      </w:pPr>
      <w:r>
        <w:rPr>
          <w:rFonts w:ascii="Calibri" w:hAnsi="Calibri"/>
          <w:color w:val="222222"/>
        </w:rPr>
        <w:t xml:space="preserve">The file contains saved example outputs. Before beginning Lesson 1, choose </w:t>
      </w:r>
      <w:r>
        <w:rPr>
          <w:rFonts w:ascii="Calibri" w:hAnsi="Calibri"/>
          <w:b/>
          <w:color w:val="222222"/>
        </w:rPr>
        <w:t>Kernel &gt; Restart Kernel</w:t>
      </w:r>
      <w:r>
        <w:rPr>
          <w:rFonts w:ascii="Calibri" w:hAnsi="Calibri"/>
          <w:color w:val="222222"/>
        </w:rPr>
        <w:t>, then run the required cells yourself from top to bottom.</w:t>
      </w:r>
    </w:p>
    <w:p>
      <w:pPr>
        <w:numPr>
          <w:ilvl w:val="0"/>
          <w:numId w:val="13"/>
        </w:numPr>
        <w:spacing w:after="80" w:line="300" w:lineRule="auto"/>
      </w:pPr>
      <w:r>
        <w:rPr>
          <w:rFonts w:ascii="Calibri" w:hAnsi="Calibri"/>
          <w:color w:val="222222"/>
        </w:rPr>
        <w:t xml:space="preserve">Run every code cell that follows a </w:t>
      </w:r>
      <w:r>
        <w:rPr>
          <w:rFonts w:ascii="Calibri" w:hAnsi="Calibri"/>
          <w:b/>
          <w:color w:val="222222"/>
        </w:rPr>
        <w:t>Run now</w:t>
      </w:r>
      <w:r>
        <w:rPr>
          <w:rFonts w:ascii="Calibri" w:hAnsi="Calibri"/>
          <w:color w:val="222222"/>
        </w:rPr>
        <w:t xml:space="preserve"> heading.</w:t>
      </w:r>
    </w:p>
    <w:p>
      <w:pPr>
        <w:numPr>
          <w:ilvl w:val="0"/>
          <w:numId w:val="13"/>
        </w:numPr>
        <w:spacing w:after="80" w:line="300" w:lineRule="auto"/>
      </w:pPr>
      <w:r>
        <w:rPr>
          <w:rFonts w:ascii="Calibri" w:hAnsi="Calibri"/>
          <w:color w:val="222222"/>
        </w:rPr>
        <w:t xml:space="preserve">At a </w:t>
      </w:r>
      <w:r>
        <w:rPr>
          <w:rFonts w:ascii="Calibri" w:hAnsi="Calibri"/>
          <w:b/>
          <w:color w:val="222222"/>
        </w:rPr>
        <w:t>Learner edit</w:t>
      </w:r>
      <w:r>
        <w:rPr>
          <w:rFonts w:ascii="Calibri" w:hAnsi="Calibri"/>
          <w:color w:val="222222"/>
        </w:rPr>
        <w:t xml:space="preserve"> heading, change only the named ALL_CAPS value or the clearly marked response text, then run that cell.</w:t>
      </w:r>
    </w:p>
    <w:p>
      <w:pPr>
        <w:numPr>
          <w:ilvl w:val="0"/>
          <w:numId w:val="13"/>
        </w:numPr>
        <w:spacing w:after="80" w:line="300" w:lineRule="auto"/>
      </w:pPr>
      <w:r>
        <w:rPr>
          <w:rFonts w:ascii="Calibri" w:hAnsi="Calibri"/>
          <w:color w:val="222222"/>
        </w:rPr>
        <w:t>A red traceback means the cell failed. Keep the message, stop, and use the setup table below or ask the instructor for help. Do not skip a failed check.</w:t>
      </w:r>
    </w:p>
    <w:p>
      <w:pPr>
        <w:pStyle w:val="Heading2"/>
      </w:pPr>
      <w:r>
        <w:rPr>
          <w:rFonts w:ascii="Calibri" w:hAnsi="Calibri"/>
          <w:color w:val="222222"/>
        </w:rPr>
        <w:t>Setup help</w:t>
      </w:r>
    </w:p>
    <w:tbl>
      <w:tblPr>
        <w:tblStyle w:val="TableGrid"/>
        <w:tblW w:type="dxa" w:w="9360"/>
        <w:jc w:val="left"/>
        <w:tblLayout w:type="fixed"/>
        <w:tblLook w:firstColumn="1" w:firstRow="1" w:lastColumn="0" w:lastRow="0" w:noHBand="0" w:noVBand="1" w:val="04A0"/>
        <w:tblInd w:w="120" w:type="dxa"/>
      </w:tblPr>
      <w:tblGrid>
        <w:gridCol w:w="4285"/>
        <w:gridCol w:w="5075"/>
      </w:tblGrid>
      <w:tr>
        <w:trPr>
          <w:cantSplit w:val="true"/>
          <w:tblHeader w:val="true"/>
        </w:trPr>
        <w:tc>
          <w:tcPr>
            <w:tcW w:type="dxa" w:w="4285"/>
            <w:tcMar>
              <w:top w:w="80" w:type="dxa"/>
              <w:bottom w:w="80" w:type="dxa"/>
              <w:start w:w="120" w:type="dxa"/>
              <w:end w:w="120" w:type="dxa"/>
            </w:tcMar>
            <w:vAlign w:val="center"/>
            <w:shd w:fill="E8EEF5"/>
          </w:tcPr>
          <w:p>
            <w:pPr>
              <w:spacing w:before="0" w:after="0" w:line="269" w:lineRule="auto"/>
              <w:jc w:val="left"/>
            </w:pPr>
            <w:r>
              <w:rPr>
                <w:b/>
                <w:color w:val="203748"/>
              </w:rPr>
            </w:r>
            <w:r>
              <w:rPr>
                <w:rFonts w:ascii="Calibri" w:hAnsi="Calibri"/>
                <w:b/>
                <w:color w:val="203748"/>
                <w:sz w:val="18"/>
              </w:rPr>
              <w:t>What you see</w:t>
            </w:r>
          </w:p>
        </w:tc>
        <w:tc>
          <w:tcPr>
            <w:tcW w:type="dxa" w:w="5075"/>
            <w:tcMar>
              <w:top w:w="80" w:type="dxa"/>
              <w:bottom w:w="80" w:type="dxa"/>
              <w:start w:w="120" w:type="dxa"/>
              <w:end w:w="120" w:type="dxa"/>
            </w:tcMar>
            <w:vAlign w:val="center"/>
            <w:shd w:fill="E8EEF5"/>
          </w:tcPr>
          <w:p>
            <w:pPr>
              <w:spacing w:before="0" w:after="0" w:line="269" w:lineRule="auto"/>
              <w:jc w:val="center"/>
            </w:pPr>
            <w:r>
              <w:rPr>
                <w:b/>
                <w:color w:val="203748"/>
              </w:rPr>
            </w:r>
            <w:r>
              <w:rPr>
                <w:rFonts w:ascii="Calibri" w:hAnsi="Calibri"/>
                <w:b/>
                <w:color w:val="203748"/>
                <w:sz w:val="18"/>
              </w:rPr>
              <w:t>What to do</w:t>
            </w:r>
          </w:p>
        </w:tc>
      </w:tr>
      <w:tr>
        <w:trPr>
          <w:cantSplit w:val="true"/>
        </w:trPr>
        <w:tc>
          <w:tcPr>
            <w:tcW w:type="dxa" w:w="4285"/>
            <w:tcMar>
              <w:top w:w="80" w:type="dxa"/>
              <w:bottom w:w="80" w:type="dxa"/>
              <w:start w:w="120" w:type="dxa"/>
              <w:end w:w="120" w:type="dxa"/>
            </w:tcMar>
            <w:vAlign w:val="center"/>
          </w:tcPr>
          <w:p>
            <w:pPr>
              <w:spacing w:before="0" w:after="0" w:line="269" w:lineRule="auto"/>
              <w:jc w:val="left"/>
            </w:pPr>
            <w:r/>
            <w:r>
              <w:rPr>
                <w:rFonts w:ascii="Consolas" w:hAnsi="Consolas"/>
                <w:color w:val="1F4D78"/>
                <w:sz w:val="17"/>
                <w:shd w:fill="EEF1F4"/>
              </w:rPr>
              <w:t>command not found</w:t>
            </w:r>
            <w:r>
              <w:rPr>
                <w:rFonts w:ascii="Calibri" w:hAnsi="Calibri"/>
                <w:color w:val="222222"/>
                <w:sz w:val="18"/>
              </w:rPr>
              <w:t xml:space="preserve"> or “not recognized”</w:t>
            </w:r>
          </w:p>
        </w:tc>
        <w:tc>
          <w:tcPr>
            <w:tcW w:type="dxa" w:w="5075"/>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Confirm Python 3.12 is installed. Try the Python 3.11 command only if its version check reports 3.11.</w:t>
            </w:r>
          </w:p>
        </w:tc>
      </w:tr>
      <w:tr>
        <w:trPr>
          <w:cantSplit w:val="true"/>
        </w:trPr>
        <w:tc>
          <w:tcPr>
            <w:tcW w:type="dxa" w:w="4285"/>
            <w:tcMar>
              <w:top w:w="80" w:type="dxa"/>
              <w:bottom w:w="80" w:type="dxa"/>
              <w:start w:w="120" w:type="dxa"/>
              <w:end w:w="120" w:type="dxa"/>
            </w:tcMar>
            <w:vAlign w:val="center"/>
          </w:tcPr>
          <w:p>
            <w:pPr>
              <w:spacing w:before="0" w:after="0" w:line="269" w:lineRule="auto"/>
              <w:jc w:val="left"/>
            </w:pPr>
            <w:r/>
            <w:r>
              <w:rPr>
                <w:rFonts w:ascii="Consolas" w:hAnsi="Consolas"/>
                <w:color w:val="1F4D78"/>
                <w:sz w:val="17"/>
                <w:shd w:fill="EEF1F4"/>
              </w:rPr>
              <w:t>No module named ...</w:t>
            </w:r>
          </w:p>
        </w:tc>
        <w:tc>
          <w:tcPr>
            <w:tcW w:type="dxa" w:w="5075"/>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 xml:space="preserve">Repeat the package-install command with the </w:t>
            </w:r>
            <w:r>
              <w:rPr>
                <w:rFonts w:ascii="Consolas" w:hAnsi="Consolas"/>
                <w:color w:val="1F4D78"/>
                <w:sz w:val="17"/>
                <w:shd w:fill="EEF1F4"/>
              </w:rPr>
              <w:t>.venv</w:t>
            </w:r>
            <w:r>
              <w:rPr>
                <w:rFonts w:ascii="Calibri" w:hAnsi="Calibri"/>
                <w:color w:val="222222"/>
                <w:sz w:val="18"/>
              </w:rPr>
              <w:t xml:space="preserve"> Python path shown above, then restart the kernel.</w:t>
            </w:r>
          </w:p>
        </w:tc>
      </w:tr>
      <w:tr>
        <w:trPr>
          <w:cantSplit w:val="true"/>
        </w:trPr>
        <w:tc>
          <w:tcPr>
            <w:tcW w:type="dxa" w:w="4285"/>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Jupyter uses a different Python</w:t>
            </w:r>
          </w:p>
        </w:tc>
        <w:tc>
          <w:tcPr>
            <w:tcW w:type="dxa" w:w="5075"/>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 xml:space="preserve">Launch Jupyter with the direct </w:t>
            </w:r>
            <w:r>
              <w:rPr>
                <w:rFonts w:ascii="Consolas" w:hAnsi="Consolas"/>
                <w:color w:val="1F4D78"/>
                <w:sz w:val="17"/>
                <w:shd w:fill="EEF1F4"/>
              </w:rPr>
              <w:t>.venv</w:t>
            </w:r>
            <w:r>
              <w:rPr>
                <w:rFonts w:ascii="Calibri" w:hAnsi="Calibri"/>
                <w:color w:val="222222"/>
                <w:sz w:val="18"/>
              </w:rPr>
              <w:t xml:space="preserve"> command above, choose </w:t>
            </w:r>
            <w:r>
              <w:rPr>
                <w:rFonts w:ascii="Calibri" w:hAnsi="Calibri"/>
                <w:b/>
                <w:color w:val="222222"/>
                <w:sz w:val="18"/>
              </w:rPr>
              <w:t>Kernel &gt; Change Kernel &gt; Python 3 (ipykernel)</w:t>
            </w:r>
            <w:r>
              <w:rPr>
                <w:rFonts w:ascii="Calibri" w:hAnsi="Calibri"/>
                <w:color w:val="222222"/>
                <w:sz w:val="18"/>
              </w:rPr>
              <w:t xml:space="preserve">, and confirm that the first diagnostic reports </w:t>
            </w:r>
            <w:r>
              <w:rPr>
                <w:rFonts w:ascii="Consolas" w:hAnsi="Consolas"/>
                <w:color w:val="1F4D78"/>
                <w:sz w:val="17"/>
                <w:shd w:fill="EEF1F4"/>
              </w:rPr>
              <w:t>Virtual environment: active</w:t>
            </w:r>
            <w:r>
              <w:rPr>
                <w:rFonts w:ascii="Calibri" w:hAnsi="Calibri"/>
                <w:color w:val="222222"/>
                <w:sz w:val="18"/>
              </w:rPr>
              <w:t>.</w:t>
            </w:r>
          </w:p>
        </w:tc>
      </w:tr>
      <w:tr>
        <w:trPr>
          <w:cantSplit w:val="true"/>
        </w:trPr>
        <w:tc>
          <w:tcPr>
            <w:tcW w:type="dxa" w:w="4285"/>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A notebook assertion or count check fails</w:t>
            </w:r>
          </w:p>
        </w:tc>
        <w:tc>
          <w:tcPr>
            <w:tcW w:type="dxa" w:w="5075"/>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Read the message and stop. Check the accession, cache, and earlier cells instead of deleting rows or changing the expected value.</w:t>
            </w:r>
          </w:p>
        </w:tc>
      </w:tr>
      <w:tr>
        <w:trPr>
          <w:cantSplit w:val="true"/>
        </w:trPr>
        <w:tc>
          <w:tcPr>
            <w:tcW w:type="dxa" w:w="4285"/>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A live request fails</w:t>
            </w:r>
          </w:p>
        </w:tc>
        <w:tc>
          <w:tcPr>
            <w:tcW w:type="dxa" w:w="5075"/>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Use the default validated cache. Live access is optional.</w:t>
            </w:r>
          </w:p>
        </w:tc>
      </w:tr>
    </w:tbl>
    <w:p>
      <w:pPr>
        <w:spacing w:before="0" w:after="40"/>
      </w:pPr>
    </w:p>
    <w:p>
      <w:pPr>
        <w:pStyle w:val="Heading2"/>
      </w:pPr>
      <w:r>
        <w:rPr>
          <w:rFonts w:ascii="Calibri" w:hAnsi="Calibri"/>
          <w:color w:val="222222"/>
        </w:rPr>
        <w:t>Optional technical check</w:t>
      </w:r>
    </w:p>
    <w:p>
      <w:r>
        <w:rPr>
          <w:rFonts w:ascii="Calibri" w:hAnsi="Calibri"/>
          <w:color w:val="222222"/>
        </w:rPr>
        <w:t>The following command runs every code cell without pausing for the learner activities. It is useful for testing an installation, but it does not complete the course. It writes a new notebook and leaves the original file unchanged.</w:t>
      </w:r>
    </w:p>
    <w:p>
      <w:r>
        <w:rPr>
          <w:rFonts w:ascii="Calibri" w:hAnsi="Calibri"/>
          <w:color w:val="222222"/>
        </w:rPr>
        <w:t>macOS or Linux:</w:t>
      </w:r>
    </w:p>
    <w:p>
      <w:pPr>
        <w:keepNext w:val="0"/>
        <w:keepLines/>
        <w:spacing w:before="0" w:after="120" w:line="240" w:lineRule="auto"/>
        <w:ind w:left="259" w:right="72"/>
        <w:shd w:fill="F3F5F7"/>
        <w:pBdr>
          <w:left w:val="single" w:sz="16" w:space="8" w:color="B8C3CC"/>
        </w:pBdr>
      </w:pPr>
      <w:r>
        <w:rPr>
          <w:rFonts w:ascii="Consolas" w:hAnsi="Consolas"/>
          <w:color w:val="24313B"/>
          <w:sz w:val="16"/>
        </w:rPr>
        <w:t>./.venv/bin/python module/scripts/execute_notebook.py --output metabo_diet_smoke_test.ipynb</w:t>
      </w:r>
    </w:p>
    <w:p>
      <w:r>
        <w:rPr>
          <w:rFonts w:ascii="Calibri" w:hAnsi="Calibri"/>
          <w:color w:val="222222"/>
        </w:rPr>
        <w:t>Windows PowerShell:</w:t>
      </w:r>
    </w:p>
    <w:p>
      <w:pPr>
        <w:keepNext w:val="0"/>
        <w:keepLines/>
        <w:spacing w:before="0" w:after="120" w:line="240" w:lineRule="auto"/>
        <w:ind w:left="259" w:right="72"/>
        <w:shd w:fill="F3F5F7"/>
        <w:pBdr>
          <w:left w:val="single" w:sz="16" w:space="8" w:color="B8C3CC"/>
        </w:pBdr>
      </w:pPr>
      <w:r>
        <w:rPr>
          <w:rFonts w:ascii="Consolas" w:hAnsi="Consolas"/>
          <w:color w:val="24313B"/>
          <w:sz w:val="16"/>
        </w:rPr>
        <w:t>.\.venv\Scripts\python.exe module\scripts\execute_notebook.py --output metabo_diet_smoke_test.ipynb</w:t>
      </w:r>
    </w:p>
    <w:p>
      <w:pPr>
        <w:pStyle w:val="Heading2"/>
      </w:pPr>
      <w:r>
        <w:rPr>
          <w:rFonts w:ascii="Calibri" w:hAnsi="Calibri"/>
          <w:color w:val="222222"/>
        </w:rPr>
        <w:t>R is optional</w:t>
      </w:r>
    </w:p>
    <w:p>
      <w:r>
        <w:rPr>
          <w:rFonts w:ascii="Calibri" w:hAnsi="Calibri"/>
          <w:color w:val="222222"/>
        </w:rPr>
        <w:t xml:space="preserve">The Python notebook is the main activity. To read the R version without installing anything, open </w:t>
      </w:r>
      <w:r>
        <w:rPr>
          <w:rFonts w:ascii="Consolas" w:hAnsi="Consolas"/>
          <w:color w:val="1F4D78"/>
          <w:sz w:val="21"/>
          <w:shd w:fill="EEF1F4"/>
        </w:rPr>
        <w:t>module/notebooks/metabo_diet_R_appendix.html</w:t>
      </w:r>
      <w:r>
        <w:rPr>
          <w:rFonts w:ascii="Calibri" w:hAnsi="Calibri"/>
          <w:color w:val="222222"/>
        </w:rPr>
        <w:t xml:space="preserve"> in a browser.</w:t>
      </w:r>
    </w:p>
    <w:p>
      <w:r>
        <w:rPr>
          <w:rFonts w:ascii="Calibri" w:hAnsi="Calibri"/>
          <w:color w:val="222222"/>
        </w:rPr>
        <w:t>To rerun the R companion, install R 4.3 or later plus RStudio or another Pandoc installation. First confirm Pandoc is available:</w:t>
      </w:r>
    </w:p>
    <w:p>
      <w:pPr>
        <w:keepNext w:val="0"/>
        <w:keepLines/>
        <w:spacing w:before="0" w:after="120" w:line="240" w:lineRule="auto"/>
        <w:ind w:left="259" w:right="72"/>
        <w:shd w:fill="F3F5F7"/>
        <w:pBdr>
          <w:left w:val="single" w:sz="16" w:space="8" w:color="B8C3CC"/>
        </w:pBdr>
      </w:pPr>
      <w:r>
        <w:rPr>
          <w:rFonts w:ascii="Consolas" w:hAnsi="Consolas"/>
          <w:color w:val="24313B"/>
          <w:sz w:val="16"/>
        </w:rPr>
        <w:t>Rscript -e 'stopifnot(rmarkdown::pandoc_available()); rmarkdown::pandoc_version()'</w:t>
      </w:r>
    </w:p>
    <w:p>
      <w:r>
        <w:rPr>
          <w:rFonts w:ascii="Calibri" w:hAnsi="Calibri"/>
          <w:color w:val="222222"/>
        </w:rPr>
        <w:t xml:space="preserve">Then run </w:t>
      </w:r>
      <w:r>
        <w:rPr>
          <w:rFonts w:ascii="Consolas" w:hAnsi="Consolas"/>
          <w:color w:val="1F4D78"/>
          <w:sz w:val="21"/>
          <w:shd w:fill="EEF1F4"/>
        </w:rPr>
        <w:t>Rscript module/notebooks/install_r_packages.R</w:t>
      </w:r>
      <w:r>
        <w:rPr>
          <w:rFonts w:ascii="Calibri" w:hAnsi="Calibri"/>
          <w:color w:val="222222"/>
        </w:rPr>
        <w:t xml:space="preserve"> and render the R Markdown file as described in </w:t>
      </w:r>
      <w:r>
        <w:rPr>
          <w:rFonts w:ascii="Consolas" w:hAnsi="Consolas"/>
          <w:color w:val="1F4D78"/>
          <w:sz w:val="21"/>
          <w:shd w:fill="EEF1F4"/>
        </w:rPr>
        <w:t>module/README.md</w:t>
      </w:r>
      <w:r>
        <w:rPr>
          <w:rFonts w:ascii="Calibri" w:hAnsi="Calibri"/>
          <w:color w:val="222222"/>
        </w:rPr>
        <w:t>.</w:t>
      </w:r>
    </w:p>
    <w:p>
      <w:pPr>
        <w:pStyle w:val="Heading2"/>
      </w:pPr>
      <w:r>
        <w:rPr>
          <w:rFonts w:ascii="Calibri" w:hAnsi="Calibri"/>
          <w:color w:val="222222"/>
        </w:rPr>
        <w:t>Continue to the pretest</w:t>
      </w:r>
    </w:p>
    <w:p>
      <w:r>
        <w:rPr>
          <w:rFonts w:ascii="Calibri" w:hAnsi="Calibri"/>
          <w:color w:val="222222"/>
        </w:rPr>
        <w:t>After Jupyter opens successfully, return to the learner guide and complete the pretest. For each lesson, read the guide first, run the matching notebook section, write the requested answer in the named worksheet or learner-edit cell, and check the “Ready to move on?” note.</w:t>
      </w:r>
    </w:p>
    <w:p>
      <w:r>
        <w:br w:type="page"/>
      </w:r>
    </w:p>
    <w:p>
      <w:pPr>
        <w:pStyle w:val="Heading1"/>
        <w:pageBreakBefore w:val="0"/>
      </w:pPr>
      <w:r>
        <w:t>Learner pretest</w:t>
      </w:r>
    </w:p>
    <w:p>
      <w:pPr>
        <w:spacing w:after="160"/>
      </w:pPr>
      <w:r>
        <w:rPr>
          <w:rFonts w:ascii="Calibri" w:hAnsi="Calibri"/>
          <w:color w:val="222222"/>
        </w:rPr>
        <w:t>Answer without consulting the lessons. This baseline does not determine eligibility. The delivery platform should hide answers and rationales until submission.</w:t>
      </w:r>
    </w:p>
    <w:p>
      <w:pPr>
        <w:spacing w:after="200"/>
      </w:pPr>
      <w:r>
        <w:rPr>
          <w:rFonts w:ascii="Calibri" w:hAnsi="Calibri"/>
          <w:color w:val="222222"/>
        </w:rPr>
        <w:t>Estimated time: 5 minutes</w:t>
      </w:r>
    </w:p>
    <w:p>
      <w:pPr>
        <w:pStyle w:val="Heading2"/>
        <w:keepNext/>
      </w:pPr>
      <w:r>
        <w:rPr>
          <w:rFonts w:ascii="Calibri" w:hAnsi="Calibri"/>
          <w:color w:val="222222"/>
        </w:rPr>
        <w:t>1. Which information is essential for interpreting a metabolite value labeled post?</w:t>
      </w:r>
    </w:p>
    <w:p>
      <w:pPr>
        <w:keepNext/>
        <w:spacing w:after="60"/>
        <w:ind w:left="547" w:hanging="317"/>
      </w:pPr>
      <w:r>
        <w:rPr>
          <w:rFonts w:ascii="Calibri" w:hAnsi="Calibri"/>
          <w:b/>
          <w:color w:val="1F4D78"/>
        </w:rPr>
        <w:t xml:space="preserve">[ ] A. </w:t>
      </w:r>
      <w:r>
        <w:rPr>
          <w:rFonts w:ascii="Calibri" w:hAnsi="Calibri"/>
          <w:color w:val="222222"/>
        </w:rPr>
        <w:t>Only the metabolite name</w:t>
      </w:r>
    </w:p>
    <w:p>
      <w:pPr>
        <w:keepNext/>
        <w:spacing w:after="60"/>
        <w:ind w:left="547" w:hanging="317"/>
      </w:pPr>
      <w:r>
        <w:rPr>
          <w:rFonts w:ascii="Calibri" w:hAnsi="Calibri"/>
          <w:b/>
          <w:color w:val="1F4D78"/>
        </w:rPr>
        <w:t xml:space="preserve">[ ] B. </w:t>
      </w:r>
      <w:r>
        <w:rPr>
          <w:rFonts w:ascii="Calibri" w:hAnsi="Calibri"/>
          <w:color w:val="222222"/>
        </w:rPr>
        <w:t>Only the participant's age</w:t>
      </w:r>
    </w:p>
    <w:p>
      <w:pPr>
        <w:keepNext/>
        <w:spacing w:after="60"/>
        <w:ind w:left="547" w:hanging="317"/>
      </w:pPr>
      <w:r>
        <w:rPr>
          <w:rFonts w:ascii="Calibri" w:hAnsi="Calibri"/>
          <w:b/>
          <w:color w:val="1F4D78"/>
        </w:rPr>
        <w:t xml:space="preserve">[ ] C. </w:t>
      </w:r>
      <w:r>
        <w:rPr>
          <w:rFonts w:ascii="Calibri" w:hAnsi="Calibri"/>
          <w:color w:val="222222"/>
        </w:rPr>
        <w:t>The anchor event, elapsed time, specimen, physiological state, and assay context</w:t>
      </w:r>
    </w:p>
    <w:p>
      <w:pPr>
        <w:keepNext/>
        <w:spacing w:after="60"/>
        <w:ind w:left="547" w:hanging="317"/>
      </w:pPr>
      <w:r>
        <w:rPr>
          <w:rFonts w:ascii="Calibri" w:hAnsi="Calibri"/>
          <w:b/>
          <w:color w:val="1F4D78"/>
        </w:rPr>
        <w:t xml:space="preserve">[ ] D. </w:t>
      </w:r>
      <w:r>
        <w:rPr>
          <w:rFonts w:ascii="Calibri" w:hAnsi="Calibri"/>
          <w:color w:val="222222"/>
        </w:rPr>
        <w:t>Only whether the value is above the median</w:t>
      </w:r>
    </w:p>
    <w:p>
      <w:pPr>
        <w:spacing w:after="160"/>
      </w:pPr>
      <w:r>
        <w:rPr>
          <w:rFonts w:ascii="Calibri" w:hAnsi="Calibri"/>
          <w:i/>
          <w:color w:val="5A6570"/>
          <w:sz w:val="19"/>
        </w:rPr>
        <w:t>Response: ________    Confidence (1-5): ________</w:t>
      </w:r>
    </w:p>
    <w:p>
      <w:pPr>
        <w:pStyle w:val="Heading2"/>
        <w:keepNext/>
      </w:pPr>
      <w:r>
        <w:rPr>
          <w:rFonts w:ascii="Calibri" w:hAnsi="Calibri"/>
          <w:color w:val="222222"/>
        </w:rPr>
        <w:t>2. A repository lists 120 samples from 30 people collected at four visits. Which statement is correct?</w:t>
      </w:r>
    </w:p>
    <w:p>
      <w:pPr>
        <w:keepNext/>
        <w:spacing w:after="60"/>
        <w:ind w:left="547" w:hanging="317"/>
      </w:pPr>
      <w:r>
        <w:rPr>
          <w:rFonts w:ascii="Calibri" w:hAnsi="Calibri"/>
          <w:b/>
          <w:color w:val="1F4D78"/>
        </w:rPr>
        <w:t xml:space="preserve">[ ] A. </w:t>
      </w:r>
      <w:r>
        <w:rPr>
          <w:rFonts w:ascii="Calibri" w:hAnsi="Calibri"/>
          <w:color w:val="222222"/>
        </w:rPr>
        <w:t>The study contains 120 independent participants.</w:t>
      </w:r>
    </w:p>
    <w:p>
      <w:pPr>
        <w:keepNext/>
        <w:spacing w:after="60"/>
        <w:ind w:left="547" w:hanging="317"/>
      </w:pPr>
      <w:r>
        <w:rPr>
          <w:rFonts w:ascii="Calibri" w:hAnsi="Calibri"/>
          <w:b/>
          <w:color w:val="1F4D78"/>
        </w:rPr>
        <w:t xml:space="preserve">[ ] B. </w:t>
      </w:r>
      <w:r>
        <w:rPr>
          <w:rFonts w:ascii="Calibri" w:hAnsi="Calibri"/>
          <w:color w:val="222222"/>
        </w:rPr>
        <w:t>The repeated samples are correlated and participant linkage must be preserved.</w:t>
      </w:r>
    </w:p>
    <w:p>
      <w:pPr>
        <w:keepNext/>
        <w:spacing w:after="60"/>
        <w:ind w:left="547" w:hanging="317"/>
      </w:pPr>
      <w:r>
        <w:rPr>
          <w:rFonts w:ascii="Calibri" w:hAnsi="Calibri"/>
          <w:b/>
          <w:color w:val="1F4D78"/>
        </w:rPr>
        <w:t xml:space="preserve">[ ] C. </w:t>
      </w:r>
      <w:r>
        <w:rPr>
          <w:rFonts w:ascii="Calibri" w:hAnsi="Calibri"/>
          <w:color w:val="222222"/>
        </w:rPr>
        <w:t>Visit can be ignored if metabolite names match.</w:t>
      </w:r>
    </w:p>
    <w:p>
      <w:pPr>
        <w:keepNext/>
        <w:spacing w:after="60"/>
        <w:ind w:left="547" w:hanging="317"/>
      </w:pPr>
      <w:r>
        <w:rPr>
          <w:rFonts w:ascii="Calibri" w:hAnsi="Calibri"/>
          <w:b/>
          <w:color w:val="1F4D78"/>
        </w:rPr>
        <w:t xml:space="preserve">[ ] D. </w:t>
      </w:r>
      <w:r>
        <w:rPr>
          <w:rFonts w:ascii="Calibri" w:hAnsi="Calibri"/>
          <w:color w:val="222222"/>
        </w:rPr>
        <w:t>PCA automatically accounts for the repeated design.</w:t>
      </w:r>
    </w:p>
    <w:p>
      <w:pPr>
        <w:spacing w:after="160"/>
      </w:pPr>
      <w:r>
        <w:rPr>
          <w:rFonts w:ascii="Calibri" w:hAnsi="Calibri"/>
          <w:i/>
          <w:color w:val="5A6570"/>
          <w:sz w:val="19"/>
        </w:rPr>
        <w:t>Response: ________    Confidence (1-5): ________</w:t>
      </w:r>
    </w:p>
    <w:p>
      <w:pPr>
        <w:pStyle w:val="Heading2"/>
        <w:keepNext/>
      </w:pPr>
      <w:r>
        <w:rPr>
          <w:rFonts w:ascii="Calibri" w:hAnsi="Calibri"/>
          <w:color w:val="222222"/>
        </w:rPr>
        <w:t>3. Two studies report the same standardized metabolite name. What does this establish?</w:t>
      </w:r>
    </w:p>
    <w:p>
      <w:pPr>
        <w:keepNext/>
        <w:spacing w:after="60"/>
        <w:ind w:left="547" w:hanging="317"/>
      </w:pPr>
      <w:r>
        <w:rPr>
          <w:rFonts w:ascii="Calibri" w:hAnsi="Calibri"/>
          <w:b/>
          <w:color w:val="1F4D78"/>
        </w:rPr>
        <w:t xml:space="preserve">[ ] A. </w:t>
      </w:r>
      <w:r>
        <w:rPr>
          <w:rFonts w:ascii="Calibri" w:hAnsi="Calibri"/>
          <w:color w:val="222222"/>
        </w:rPr>
        <w:t>A common candidate naming key, subject to annotation and context review</w:t>
      </w:r>
    </w:p>
    <w:p>
      <w:pPr>
        <w:keepNext/>
        <w:spacing w:after="60"/>
        <w:ind w:left="547" w:hanging="317"/>
      </w:pPr>
      <w:r>
        <w:rPr>
          <w:rFonts w:ascii="Calibri" w:hAnsi="Calibri"/>
          <w:b/>
          <w:color w:val="1F4D78"/>
        </w:rPr>
        <w:t xml:space="preserve">[ ] B. </w:t>
      </w:r>
      <w:r>
        <w:rPr>
          <w:rFonts w:ascii="Calibri" w:hAnsi="Calibri"/>
          <w:color w:val="222222"/>
        </w:rPr>
        <w:t>A common quantitative scale</w:t>
      </w:r>
    </w:p>
    <w:p>
      <w:pPr>
        <w:keepNext/>
        <w:spacing w:after="60"/>
        <w:ind w:left="547" w:hanging="317"/>
      </w:pPr>
      <w:r>
        <w:rPr>
          <w:rFonts w:ascii="Calibri" w:hAnsi="Calibri"/>
          <w:b/>
          <w:color w:val="1F4D78"/>
        </w:rPr>
        <w:t xml:space="preserve">[ ] C. </w:t>
      </w:r>
      <w:r>
        <w:rPr>
          <w:rFonts w:ascii="Calibri" w:hAnsi="Calibri"/>
          <w:color w:val="222222"/>
        </w:rPr>
        <w:t>A common causal intervention effect</w:t>
      </w:r>
    </w:p>
    <w:p>
      <w:pPr>
        <w:keepNext/>
        <w:spacing w:after="60"/>
        <w:ind w:left="547" w:hanging="317"/>
      </w:pPr>
      <w:r>
        <w:rPr>
          <w:rFonts w:ascii="Calibri" w:hAnsi="Calibri"/>
          <w:b/>
          <w:color w:val="1F4D78"/>
        </w:rPr>
        <w:t xml:space="preserve">[ ] D. </w:t>
      </w:r>
      <w:r>
        <w:rPr>
          <w:rFonts w:ascii="Calibri" w:hAnsi="Calibri"/>
          <w:color w:val="222222"/>
        </w:rPr>
        <w:t>Identical specimens and preprocessing</w:t>
      </w:r>
    </w:p>
    <w:p>
      <w:pPr>
        <w:spacing w:after="160"/>
      </w:pPr>
      <w:r>
        <w:rPr>
          <w:rFonts w:ascii="Calibri" w:hAnsi="Calibri"/>
          <w:i/>
          <w:color w:val="5A6570"/>
          <w:sz w:val="19"/>
        </w:rPr>
        <w:t>Response: ________    Confidence (1-5): ________</w:t>
      </w:r>
    </w:p>
    <w:p>
      <w:pPr>
        <w:pStyle w:val="Heading2"/>
        <w:keepNext/>
      </w:pPr>
      <w:r>
        <w:rPr>
          <w:rFonts w:ascii="Calibri" w:hAnsi="Calibri"/>
          <w:color w:val="222222"/>
        </w:rPr>
        <w:t>4. What is RefMet's primary role in this module?</w:t>
      </w:r>
    </w:p>
    <w:p>
      <w:pPr>
        <w:keepNext/>
        <w:spacing w:after="60"/>
        <w:ind w:left="547" w:hanging="317"/>
      </w:pPr>
      <w:r>
        <w:rPr>
          <w:rFonts w:ascii="Calibri" w:hAnsi="Calibri"/>
          <w:b/>
          <w:color w:val="1F4D78"/>
        </w:rPr>
        <w:t xml:space="preserve">[ ] A. </w:t>
      </w:r>
      <w:r>
        <w:rPr>
          <w:rFonts w:ascii="Calibri" w:hAnsi="Calibri"/>
          <w:color w:val="222222"/>
        </w:rPr>
        <w:t>Convert every peak area to concentration</w:t>
      </w:r>
    </w:p>
    <w:p>
      <w:pPr>
        <w:keepNext/>
        <w:spacing w:after="60"/>
        <w:ind w:left="547" w:hanging="317"/>
      </w:pPr>
      <w:r>
        <w:rPr>
          <w:rFonts w:ascii="Calibri" w:hAnsi="Calibri"/>
          <w:b/>
          <w:color w:val="1F4D78"/>
        </w:rPr>
        <w:t xml:space="preserve">[ ] B. </w:t>
      </w:r>
      <w:r>
        <w:rPr>
          <w:rFonts w:ascii="Calibri" w:hAnsi="Calibri"/>
          <w:color w:val="222222"/>
        </w:rPr>
        <w:t>Provide standardized analytical-chemistry nomenclature for metabolite structures and species</w:t>
      </w:r>
    </w:p>
    <w:p>
      <w:pPr>
        <w:keepNext/>
        <w:spacing w:after="60"/>
        <w:ind w:left="547" w:hanging="317"/>
      </w:pPr>
      <w:r>
        <w:rPr>
          <w:rFonts w:ascii="Calibri" w:hAnsi="Calibri"/>
          <w:b/>
          <w:color w:val="1F4D78"/>
        </w:rPr>
        <w:t xml:space="preserve">[ ] C. </w:t>
      </w:r>
      <w:r>
        <w:rPr>
          <w:rFonts w:ascii="Calibri" w:hAnsi="Calibri"/>
          <w:color w:val="222222"/>
        </w:rPr>
        <w:t>Correct all batch effects</w:t>
      </w:r>
    </w:p>
    <w:p>
      <w:pPr>
        <w:keepNext/>
        <w:spacing w:after="60"/>
        <w:ind w:left="547" w:hanging="317"/>
      </w:pPr>
      <w:r>
        <w:rPr>
          <w:rFonts w:ascii="Calibri" w:hAnsi="Calibri"/>
          <w:b/>
          <w:color w:val="1F4D78"/>
        </w:rPr>
        <w:t xml:space="preserve">[ ] D. </w:t>
      </w:r>
      <w:r>
        <w:rPr>
          <w:rFonts w:ascii="Calibri" w:hAnsi="Calibri"/>
          <w:color w:val="222222"/>
        </w:rPr>
        <w:t>Determine participant access eligibility</w:t>
      </w:r>
    </w:p>
    <w:p>
      <w:pPr>
        <w:spacing w:after="160"/>
      </w:pPr>
      <w:r>
        <w:rPr>
          <w:rFonts w:ascii="Calibri" w:hAnsi="Calibri"/>
          <w:i/>
          <w:color w:val="5A6570"/>
          <w:sz w:val="19"/>
        </w:rPr>
        <w:t>Response: ________    Confidence (1-5): ________</w:t>
      </w:r>
    </w:p>
    <w:p>
      <w:pPr>
        <w:pStyle w:val="Heading2"/>
        <w:keepNext/>
      </w:pPr>
      <w:r>
        <w:rPr>
          <w:rFonts w:ascii="Calibri" w:hAnsi="Calibri"/>
          <w:color w:val="222222"/>
        </w:rPr>
        <w:t>5. A name lookup returns two plausible metabolite candidates and no additional structural evidence. What is the best next step?</w:t>
      </w:r>
    </w:p>
    <w:p>
      <w:pPr>
        <w:keepNext/>
        <w:spacing w:after="60"/>
        <w:ind w:left="547" w:hanging="317"/>
      </w:pPr>
      <w:r>
        <w:rPr>
          <w:rFonts w:ascii="Calibri" w:hAnsi="Calibri"/>
          <w:b/>
          <w:color w:val="1F4D78"/>
        </w:rPr>
        <w:t xml:space="preserve">[ ] A. </w:t>
      </w:r>
      <w:r>
        <w:rPr>
          <w:rFonts w:ascii="Calibri" w:hAnsi="Calibri"/>
          <w:color w:val="222222"/>
        </w:rPr>
        <w:t>Choose the first candidate.</w:t>
      </w:r>
    </w:p>
    <w:p>
      <w:pPr>
        <w:keepNext/>
        <w:spacing w:after="60"/>
        <w:ind w:left="547" w:hanging="317"/>
      </w:pPr>
      <w:r>
        <w:rPr>
          <w:rFonts w:ascii="Calibri" w:hAnsi="Calibri"/>
          <w:b/>
          <w:color w:val="1F4D78"/>
        </w:rPr>
        <w:t xml:space="preserve">[ ] B. </w:t>
      </w:r>
      <w:r>
        <w:rPr>
          <w:rFonts w:ascii="Calibri" w:hAnsi="Calibri"/>
          <w:color w:val="222222"/>
        </w:rPr>
        <w:t>Choose the candidate that maximizes study overlap.</w:t>
      </w:r>
    </w:p>
    <w:p>
      <w:pPr>
        <w:keepNext/>
        <w:spacing w:after="60"/>
        <w:ind w:left="547" w:hanging="317"/>
      </w:pPr>
      <w:r>
        <w:rPr>
          <w:rFonts w:ascii="Calibri" w:hAnsi="Calibri"/>
          <w:b/>
          <w:color w:val="1F4D78"/>
        </w:rPr>
        <w:t xml:space="preserve">[ ] C. </w:t>
      </w:r>
      <w:r>
        <w:rPr>
          <w:rFonts w:ascii="Calibri" w:hAnsi="Calibri"/>
          <w:color w:val="222222"/>
        </w:rPr>
        <w:t>Preserve both candidates, flag the row for review, and exclude it from exact overlap until resolved.</w:t>
      </w:r>
    </w:p>
    <w:p>
      <w:pPr>
        <w:keepNext/>
        <w:spacing w:after="60"/>
        <w:ind w:left="547" w:hanging="317"/>
      </w:pPr>
      <w:r>
        <w:rPr>
          <w:rFonts w:ascii="Calibri" w:hAnsi="Calibri"/>
          <w:b/>
          <w:color w:val="1F4D78"/>
        </w:rPr>
        <w:t xml:space="preserve">[ ] D. </w:t>
      </w:r>
      <w:r>
        <w:rPr>
          <w:rFonts w:ascii="Calibri" w:hAnsi="Calibri"/>
          <w:color w:val="222222"/>
        </w:rPr>
        <w:t>Delete the source label.</w:t>
      </w:r>
    </w:p>
    <w:p>
      <w:pPr>
        <w:spacing w:after="160"/>
      </w:pPr>
      <w:r>
        <w:rPr>
          <w:rFonts w:ascii="Calibri" w:hAnsi="Calibri"/>
          <w:i/>
          <w:color w:val="5A6570"/>
          <w:sz w:val="19"/>
        </w:rPr>
        <w:t>Response: ________    Confidence (1-5): ________</w:t>
      </w:r>
    </w:p>
    <w:p>
      <w:pPr>
        <w:pStyle w:val="Heading2"/>
        <w:keepNext/>
      </w:pPr>
      <w:r>
        <w:rPr>
          <w:rFonts w:ascii="Calibri" w:hAnsi="Calibri"/>
          <w:color w:val="222222"/>
        </w:rPr>
        <w:t>6. Which Metabolomics Workbench REST study output is designed to return samples and experimental factors?</w:t>
      </w:r>
    </w:p>
    <w:p>
      <w:pPr>
        <w:keepNext/>
        <w:spacing w:after="60"/>
        <w:ind w:left="547" w:hanging="317"/>
      </w:pPr>
      <w:r>
        <w:rPr>
          <w:rFonts w:ascii="Calibri" w:hAnsi="Calibri"/>
          <w:b/>
          <w:color w:val="1F4D78"/>
        </w:rPr>
        <w:t xml:space="preserve">[ ] A. </w:t>
      </w:r>
      <w:r>
        <w:rPr>
          <w:rFonts w:ascii="Calibri" w:hAnsi="Calibri"/>
          <w:color w:val="222222"/>
        </w:rPr>
        <w:t>summary</w:t>
      </w:r>
    </w:p>
    <w:p>
      <w:pPr>
        <w:keepNext/>
        <w:spacing w:after="60"/>
        <w:ind w:left="547" w:hanging="317"/>
      </w:pPr>
      <w:r>
        <w:rPr>
          <w:rFonts w:ascii="Calibri" w:hAnsi="Calibri"/>
          <w:b/>
          <w:color w:val="1F4D78"/>
        </w:rPr>
        <w:t xml:space="preserve">[ ] B. </w:t>
      </w:r>
      <w:r>
        <w:rPr>
          <w:rFonts w:ascii="Calibri" w:hAnsi="Calibri"/>
          <w:color w:val="222222"/>
        </w:rPr>
        <w:t>factors</w:t>
      </w:r>
    </w:p>
    <w:p>
      <w:pPr>
        <w:keepNext/>
        <w:spacing w:after="60"/>
        <w:ind w:left="547" w:hanging="317"/>
      </w:pPr>
      <w:r>
        <w:rPr>
          <w:rFonts w:ascii="Calibri" w:hAnsi="Calibri"/>
          <w:b/>
          <w:color w:val="1F4D78"/>
        </w:rPr>
        <w:t xml:space="preserve">[ ] C. </w:t>
      </w:r>
      <w:r>
        <w:rPr>
          <w:rFonts w:ascii="Calibri" w:hAnsi="Calibri"/>
          <w:color w:val="222222"/>
        </w:rPr>
        <w:t>classification</w:t>
      </w:r>
    </w:p>
    <w:p>
      <w:pPr>
        <w:keepNext/>
        <w:spacing w:after="60"/>
        <w:ind w:left="547" w:hanging="317"/>
      </w:pPr>
      <w:r>
        <w:rPr>
          <w:rFonts w:ascii="Calibri" w:hAnsi="Calibri"/>
          <w:b/>
          <w:color w:val="1F4D78"/>
        </w:rPr>
        <w:t xml:space="preserve">[ ] D. </w:t>
      </w:r>
      <w:r>
        <w:rPr>
          <w:rFonts w:ascii="Calibri" w:hAnsi="Calibri"/>
          <w:color w:val="222222"/>
        </w:rPr>
        <w:t>molfile</w:t>
      </w:r>
    </w:p>
    <w:p>
      <w:pPr>
        <w:spacing w:after="160"/>
      </w:pPr>
      <w:r>
        <w:rPr>
          <w:rFonts w:ascii="Calibri" w:hAnsi="Calibri"/>
          <w:i/>
          <w:color w:val="5A6570"/>
          <w:sz w:val="19"/>
        </w:rPr>
        <w:t>Response: ________    Confidence (1-5): ________</w:t>
      </w:r>
    </w:p>
    <w:p>
      <w:pPr>
        <w:pStyle w:val="Heading2"/>
        <w:keepNext/>
      </w:pPr>
      <w:r>
        <w:rPr>
          <w:rFonts w:ascii="Calibri" w:hAnsi="Calibri"/>
          <w:color w:val="222222"/>
        </w:rPr>
        <w:t>7. What does separation in an exploratory PCA prove?</w:t>
      </w:r>
    </w:p>
    <w:p>
      <w:pPr>
        <w:keepNext/>
        <w:spacing w:after="60"/>
        <w:ind w:left="547" w:hanging="317"/>
      </w:pPr>
      <w:r>
        <w:rPr>
          <w:rFonts w:ascii="Calibri" w:hAnsi="Calibri"/>
          <w:b/>
          <w:color w:val="1F4D78"/>
        </w:rPr>
        <w:t xml:space="preserve">[ ] A. </w:t>
      </w:r>
      <w:r>
        <w:rPr>
          <w:rFonts w:ascii="Calibri" w:hAnsi="Calibri"/>
          <w:color w:val="222222"/>
        </w:rPr>
        <w:t>The intervention caused every difference.</w:t>
      </w:r>
    </w:p>
    <w:p>
      <w:pPr>
        <w:keepNext/>
        <w:spacing w:after="60"/>
        <w:ind w:left="547" w:hanging="317"/>
      </w:pPr>
      <w:r>
        <w:rPr>
          <w:rFonts w:ascii="Calibri" w:hAnsi="Calibri"/>
          <w:b/>
          <w:color w:val="1F4D78"/>
        </w:rPr>
        <w:t xml:space="preserve">[ ] B. </w:t>
      </w:r>
      <w:r>
        <w:rPr>
          <w:rFonts w:ascii="Calibri" w:hAnsi="Calibri"/>
          <w:color w:val="222222"/>
        </w:rPr>
        <w:t>The displayed samples differ along major variance directions under the selected preprocessing; causes require additional evidence.</w:t>
      </w:r>
    </w:p>
    <w:p>
      <w:pPr>
        <w:keepNext/>
        <w:spacing w:after="60"/>
        <w:ind w:left="547" w:hanging="317"/>
      </w:pPr>
      <w:r>
        <w:rPr>
          <w:rFonts w:ascii="Calibri" w:hAnsi="Calibri"/>
          <w:b/>
          <w:color w:val="1F4D78"/>
        </w:rPr>
        <w:t xml:space="preserve">[ ] C. </w:t>
      </w:r>
      <w:r>
        <w:rPr>
          <w:rFonts w:ascii="Calibri" w:hAnsi="Calibri"/>
          <w:color w:val="222222"/>
        </w:rPr>
        <w:t>Batch effects have been removed.</w:t>
      </w:r>
    </w:p>
    <w:p>
      <w:pPr>
        <w:keepNext/>
        <w:spacing w:after="60"/>
        <w:ind w:left="547" w:hanging="317"/>
      </w:pPr>
      <w:r>
        <w:rPr>
          <w:rFonts w:ascii="Calibri" w:hAnsi="Calibri"/>
          <w:b/>
          <w:color w:val="1F4D78"/>
        </w:rPr>
        <w:t xml:space="preserve">[ ] D. </w:t>
      </w:r>
      <w:r>
        <w:rPr>
          <w:rFonts w:ascii="Calibri" w:hAnsi="Calibri"/>
          <w:color w:val="222222"/>
        </w:rPr>
        <w:t>The data are normally distributed.</w:t>
      </w:r>
    </w:p>
    <w:p>
      <w:pPr>
        <w:spacing w:after="160"/>
      </w:pPr>
      <w:r>
        <w:rPr>
          <w:rFonts w:ascii="Calibri" w:hAnsi="Calibri"/>
          <w:i/>
          <w:color w:val="5A6570"/>
          <w:sz w:val="19"/>
        </w:rPr>
        <w:t>Response: ________    Confidence (1-5): ________</w:t>
      </w:r>
    </w:p>
    <w:p>
      <w:pPr>
        <w:pStyle w:val="Heading2"/>
        <w:keepNext/>
      </w:pPr>
      <w:r>
        <w:rPr>
          <w:rFonts w:ascii="Calibri" w:hAnsi="Calibri"/>
          <w:color w:val="222222"/>
        </w:rPr>
        <w:t>8. What is the best way to determine whether a dataset is open, agreement-gated, or controlled?</w:t>
      </w:r>
    </w:p>
    <w:p>
      <w:pPr>
        <w:keepNext/>
        <w:spacing w:after="60"/>
        <w:ind w:left="547" w:hanging="317"/>
      </w:pPr>
      <w:r>
        <w:rPr>
          <w:rFonts w:ascii="Calibri" w:hAnsi="Calibri"/>
          <w:b/>
          <w:color w:val="1F4D78"/>
        </w:rPr>
        <w:t xml:space="preserve">[ ] A. </w:t>
      </w:r>
      <w:r>
        <w:rPr>
          <w:rFonts w:ascii="Calibri" w:hAnsi="Calibri"/>
          <w:color w:val="222222"/>
        </w:rPr>
        <w:t>Use the program's access status from memory.</w:t>
      </w:r>
    </w:p>
    <w:p>
      <w:pPr>
        <w:keepNext/>
        <w:spacing w:after="60"/>
        <w:ind w:left="547" w:hanging="317"/>
      </w:pPr>
      <w:r>
        <w:rPr>
          <w:rFonts w:ascii="Calibri" w:hAnsi="Calibri"/>
          <w:b/>
          <w:color w:val="1F4D78"/>
        </w:rPr>
        <w:t xml:space="preserve">[ ] B. </w:t>
      </w:r>
      <w:r>
        <w:rPr>
          <w:rFonts w:ascii="Calibri" w:hAnsi="Calibri"/>
          <w:color w:val="222222"/>
        </w:rPr>
        <w:t>Check current first-party documentation for the exact dataset, release, and intended action and record the date.</w:t>
      </w:r>
    </w:p>
    <w:p>
      <w:pPr>
        <w:keepNext/>
        <w:spacing w:after="60"/>
        <w:ind w:left="547" w:hanging="317"/>
      </w:pPr>
      <w:r>
        <w:rPr>
          <w:rFonts w:ascii="Calibri" w:hAnsi="Calibri"/>
          <w:b/>
          <w:color w:val="1F4D78"/>
        </w:rPr>
        <w:t xml:space="preserve">[ ] C. </w:t>
      </w:r>
      <w:r>
        <w:rPr>
          <w:rFonts w:ascii="Calibri" w:hAnsi="Calibri"/>
          <w:color w:val="222222"/>
        </w:rPr>
        <w:t>Assume that a public landing page permits download.</w:t>
      </w:r>
    </w:p>
    <w:p>
      <w:pPr>
        <w:keepNext/>
        <w:spacing w:after="60"/>
        <w:ind w:left="547" w:hanging="317"/>
      </w:pPr>
      <w:r>
        <w:rPr>
          <w:rFonts w:ascii="Calibri" w:hAnsi="Calibri"/>
          <w:b/>
          <w:color w:val="1F4D78"/>
        </w:rPr>
        <w:t xml:space="preserve">[ ] D. </w:t>
      </w:r>
      <w:r>
        <w:rPr>
          <w:rFonts w:ascii="Calibri" w:hAnsi="Calibri"/>
          <w:color w:val="222222"/>
        </w:rPr>
        <w:t>Assume all NIH data are unrestricted.</w:t>
      </w:r>
    </w:p>
    <w:p>
      <w:pPr>
        <w:spacing w:after="160"/>
      </w:pPr>
      <w:r>
        <w:rPr>
          <w:rFonts w:ascii="Calibri" w:hAnsi="Calibri"/>
          <w:i/>
          <w:color w:val="5A6570"/>
          <w:sz w:val="19"/>
        </w:rPr>
        <w:t>Response: ________    Confidence (1-5): ________</w:t>
      </w:r>
    </w:p>
    <w:p>
      <w:pPr>
        <w:pStyle w:val="Heading2"/>
        <w:keepNext/>
      </w:pPr>
      <w:r>
        <w:rPr>
          <w:rFonts w:ascii="Calibri" w:hAnsi="Calibri"/>
          <w:color w:val="222222"/>
        </w:rPr>
        <w:t>9. For broad dataset discovery, plasma and serum are best classified as:</w:t>
      </w:r>
    </w:p>
    <w:p>
      <w:pPr>
        <w:keepNext/>
        <w:spacing w:after="60"/>
        <w:ind w:left="547" w:hanging="317"/>
      </w:pPr>
      <w:r>
        <w:rPr>
          <w:rFonts w:ascii="Calibri" w:hAnsi="Calibri"/>
          <w:b/>
          <w:color w:val="1F4D78"/>
        </w:rPr>
        <w:t xml:space="preserve">[ ] A. </w:t>
      </w:r>
      <w:r>
        <w:rPr>
          <w:rFonts w:ascii="Calibri" w:hAnsi="Calibri"/>
          <w:color w:val="222222"/>
        </w:rPr>
        <w:t>Identical matrices</w:t>
      </w:r>
    </w:p>
    <w:p>
      <w:pPr>
        <w:keepNext/>
        <w:spacing w:after="60"/>
        <w:ind w:left="547" w:hanging="317"/>
      </w:pPr>
      <w:r>
        <w:rPr>
          <w:rFonts w:ascii="Calibri" w:hAnsi="Calibri"/>
          <w:b/>
          <w:color w:val="1F4D78"/>
        </w:rPr>
        <w:t xml:space="preserve">[ ] B. </w:t>
      </w:r>
      <w:r>
        <w:rPr>
          <w:rFonts w:ascii="Calibri" w:hAnsi="Calibri"/>
          <w:color w:val="222222"/>
        </w:rPr>
        <w:t>Partially comparable blood-derived fluids whose exact matrices must remain visible</w:t>
      </w:r>
    </w:p>
    <w:p>
      <w:pPr>
        <w:keepNext/>
        <w:spacing w:after="60"/>
        <w:ind w:left="547" w:hanging="317"/>
      </w:pPr>
      <w:r>
        <w:rPr>
          <w:rFonts w:ascii="Calibri" w:hAnsi="Calibri"/>
          <w:b/>
          <w:color w:val="1F4D78"/>
        </w:rPr>
        <w:t xml:space="preserve">[ ] C. </w:t>
      </w:r>
      <w:r>
        <w:rPr>
          <w:rFonts w:ascii="Calibri" w:hAnsi="Calibri"/>
          <w:color w:val="222222"/>
        </w:rPr>
        <w:t>Always not comparable for any purpose</w:t>
      </w:r>
    </w:p>
    <w:p>
      <w:pPr>
        <w:keepNext/>
        <w:spacing w:after="60"/>
        <w:ind w:left="547" w:hanging="317"/>
      </w:pPr>
      <w:r>
        <w:rPr>
          <w:rFonts w:ascii="Calibri" w:hAnsi="Calibri"/>
          <w:b/>
          <w:color w:val="1F4D78"/>
        </w:rPr>
        <w:t xml:space="preserve">[ ] D. </w:t>
      </w:r>
      <w:r>
        <w:rPr>
          <w:rFonts w:ascii="Calibri" w:hAnsi="Calibri"/>
          <w:color w:val="222222"/>
        </w:rPr>
        <w:t>Directly comparable after z-scoring</w:t>
      </w:r>
    </w:p>
    <w:p>
      <w:pPr>
        <w:spacing w:after="160"/>
      </w:pPr>
      <w:r>
        <w:rPr>
          <w:rFonts w:ascii="Calibri" w:hAnsi="Calibri"/>
          <w:i/>
          <w:color w:val="5A6570"/>
          <w:sz w:val="19"/>
        </w:rPr>
        <w:t>Response: ________    Confidence (1-5): ________</w:t>
      </w:r>
    </w:p>
    <w:p>
      <w:pPr>
        <w:pStyle w:val="Heading2"/>
        <w:keepNext/>
      </w:pPr>
      <w:r>
        <w:rPr>
          <w:rFonts w:ascii="Calibri" w:hAnsi="Calibri"/>
          <w:color w:val="222222"/>
        </w:rPr>
        <w:t>10. What is the safest default architecture for participant-level data in a controlled Researcher Workbench?</w:t>
      </w:r>
    </w:p>
    <w:p>
      <w:pPr>
        <w:keepNext/>
        <w:spacing w:after="60"/>
        <w:ind w:left="547" w:hanging="317"/>
      </w:pPr>
      <w:r>
        <w:rPr>
          <w:rFonts w:ascii="Calibri" w:hAnsi="Calibri"/>
          <w:b/>
          <w:color w:val="1F4D78"/>
        </w:rPr>
        <w:t xml:space="preserve">[ ] A. </w:t>
      </w:r>
      <w:r>
        <w:rPr>
          <w:rFonts w:ascii="Calibri" w:hAnsi="Calibri"/>
          <w:color w:val="222222"/>
        </w:rPr>
        <w:t>Download the participant table to a personal laptop for speed.</w:t>
      </w:r>
    </w:p>
    <w:p>
      <w:pPr>
        <w:keepNext/>
        <w:spacing w:after="60"/>
        <w:ind w:left="547" w:hanging="317"/>
      </w:pPr>
      <w:r>
        <w:rPr>
          <w:rFonts w:ascii="Calibri" w:hAnsi="Calibri"/>
          <w:b/>
          <w:color w:val="1F4D78"/>
        </w:rPr>
        <w:t xml:space="preserve">[ ] B. </w:t>
      </w:r>
      <w:r>
        <w:rPr>
          <w:rFonts w:ascii="Calibri" w:hAnsi="Calibri"/>
          <w:color w:val="222222"/>
        </w:rPr>
        <w:t>Run approved code in the governed workspace and export only outputs permitted by current policy.</w:t>
      </w:r>
    </w:p>
    <w:p>
      <w:pPr>
        <w:keepNext/>
        <w:spacing w:after="60"/>
        <w:ind w:left="547" w:hanging="317"/>
      </w:pPr>
      <w:r>
        <w:rPr>
          <w:rFonts w:ascii="Calibri" w:hAnsi="Calibri"/>
          <w:b/>
          <w:color w:val="1F4D78"/>
        </w:rPr>
        <w:t xml:space="preserve">[ ] C. </w:t>
      </w:r>
      <w:r>
        <w:rPr>
          <w:rFonts w:ascii="Calibri" w:hAnsi="Calibri"/>
          <w:color w:val="222222"/>
        </w:rPr>
        <w:t>Put the data in a public module cache.</w:t>
      </w:r>
    </w:p>
    <w:p>
      <w:pPr>
        <w:keepNext/>
        <w:spacing w:after="60"/>
        <w:ind w:left="547" w:hanging="317"/>
      </w:pPr>
      <w:r>
        <w:rPr>
          <w:rFonts w:ascii="Calibri" w:hAnsi="Calibri"/>
          <w:b/>
          <w:color w:val="1F4D78"/>
        </w:rPr>
        <w:t xml:space="preserve">[ ] D. </w:t>
      </w:r>
      <w:r>
        <w:rPr>
          <w:rFonts w:ascii="Calibri" w:hAnsi="Calibri"/>
          <w:color w:val="222222"/>
        </w:rPr>
        <w:t>Share credentials with collaborators.</w:t>
      </w:r>
    </w:p>
    <w:p>
      <w:pPr>
        <w:spacing w:after="160"/>
      </w:pPr>
      <w:r>
        <w:rPr>
          <w:rFonts w:ascii="Calibri" w:hAnsi="Calibri"/>
          <w:i/>
          <w:color w:val="5A6570"/>
          <w:sz w:val="19"/>
        </w:rPr>
        <w:t>Response: ________    Confidence (1-5): ________</w:t>
      </w:r>
    </w:p>
    <w:p>
      <w:r>
        <w:br w:type="page"/>
      </w:r>
    </w:p>
    <w:p>
      <w:pPr>
        <w:pStyle w:val="Heading1"/>
      </w:pPr>
      <w:r>
        <w:rPr>
          <w:rFonts w:ascii="Calibri" w:hAnsi="Calibri"/>
          <w:color w:val="222222"/>
        </w:rPr>
        <w:t>Lesson 1 - Why phenotype-to-metabolome harmonization matters</w:t>
      </w:r>
    </w:p>
    <w:p>
      <w:r>
        <w:rPr>
          <w:rFonts w:ascii="Calibri" w:hAnsi="Calibri"/>
          <w:b/>
          <w:color w:val="222222"/>
        </w:rPr>
        <w:t>Estimated time:</w:t>
      </w:r>
      <w:r>
        <w:rPr>
          <w:rFonts w:ascii="Calibri" w:hAnsi="Calibri"/>
          <w:color w:val="222222"/>
        </w:rPr>
        <w:t xml:space="preserve"> 20 minutes</w:t>
      </w:r>
    </w:p>
    <w:p>
      <w:r>
        <w:rPr>
          <w:rFonts w:ascii="Calibri" w:hAnsi="Calibri"/>
          <w:b/>
          <w:color w:val="222222"/>
        </w:rPr>
        <w:t>Bloom levels:</w:t>
      </w:r>
      <w:r>
        <w:rPr>
          <w:rFonts w:ascii="Calibri" w:hAnsi="Calibri"/>
          <w:color w:val="222222"/>
        </w:rPr>
        <w:t xml:space="preserve"> Remember, understand</w:t>
      </w:r>
    </w:p>
    <w:p>
      <w:r>
        <w:rPr>
          <w:rFonts w:ascii="Calibri" w:hAnsi="Calibri"/>
          <w:b/>
          <w:color w:val="222222"/>
        </w:rPr>
        <w:t>Module objectives addressed:</w:t>
      </w:r>
      <w:r>
        <w:rPr>
          <w:rFonts w:ascii="Calibri" w:hAnsi="Calibri"/>
          <w:color w:val="222222"/>
        </w:rPr>
        <w:t xml:space="preserve"> LO1, LO2, LO5</w:t>
      </w:r>
    </w:p>
    <w:p>
      <w:pPr>
        <w:pStyle w:val="Heading2"/>
      </w:pPr>
      <w:r>
        <w:rPr>
          <w:rFonts w:ascii="Calibri" w:hAnsi="Calibri"/>
          <w:color w:val="222222"/>
        </w:rPr>
        <w:t>Learning objectives</w:t>
      </w:r>
    </w:p>
    <w:p>
      <w:r>
        <w:rPr>
          <w:rFonts w:ascii="Calibri" w:hAnsi="Calibri"/>
          <w:color w:val="222222"/>
        </w:rPr>
        <w:t>By the end of this lesson, you will be able to:</w:t>
      </w:r>
    </w:p>
    <w:p>
      <w:pPr>
        <w:numPr>
          <w:ilvl w:val="0"/>
          <w:numId w:val="14"/>
        </w:numPr>
        <w:spacing w:after="80" w:line="300" w:lineRule="auto"/>
      </w:pPr>
      <w:r>
        <w:rPr>
          <w:rFonts w:ascii="Calibri" w:hAnsi="Calibri"/>
          <w:color w:val="222222"/>
        </w:rPr>
        <w:t>Explain why metabolite measurements are not interpretable without study-design, specimen, timepoint, and phenotype context.</w:t>
      </w:r>
    </w:p>
    <w:p>
      <w:pPr>
        <w:numPr>
          <w:ilvl w:val="0"/>
          <w:numId w:val="14"/>
        </w:numPr>
        <w:spacing w:after="80" w:line="300" w:lineRule="auto"/>
      </w:pPr>
      <w:r>
        <w:rPr>
          <w:rFonts w:ascii="Calibri" w:hAnsi="Calibri"/>
          <w:color w:val="222222"/>
        </w:rPr>
        <w:t>Distinguish structural harmonization from statistical pooling.</w:t>
      </w:r>
    </w:p>
    <w:p>
      <w:pPr>
        <w:numPr>
          <w:ilvl w:val="0"/>
          <w:numId w:val="14"/>
        </w:numPr>
        <w:spacing w:after="80" w:line="300" w:lineRule="auto"/>
      </w:pPr>
      <w:r>
        <w:rPr>
          <w:rFonts w:ascii="Calibri" w:hAnsi="Calibri"/>
          <w:color w:val="222222"/>
        </w:rPr>
        <w:t>Recognize open, registration- or agreement-gated, and controlled-compute access patterns.</w:t>
      </w:r>
    </w:p>
    <w:p>
      <w:pPr>
        <w:numPr>
          <w:ilvl w:val="0"/>
          <w:numId w:val="14"/>
        </w:numPr>
        <w:spacing w:after="80" w:line="300" w:lineRule="auto"/>
      </w:pPr>
      <w:r>
        <w:rPr>
          <w:rFonts w:ascii="Calibri" w:hAnsi="Calibri"/>
          <w:color w:val="222222"/>
        </w:rPr>
        <w:t>Locate the two configurable Metabolomics Workbench case studies used throughout the module.</w:t>
      </w:r>
    </w:p>
    <w:p>
      <w:pPr>
        <w:pStyle w:val="Heading2"/>
      </w:pPr>
      <w:r>
        <w:rPr>
          <w:rFonts w:ascii="Calibri" w:hAnsi="Calibri"/>
          <w:color w:val="222222"/>
        </w:rPr>
        <w:t>Lesson map</w:t>
      </w:r>
    </w:p>
    <w:tbl>
      <w:tblPr>
        <w:tblStyle w:val="TableGrid"/>
        <w:tblW w:type="dxa" w:w="9360"/>
        <w:jc w:val="left"/>
        <w:tblLayout w:type="fixed"/>
        <w:tblLook w:firstColumn="1" w:firstRow="1" w:lastColumn="0" w:lastRow="0" w:noHBand="0" w:noVBand="1" w:val="04A0"/>
        <w:tblInd w:w="120" w:type="dxa"/>
      </w:tblPr>
      <w:tblGrid>
        <w:gridCol w:w="6784"/>
        <w:gridCol w:w="2576"/>
      </w:tblGrid>
      <w:tr>
        <w:trPr>
          <w:cantSplit w:val="true"/>
          <w:tblHeader w:val="true"/>
        </w:trPr>
        <w:tc>
          <w:tcPr>
            <w:tcW w:type="dxa" w:w="6784"/>
            <w:tcMar>
              <w:top w:w="80" w:type="dxa"/>
              <w:bottom w:w="80" w:type="dxa"/>
              <w:start w:w="120" w:type="dxa"/>
              <w:end w:w="120" w:type="dxa"/>
            </w:tcMar>
            <w:vAlign w:val="center"/>
            <w:shd w:fill="E8EEF5"/>
          </w:tcPr>
          <w:p>
            <w:pPr>
              <w:spacing w:before="0" w:after="0" w:line="269" w:lineRule="auto"/>
              <w:jc w:val="left"/>
            </w:pPr>
            <w:r>
              <w:rPr>
                <w:b/>
                <w:color w:val="203748"/>
              </w:rPr>
            </w:r>
            <w:r>
              <w:rPr>
                <w:rFonts w:ascii="Calibri" w:hAnsi="Calibri"/>
                <w:b/>
                <w:color w:val="203748"/>
                <w:sz w:val="18"/>
              </w:rPr>
              <w:t>Activity</w:t>
            </w:r>
          </w:p>
        </w:tc>
        <w:tc>
          <w:tcPr>
            <w:tcW w:type="dxa" w:w="2576"/>
            <w:tcMar>
              <w:top w:w="80" w:type="dxa"/>
              <w:bottom w:w="80" w:type="dxa"/>
              <w:start w:w="120" w:type="dxa"/>
              <w:end w:w="120" w:type="dxa"/>
            </w:tcMar>
            <w:vAlign w:val="center"/>
            <w:shd w:fill="E8EEF5"/>
          </w:tcPr>
          <w:p>
            <w:pPr>
              <w:spacing w:before="0" w:after="0" w:line="269" w:lineRule="auto"/>
              <w:jc w:val="center"/>
            </w:pPr>
            <w:r>
              <w:rPr>
                <w:b/>
                <w:color w:val="203748"/>
              </w:rPr>
            </w:r>
            <w:r>
              <w:rPr>
                <w:rFonts w:ascii="Calibri" w:hAnsi="Calibri"/>
                <w:b/>
                <w:color w:val="203748"/>
                <w:sz w:val="18"/>
              </w:rPr>
              <w:t>Minutes</w:t>
            </w:r>
          </w:p>
        </w:tc>
      </w:tr>
      <w:tr>
        <w:trPr>
          <w:cantSplit w:val="true"/>
        </w:trPr>
        <w:tc>
          <w:tcPr>
            <w:tcW w:type="dxa" w:w="6784"/>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Pretest, additional assessment time</w:t>
            </w:r>
          </w:p>
        </w:tc>
        <w:tc>
          <w:tcPr>
            <w:tcW w:type="dxa" w:w="2576"/>
            <w:tcMar>
              <w:top w:w="80" w:type="dxa"/>
              <w:bottom w:w="80" w:type="dxa"/>
              <w:start w:w="120" w:type="dxa"/>
              <w:end w:w="120" w:type="dxa"/>
            </w:tcMar>
            <w:vAlign w:val="center"/>
          </w:tcPr>
          <w:p>
            <w:pPr>
              <w:spacing w:before="0" w:after="0" w:line="269" w:lineRule="auto"/>
              <w:jc w:val="center"/>
            </w:pPr>
            <w:r/>
            <w:r>
              <w:rPr>
                <w:rFonts w:ascii="Calibri" w:hAnsi="Calibri"/>
                <w:color w:val="222222"/>
                <w:sz w:val="18"/>
              </w:rPr>
              <w:t>5</w:t>
            </w:r>
          </w:p>
        </w:tc>
      </w:tr>
      <w:tr>
        <w:trPr>
          <w:cantSplit w:val="true"/>
        </w:trPr>
        <w:tc>
          <w:tcPr>
            <w:tcW w:type="dxa" w:w="6784"/>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The phenotype-to-metabolome problem</w:t>
            </w:r>
          </w:p>
        </w:tc>
        <w:tc>
          <w:tcPr>
            <w:tcW w:type="dxa" w:w="2576"/>
            <w:tcMar>
              <w:top w:w="80" w:type="dxa"/>
              <w:bottom w:w="80" w:type="dxa"/>
              <w:start w:w="120" w:type="dxa"/>
              <w:end w:w="120" w:type="dxa"/>
            </w:tcMar>
            <w:vAlign w:val="center"/>
          </w:tcPr>
          <w:p>
            <w:pPr>
              <w:spacing w:before="0" w:after="0" w:line="269" w:lineRule="auto"/>
              <w:jc w:val="center"/>
            </w:pPr>
            <w:r/>
            <w:r>
              <w:rPr>
                <w:rFonts w:ascii="Calibri" w:hAnsi="Calibri"/>
                <w:color w:val="222222"/>
                <w:sz w:val="18"/>
              </w:rPr>
              <w:t>5</w:t>
            </w:r>
          </w:p>
        </w:tc>
      </w:tr>
      <w:tr>
        <w:trPr>
          <w:cantSplit w:val="true"/>
        </w:trPr>
        <w:tc>
          <w:tcPr>
            <w:tcW w:type="dxa" w:w="6784"/>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The Metabo-Diet workflow and access patterns</w:t>
            </w:r>
          </w:p>
        </w:tc>
        <w:tc>
          <w:tcPr>
            <w:tcW w:type="dxa" w:w="2576"/>
            <w:tcMar>
              <w:top w:w="80" w:type="dxa"/>
              <w:bottom w:w="80" w:type="dxa"/>
              <w:start w:w="120" w:type="dxa"/>
              <w:end w:w="120" w:type="dxa"/>
            </w:tcMar>
            <w:vAlign w:val="center"/>
          </w:tcPr>
          <w:p>
            <w:pPr>
              <w:spacing w:before="0" w:after="0" w:line="269" w:lineRule="auto"/>
              <w:jc w:val="center"/>
            </w:pPr>
            <w:r/>
            <w:r>
              <w:rPr>
                <w:rFonts w:ascii="Calibri" w:hAnsi="Calibri"/>
                <w:color w:val="222222"/>
                <w:sz w:val="18"/>
              </w:rPr>
              <w:t>5</w:t>
            </w:r>
          </w:p>
        </w:tc>
      </w:tr>
      <w:tr>
        <w:trPr>
          <w:cantSplit w:val="true"/>
        </w:trPr>
        <w:tc>
          <w:tcPr>
            <w:tcW w:type="dxa" w:w="6784"/>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Worked triage activity</w:t>
            </w:r>
          </w:p>
        </w:tc>
        <w:tc>
          <w:tcPr>
            <w:tcW w:type="dxa" w:w="2576"/>
            <w:tcMar>
              <w:top w:w="80" w:type="dxa"/>
              <w:bottom w:w="80" w:type="dxa"/>
              <w:start w:w="120" w:type="dxa"/>
              <w:end w:w="120" w:type="dxa"/>
            </w:tcMar>
            <w:vAlign w:val="center"/>
          </w:tcPr>
          <w:p>
            <w:pPr>
              <w:spacing w:before="0" w:after="0" w:line="269" w:lineRule="auto"/>
              <w:jc w:val="center"/>
            </w:pPr>
            <w:r/>
            <w:r>
              <w:rPr>
                <w:rFonts w:ascii="Calibri" w:hAnsi="Calibri"/>
                <w:color w:val="222222"/>
                <w:sz w:val="18"/>
              </w:rPr>
              <w:t>7</w:t>
            </w:r>
          </w:p>
        </w:tc>
      </w:tr>
      <w:tr>
        <w:trPr>
          <w:cantSplit w:val="true"/>
        </w:trPr>
        <w:tc>
          <w:tcPr>
            <w:tcW w:type="dxa" w:w="6784"/>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Knowledge check and reflection</w:t>
            </w:r>
          </w:p>
        </w:tc>
        <w:tc>
          <w:tcPr>
            <w:tcW w:type="dxa" w:w="2576"/>
            <w:tcMar>
              <w:top w:w="80" w:type="dxa"/>
              <w:bottom w:w="80" w:type="dxa"/>
              <w:start w:w="120" w:type="dxa"/>
              <w:end w:w="120" w:type="dxa"/>
            </w:tcMar>
            <w:vAlign w:val="center"/>
          </w:tcPr>
          <w:p>
            <w:pPr>
              <w:spacing w:before="0" w:after="0" w:line="269" w:lineRule="auto"/>
              <w:jc w:val="center"/>
            </w:pPr>
            <w:r/>
            <w:r>
              <w:rPr>
                <w:rFonts w:ascii="Calibri" w:hAnsi="Calibri"/>
                <w:color w:val="222222"/>
                <w:sz w:val="18"/>
              </w:rPr>
              <w:t>3</w:t>
            </w:r>
          </w:p>
        </w:tc>
      </w:tr>
      <w:tr>
        <w:trPr>
          <w:cantSplit w:val="true"/>
        </w:trPr>
        <w:tc>
          <w:tcPr>
            <w:tcW w:type="dxa" w:w="6784"/>
            <w:tcMar>
              <w:top w:w="80" w:type="dxa"/>
              <w:bottom w:w="80" w:type="dxa"/>
              <w:start w:w="120" w:type="dxa"/>
              <w:end w:w="120" w:type="dxa"/>
            </w:tcMar>
            <w:vAlign w:val="center"/>
          </w:tcPr>
          <w:p>
            <w:pPr>
              <w:spacing w:before="0" w:after="0" w:line="269" w:lineRule="auto"/>
              <w:jc w:val="left"/>
            </w:pPr>
            <w:r/>
            <w:r>
              <w:rPr>
                <w:rFonts w:ascii="Calibri" w:hAnsi="Calibri"/>
                <w:b/>
                <w:color w:val="222222"/>
                <w:sz w:val="18"/>
              </w:rPr>
              <w:t>Instructional subtotal, excluding pretest</w:t>
            </w:r>
          </w:p>
        </w:tc>
        <w:tc>
          <w:tcPr>
            <w:tcW w:type="dxa" w:w="2576"/>
            <w:tcMar>
              <w:top w:w="80" w:type="dxa"/>
              <w:bottom w:w="80" w:type="dxa"/>
              <w:start w:w="120" w:type="dxa"/>
              <w:end w:w="120" w:type="dxa"/>
            </w:tcMar>
            <w:vAlign w:val="center"/>
          </w:tcPr>
          <w:p>
            <w:pPr>
              <w:spacing w:before="0" w:after="0" w:line="269" w:lineRule="auto"/>
              <w:jc w:val="center"/>
            </w:pPr>
            <w:r/>
            <w:r>
              <w:rPr>
                <w:rFonts w:ascii="Calibri" w:hAnsi="Calibri"/>
                <w:b/>
                <w:color w:val="222222"/>
                <w:sz w:val="18"/>
              </w:rPr>
              <w:t>20</w:t>
            </w:r>
          </w:p>
        </w:tc>
      </w:tr>
      <w:tr>
        <w:trPr>
          <w:cantSplit w:val="true"/>
        </w:trPr>
        <w:tc>
          <w:tcPr>
            <w:tcW w:type="dxa" w:w="6784"/>
            <w:tcMar>
              <w:top w:w="80" w:type="dxa"/>
              <w:bottom w:w="80" w:type="dxa"/>
              <w:start w:w="120" w:type="dxa"/>
              <w:end w:w="120" w:type="dxa"/>
            </w:tcMar>
            <w:vAlign w:val="center"/>
          </w:tcPr>
          <w:p>
            <w:pPr>
              <w:spacing w:before="0" w:after="0" w:line="269" w:lineRule="auto"/>
              <w:jc w:val="left"/>
            </w:pPr>
            <w:r/>
            <w:r>
              <w:rPr>
                <w:rFonts w:ascii="Calibri" w:hAnsi="Calibri"/>
                <w:b/>
                <w:color w:val="222222"/>
                <w:sz w:val="18"/>
              </w:rPr>
              <w:t>Learner time with pretest</w:t>
            </w:r>
          </w:p>
        </w:tc>
        <w:tc>
          <w:tcPr>
            <w:tcW w:type="dxa" w:w="2576"/>
            <w:tcMar>
              <w:top w:w="80" w:type="dxa"/>
              <w:bottom w:w="80" w:type="dxa"/>
              <w:start w:w="120" w:type="dxa"/>
              <w:end w:w="120" w:type="dxa"/>
            </w:tcMar>
            <w:vAlign w:val="center"/>
          </w:tcPr>
          <w:p>
            <w:pPr>
              <w:spacing w:before="0" w:after="0" w:line="269" w:lineRule="auto"/>
              <w:jc w:val="center"/>
            </w:pPr>
            <w:r/>
            <w:r>
              <w:rPr>
                <w:rFonts w:ascii="Calibri" w:hAnsi="Calibri"/>
                <w:b/>
                <w:color w:val="222222"/>
                <w:sz w:val="18"/>
              </w:rPr>
              <w:t>25</w:t>
            </w:r>
          </w:p>
        </w:tc>
      </w:tr>
    </w:tbl>
    <w:p>
      <w:pPr>
        <w:spacing w:before="0" w:after="40"/>
      </w:pPr>
    </w:p>
    <w:p>
      <w:pPr>
        <w:spacing w:before="100" w:after="120"/>
        <w:ind w:left="259" w:right="115"/>
        <w:shd w:fill="F4F6F9"/>
        <w:pBdr>
          <w:left w:val="single" w:sz="16" w:space="8" w:color="2E74B5"/>
        </w:pBdr>
      </w:pPr>
      <w:r>
        <w:rPr>
          <w:rFonts w:ascii="Calibri" w:hAnsi="Calibri"/>
          <w:b/>
          <w:color w:val="1F4D78"/>
        </w:rPr>
        <w:t>In the notebook (NB-L1):</w:t>
      </w:r>
      <w:r>
        <w:rPr>
          <w:rFonts w:ascii="Calibri" w:hAnsi="Calibri"/>
          <w:color w:val="1F4D78"/>
        </w:rPr>
        <w:t xml:space="preserve"> Complete </w:t>
      </w:r>
      <w:r>
        <w:rPr>
          <w:rFonts w:ascii="Consolas" w:hAnsi="Consolas"/>
          <w:color w:val="1F4D78"/>
          <w:sz w:val="21"/>
          <w:shd w:fill="EEF1F4"/>
        </w:rPr>
        <w:t>NB-SETUP</w:t>
      </w:r>
      <w:r>
        <w:rPr>
          <w:rFonts w:ascii="Calibri" w:hAnsi="Calibri"/>
          <w:color w:val="1F4D78"/>
        </w:rPr>
        <w:t xml:space="preserve">, then run the Lesson 1 configuration cell. Confirm </w:t>
      </w:r>
      <w:r>
        <w:rPr>
          <w:rFonts w:ascii="Consolas" w:hAnsi="Consolas"/>
          <w:color w:val="1F4D78"/>
          <w:sz w:val="21"/>
          <w:shd w:fill="EEF1F4"/>
        </w:rPr>
        <w:t>ST001521</w:t>
      </w:r>
      <w:r>
        <w:rPr>
          <w:rFonts w:ascii="Calibri" w:hAnsi="Calibri"/>
          <w:color w:val="1F4D78"/>
        </w:rPr>
        <w:t xml:space="preserve">, </w:t>
      </w:r>
      <w:r>
        <w:rPr>
          <w:rFonts w:ascii="Consolas" w:hAnsi="Consolas"/>
          <w:color w:val="1F4D78"/>
          <w:sz w:val="21"/>
          <w:shd w:fill="EEF1F4"/>
        </w:rPr>
        <w:t>ST003348</w:t>
      </w:r>
      <w:r>
        <w:rPr>
          <w:rFonts w:ascii="Calibri" w:hAnsi="Calibri"/>
          <w:color w:val="1F4D78"/>
        </w:rPr>
        <w:t>, and the retrieval mode. In Section 1 of the cohort-comparison worksheet, record why the two quantitative matrices must stay separate.</w:t>
      </w:r>
    </w:p>
    <w:p>
      <w:pPr>
        <w:pStyle w:val="Heading2"/>
      </w:pPr>
      <w:r>
        <w:rPr>
          <w:rFonts w:ascii="Calibri" w:hAnsi="Calibri"/>
          <w:color w:val="222222"/>
        </w:rPr>
        <w:t>Before you begin</w:t>
      </w:r>
    </w:p>
    <w:p>
      <w:r>
        <w:rPr>
          <w:rFonts w:ascii="Calibri" w:hAnsi="Calibri"/>
          <w:color w:val="222222"/>
        </w:rPr>
        <w:t>Complete the pretest before opening the answer key. Its purpose is to establish a baseline, not to determine eligibility. Record your confidence separately from correctness; confidence and knowledge can change at different rates.</w:t>
      </w:r>
    </w:p>
    <w:p>
      <w:r>
        <w:rPr>
          <w:rFonts w:ascii="Calibri" w:hAnsi="Calibri"/>
          <w:color w:val="222222"/>
        </w:rPr>
        <w:t xml:space="preserve">Three terms appear throughout the module. </w:t>
      </w:r>
      <w:r>
        <w:rPr>
          <w:rFonts w:ascii="Calibri" w:hAnsi="Calibri"/>
          <w:b/>
          <w:color w:val="222222"/>
        </w:rPr>
        <w:t>Harmonization</w:t>
      </w:r>
      <w:r>
        <w:rPr>
          <w:rFonts w:ascii="Calibri" w:hAnsi="Calibri"/>
          <w:color w:val="222222"/>
        </w:rPr>
        <w:t xml:space="preserve"> aligns records while keeping important differences visible. </w:t>
      </w:r>
      <w:r>
        <w:rPr>
          <w:rFonts w:ascii="Calibri" w:hAnsi="Calibri"/>
          <w:b/>
          <w:color w:val="222222"/>
        </w:rPr>
        <w:t>Pooling</w:t>
      </w:r>
      <w:r>
        <w:rPr>
          <w:rFonts w:ascii="Calibri" w:hAnsi="Calibri"/>
          <w:color w:val="222222"/>
        </w:rPr>
        <w:t xml:space="preserve"> places measurements from separate studies into one analysis. </w:t>
      </w:r>
      <w:r>
        <w:rPr>
          <w:rFonts w:ascii="Calibri" w:hAnsi="Calibri"/>
          <w:b/>
          <w:color w:val="222222"/>
        </w:rPr>
        <w:t>Provenance</w:t>
      </w:r>
      <w:r>
        <w:rPr>
          <w:rFonts w:ascii="Calibri" w:hAnsi="Calibri"/>
          <w:color w:val="222222"/>
        </w:rPr>
        <w:t xml:space="preserve"> records where a value came from and how it changed. The glossary defines these and other unfamiliar terms.</w:t>
      </w:r>
    </w:p>
    <w:p>
      <w:r>
        <w:rPr>
          <w:rFonts w:ascii="Calibri" w:hAnsi="Calibri"/>
          <w:color w:val="222222"/>
        </w:rPr>
        <w:t>This module keeps two configuration labels so a study pair can be replaced without rewriting the workflow. The release pair is now locked:</w:t>
      </w:r>
    </w:p>
    <w:p>
      <w:pPr>
        <w:numPr>
          <w:ilvl w:val="0"/>
          <w:numId w:val="15"/>
        </w:numPr>
        <w:spacing w:after="80" w:line="300" w:lineRule="auto"/>
      </w:pPr>
      <w:r>
        <w:rPr>
          <w:rFonts w:ascii="Consolas" w:hAnsi="Consolas"/>
          <w:color w:val="1F4D78"/>
          <w:sz w:val="21"/>
          <w:shd w:fill="EEF1F4"/>
        </w:rPr>
        <w:t>DIET_ACCESSION = ST001521</w:t>
      </w:r>
      <w:r>
        <w:rPr>
          <w:rFonts w:ascii="Calibri" w:hAnsi="Calibri"/>
          <w:color w:val="222222"/>
        </w:rPr>
        <w:t>: the public, human FARMM diet-anchored plasma study.</w:t>
      </w:r>
    </w:p>
    <w:p>
      <w:pPr>
        <w:numPr>
          <w:ilvl w:val="0"/>
          <w:numId w:val="15"/>
        </w:numPr>
        <w:spacing w:after="80" w:line="300" w:lineRule="auto"/>
      </w:pPr>
      <w:r>
        <w:rPr>
          <w:rFonts w:ascii="Consolas" w:hAnsi="Consolas"/>
          <w:color w:val="1F4D78"/>
          <w:sz w:val="21"/>
          <w:shd w:fill="EEF1F4"/>
        </w:rPr>
        <w:t>EXERCISE_ACCESSION = ST003348</w:t>
      </w:r>
      <w:r>
        <w:rPr>
          <w:rFonts w:ascii="Calibri" w:hAnsi="Calibri"/>
          <w:color w:val="222222"/>
        </w:rPr>
        <w:t>: the public, human race-walking exercise-anchored serum study.</w:t>
      </w:r>
    </w:p>
    <w:p>
      <w:r>
        <w:rPr>
          <w:rFonts w:ascii="Calibri" w:hAnsi="Calibri"/>
          <w:color w:val="222222"/>
        </w:rPr>
        <w:t xml:space="preserve">The variable names are not accession numbers and must never be sent to the REST API literally. The notebook configuration cell resolves them to the values above. The versioned source record is </w:t>
      </w:r>
      <w:r>
        <w:rPr>
          <w:rFonts w:ascii="Consolas" w:hAnsi="Consolas"/>
          <w:color w:val="1F4D78"/>
          <w:sz w:val="21"/>
          <w:shd w:fill="EEF1F4"/>
        </w:rPr>
        <w:t>module/data/provenance.json</w:t>
      </w:r>
      <w:r>
        <w:rPr>
          <w:rFonts w:ascii="Calibri" w:hAnsi="Calibri"/>
          <w:color w:val="222222"/>
        </w:rPr>
        <w:t>. Before teaching, the instructor confirms that both studies remain public and that this record still matches the retrieved data.</w:t>
      </w:r>
    </w:p>
    <w:p>
      <w:pPr>
        <w:pStyle w:val="Heading2"/>
      </w:pPr>
      <w:r>
        <w:rPr>
          <w:rFonts w:ascii="Calibri" w:hAnsi="Calibri"/>
          <w:color w:val="222222"/>
        </w:rPr>
        <w:t>1. A metabolite value is an observation in context</w:t>
      </w:r>
    </w:p>
    <w:p>
      <w:r>
        <w:rPr>
          <w:rFonts w:ascii="Calibri" w:hAnsi="Calibri"/>
          <w:color w:val="222222"/>
        </w:rPr>
        <w:t xml:space="preserve">Imagine two rows labeled </w:t>
      </w:r>
      <w:r>
        <w:rPr>
          <w:rFonts w:ascii="Consolas" w:hAnsi="Consolas"/>
          <w:color w:val="1F4D78"/>
          <w:sz w:val="21"/>
          <w:shd w:fill="EEF1F4"/>
        </w:rPr>
        <w:t>glucose</w:t>
      </w:r>
      <w:r>
        <w:rPr>
          <w:rFonts w:ascii="Calibri" w:hAnsi="Calibri"/>
          <w:color w:val="222222"/>
        </w:rPr>
        <w:t>. One value was measured in fasting plasma before a controlled diet; the other was measured in serum immediately after a maximal exercise bout. The analyte labels look compatible, but the observations are not interchangeable.</w:t>
      </w:r>
    </w:p>
    <w:p>
      <w:r>
        <w:rPr>
          <w:rFonts w:ascii="Calibri" w:hAnsi="Calibri"/>
          <w:color w:val="222222"/>
        </w:rPr>
        <w:t>At least five layers shape what a metabolite value means:</w:t>
      </w:r>
    </w:p>
    <w:p>
      <w:pPr>
        <w:numPr>
          <w:ilvl w:val="0"/>
          <w:numId w:val="16"/>
        </w:numPr>
        <w:spacing w:after="80" w:line="300" w:lineRule="auto"/>
      </w:pPr>
      <w:r>
        <w:rPr>
          <w:rFonts w:ascii="Calibri" w:hAnsi="Calibri"/>
          <w:b/>
          <w:color w:val="222222"/>
        </w:rPr>
        <w:t>Biological question:</w:t>
      </w:r>
      <w:r>
        <w:rPr>
          <w:rFonts w:ascii="Calibri" w:hAnsi="Calibri"/>
          <w:color w:val="222222"/>
        </w:rPr>
        <w:t xml:space="preserve"> What exposure, intervention, or phenotype anchors the study?</w:t>
      </w:r>
    </w:p>
    <w:p>
      <w:pPr>
        <w:numPr>
          <w:ilvl w:val="0"/>
          <w:numId w:val="16"/>
        </w:numPr>
        <w:spacing w:after="80" w:line="300" w:lineRule="auto"/>
      </w:pPr>
      <w:r>
        <w:rPr>
          <w:rFonts w:ascii="Calibri" w:hAnsi="Calibri"/>
          <w:b/>
          <w:color w:val="222222"/>
        </w:rPr>
        <w:t>Sampling context:</w:t>
      </w:r>
      <w:r>
        <w:rPr>
          <w:rFonts w:ascii="Calibri" w:hAnsi="Calibri"/>
          <w:color w:val="222222"/>
        </w:rPr>
        <w:t xml:space="preserve"> Which specimen was collected, from whom, and under what conditions?</w:t>
      </w:r>
    </w:p>
    <w:p>
      <w:pPr>
        <w:numPr>
          <w:ilvl w:val="0"/>
          <w:numId w:val="16"/>
        </w:numPr>
        <w:spacing w:after="80" w:line="300" w:lineRule="auto"/>
      </w:pPr>
      <w:r>
        <w:rPr>
          <w:rFonts w:ascii="Calibri" w:hAnsi="Calibri"/>
          <w:b/>
          <w:color w:val="222222"/>
        </w:rPr>
        <w:t>Time meaning:</w:t>
      </w:r>
      <w:r>
        <w:rPr>
          <w:rFonts w:ascii="Calibri" w:hAnsi="Calibri"/>
          <w:color w:val="222222"/>
        </w:rPr>
        <w:t xml:space="preserve"> Does a label such as </w:t>
      </w:r>
      <w:r>
        <w:rPr>
          <w:rFonts w:ascii="Consolas" w:hAnsi="Consolas"/>
          <w:color w:val="1F4D78"/>
          <w:sz w:val="21"/>
          <w:shd w:fill="EEF1F4"/>
        </w:rPr>
        <w:t>post</w:t>
      </w:r>
      <w:r>
        <w:rPr>
          <w:rFonts w:ascii="Calibri" w:hAnsi="Calibri"/>
          <w:color w:val="222222"/>
        </w:rPr>
        <w:t xml:space="preserve"> mean after a meal, after weeks of feeding, immediately after exercise, or during recovery?</w:t>
      </w:r>
    </w:p>
    <w:p>
      <w:pPr>
        <w:numPr>
          <w:ilvl w:val="0"/>
          <w:numId w:val="16"/>
        </w:numPr>
        <w:spacing w:after="80" w:line="300" w:lineRule="auto"/>
      </w:pPr>
      <w:r>
        <w:rPr>
          <w:rFonts w:ascii="Calibri" w:hAnsi="Calibri"/>
          <w:b/>
          <w:color w:val="222222"/>
        </w:rPr>
        <w:t>Analytical process:</w:t>
      </w:r>
      <w:r>
        <w:rPr>
          <w:rFonts w:ascii="Calibri" w:hAnsi="Calibri"/>
          <w:color w:val="222222"/>
        </w:rPr>
        <w:t xml:space="preserve"> Which platform, method, batch structure, preprocessing, and units produced the value?</w:t>
      </w:r>
    </w:p>
    <w:p>
      <w:pPr>
        <w:numPr>
          <w:ilvl w:val="0"/>
          <w:numId w:val="16"/>
        </w:numPr>
        <w:spacing w:after="80" w:line="300" w:lineRule="auto"/>
      </w:pPr>
      <w:r>
        <w:rPr>
          <w:rFonts w:ascii="Calibri" w:hAnsi="Calibri"/>
          <w:b/>
          <w:color w:val="222222"/>
        </w:rPr>
        <w:t>Data representation:</w:t>
      </w:r>
      <w:r>
        <w:rPr>
          <w:rFonts w:ascii="Calibri" w:hAnsi="Calibri"/>
          <w:color w:val="222222"/>
        </w:rPr>
        <w:t xml:space="preserve"> How are samples, factors, metabolites, missing values, and identifiers encoded?</w:t>
      </w:r>
    </w:p>
    <w:p>
      <w:r>
        <w:rPr>
          <w:rFonts w:ascii="Calibri" w:hAnsi="Calibri"/>
          <w:color w:val="222222"/>
        </w:rPr>
        <w:t>Harmonization makes these layers explicit. It does not erase them.</w:t>
      </w:r>
    </w:p>
    <w:p>
      <w:pPr>
        <w:spacing w:before="100" w:after="120"/>
        <w:ind w:left="259" w:right="115"/>
        <w:shd w:fill="F4F6F9"/>
        <w:pBdr>
          <w:left w:val="single" w:sz="16" w:space="8" w:color="2E74B5"/>
        </w:pBdr>
      </w:pPr>
      <w:r>
        <w:rPr>
          <w:rFonts w:ascii="Calibri" w:hAnsi="Calibri"/>
          <w:b/>
          <w:color w:val="1F4D78"/>
        </w:rPr>
        <w:t>Keep this distinction:</w:t>
      </w:r>
      <w:r>
        <w:rPr>
          <w:rFonts w:ascii="Calibri" w:hAnsi="Calibri"/>
          <w:color w:val="1F4D78"/>
        </w:rPr>
        <w:t xml:space="preserve"> Structural harmonization can make records easier to compare. It does not, by itself, make participants, interventions, specimens, timepoints, platforms, units, or quantitative values exchangeable.</w:t>
      </w:r>
    </w:p>
    <w:p>
      <w:r>
        <w:rPr>
          <w:rFonts w:ascii="Calibri" w:hAnsi="Calibri"/>
          <w:color w:val="222222"/>
        </w:rPr>
        <w:t>This distinction protects against a tempting but invalid workflow: matching metabolite names, stacking two intensity matrices, and interpreting the first principal component as a diet-versus-exercise biological effect. If study and phenotype are perfectly confounded, the observed separation may arise from platform, sample handling, units, batch, population, or other design differences. No statistical technique can identify a unique biological cause from that contrast alone.</w:t>
      </w:r>
    </w:p>
    <w:p>
      <w:pPr>
        <w:pStyle w:val="Heading2"/>
      </w:pPr>
      <w:r>
        <w:rPr>
          <w:rFonts w:ascii="Calibri" w:hAnsi="Calibri"/>
          <w:color w:val="222222"/>
        </w:rPr>
        <w:t>2. What harmonization can accomplish</w:t>
      </w:r>
    </w:p>
    <w:p>
      <w:r>
        <w:rPr>
          <w:rFonts w:ascii="Calibri" w:hAnsi="Calibri"/>
          <w:color w:val="222222"/>
        </w:rPr>
        <w:t>The Metabo-Diet workflow supports several defensible tasks:</w:t>
      </w:r>
    </w:p>
    <w:p>
      <w:pPr>
        <w:numPr>
          <w:ilvl w:val="0"/>
          <w:numId w:val="17"/>
        </w:numPr>
        <w:spacing w:after="80" w:line="300" w:lineRule="auto"/>
      </w:pPr>
      <w:r>
        <w:rPr>
          <w:rFonts w:ascii="Calibri" w:hAnsi="Calibri"/>
          <w:color w:val="222222"/>
        </w:rPr>
        <w:t>Compare how studies represent intervention, specimen, timepoint, and phenotype variables.</w:t>
      </w:r>
    </w:p>
    <w:p>
      <w:pPr>
        <w:numPr>
          <w:ilvl w:val="0"/>
          <w:numId w:val="17"/>
        </w:numPr>
        <w:spacing w:after="80" w:line="300" w:lineRule="auto"/>
      </w:pPr>
      <w:r>
        <w:rPr>
          <w:rFonts w:ascii="Calibri" w:hAnsi="Calibri"/>
          <w:color w:val="222222"/>
        </w:rPr>
        <w:t>Standardize metabolite labels while preserving the submitted names and mapping evidence.</w:t>
      </w:r>
    </w:p>
    <w:p>
      <w:pPr>
        <w:numPr>
          <w:ilvl w:val="0"/>
          <w:numId w:val="17"/>
        </w:numPr>
        <w:spacing w:after="80" w:line="300" w:lineRule="auto"/>
      </w:pPr>
      <w:r>
        <w:rPr>
          <w:rFonts w:ascii="Calibri" w:hAnsi="Calibri"/>
          <w:color w:val="222222"/>
        </w:rPr>
        <w:t>Identify metabolites reported in both studies at a compatible annotation level.</w:t>
      </w:r>
    </w:p>
    <w:p>
      <w:pPr>
        <w:numPr>
          <w:ilvl w:val="0"/>
          <w:numId w:val="17"/>
        </w:numPr>
        <w:spacing w:after="80" w:line="300" w:lineRule="auto"/>
      </w:pPr>
      <w:r>
        <w:rPr>
          <w:rFonts w:ascii="Calibri" w:hAnsi="Calibri"/>
          <w:color w:val="222222"/>
        </w:rPr>
        <w:t>Describe where metadata concepts align, partially align, or do not align.</w:t>
      </w:r>
    </w:p>
    <w:p>
      <w:pPr>
        <w:numPr>
          <w:ilvl w:val="0"/>
          <w:numId w:val="17"/>
        </w:numPr>
        <w:spacing w:after="80" w:line="300" w:lineRule="auto"/>
      </w:pPr>
      <w:r>
        <w:rPr>
          <w:rFonts w:ascii="Calibri" w:hAnsi="Calibri"/>
          <w:color w:val="222222"/>
        </w:rPr>
        <w:t>Conduct exploratory analyses within each study using study-appropriate preprocessing.</w:t>
      </w:r>
    </w:p>
    <w:p>
      <w:pPr>
        <w:numPr>
          <w:ilvl w:val="0"/>
          <w:numId w:val="17"/>
        </w:numPr>
        <w:spacing w:after="80" w:line="300" w:lineRule="auto"/>
      </w:pPr>
      <w:r>
        <w:rPr>
          <w:rFonts w:ascii="Calibri" w:hAnsi="Calibri"/>
          <w:color w:val="222222"/>
        </w:rPr>
        <w:t>Compare patterns descriptively when the measurement and design context supports the comparison.</w:t>
      </w:r>
    </w:p>
    <w:p>
      <w:pPr>
        <w:numPr>
          <w:ilvl w:val="0"/>
          <w:numId w:val="17"/>
        </w:numPr>
        <w:spacing w:after="80" w:line="300" w:lineRule="auto"/>
      </w:pPr>
      <w:r>
        <w:rPr>
          <w:rFonts w:ascii="Calibri" w:hAnsi="Calibri"/>
          <w:color w:val="222222"/>
        </w:rPr>
        <w:t>Document unresolved mappings and incompatibilities for future reuse.</w:t>
      </w:r>
    </w:p>
    <w:p>
      <w:r>
        <w:rPr>
          <w:rFonts w:ascii="Calibri" w:hAnsi="Calibri"/>
          <w:color w:val="222222"/>
        </w:rPr>
        <w:t xml:space="preserve">It does </w:t>
      </w:r>
      <w:r>
        <w:rPr>
          <w:rFonts w:ascii="Calibri" w:hAnsi="Calibri"/>
          <w:b/>
          <w:color w:val="222222"/>
        </w:rPr>
        <w:t>not</w:t>
      </w:r>
      <w:r>
        <w:rPr>
          <w:rFonts w:ascii="Calibri" w:hAnsi="Calibri"/>
          <w:color w:val="222222"/>
        </w:rPr>
        <w:t xml:space="preserve"> automatically support:</w:t>
      </w:r>
    </w:p>
    <w:p>
      <w:pPr>
        <w:numPr>
          <w:ilvl w:val="0"/>
          <w:numId w:val="18"/>
        </w:numPr>
        <w:spacing w:after="80" w:line="300" w:lineRule="auto"/>
      </w:pPr>
      <w:r>
        <w:rPr>
          <w:rFonts w:ascii="Calibri" w:hAnsi="Calibri"/>
          <w:color w:val="222222"/>
        </w:rPr>
        <w:t>Direct comparison of raw or normalized intensities across platforms.</w:t>
      </w:r>
    </w:p>
    <w:p>
      <w:pPr>
        <w:numPr>
          <w:ilvl w:val="0"/>
          <w:numId w:val="18"/>
        </w:numPr>
        <w:spacing w:after="80" w:line="300" w:lineRule="auto"/>
      </w:pPr>
      <w:r>
        <w:rPr>
          <w:rFonts w:ascii="Calibri" w:hAnsi="Calibri"/>
          <w:color w:val="222222"/>
        </w:rPr>
        <w:t xml:space="preserve">Treating </w:t>
      </w:r>
      <w:r>
        <w:rPr>
          <w:rFonts w:ascii="Consolas" w:hAnsi="Consolas"/>
          <w:color w:val="1F4D78"/>
          <w:sz w:val="21"/>
          <w:shd w:fill="EEF1F4"/>
        </w:rPr>
        <w:t>post</w:t>
      </w:r>
      <w:r>
        <w:rPr>
          <w:rFonts w:ascii="Calibri" w:hAnsi="Calibri"/>
          <w:color w:val="222222"/>
        </w:rPr>
        <w:t xml:space="preserve"> timepoints as equivalent without physiological definitions.</w:t>
      </w:r>
    </w:p>
    <w:p>
      <w:pPr>
        <w:numPr>
          <w:ilvl w:val="0"/>
          <w:numId w:val="18"/>
        </w:numPr>
        <w:spacing w:after="80" w:line="300" w:lineRule="auto"/>
      </w:pPr>
      <w:r>
        <w:rPr>
          <w:rFonts w:ascii="Calibri" w:hAnsi="Calibri"/>
          <w:color w:val="222222"/>
        </w:rPr>
        <w:t>Treating plasma and serum as the same specimen.</w:t>
      </w:r>
    </w:p>
    <w:p>
      <w:pPr>
        <w:numPr>
          <w:ilvl w:val="0"/>
          <w:numId w:val="18"/>
        </w:numPr>
        <w:spacing w:after="80" w:line="300" w:lineRule="auto"/>
      </w:pPr>
      <w:r>
        <w:rPr>
          <w:rFonts w:ascii="Calibri" w:hAnsi="Calibri"/>
          <w:color w:val="222222"/>
        </w:rPr>
        <w:t>Treating a metabolite class label as a uniquely identified molecular structure.</w:t>
      </w:r>
    </w:p>
    <w:p>
      <w:pPr>
        <w:numPr>
          <w:ilvl w:val="0"/>
          <w:numId w:val="18"/>
        </w:numPr>
        <w:spacing w:after="80" w:line="300" w:lineRule="auto"/>
      </w:pPr>
      <w:r>
        <w:rPr>
          <w:rFonts w:ascii="Calibri" w:hAnsi="Calibri"/>
          <w:color w:val="222222"/>
        </w:rPr>
        <w:t>Inferring that an exposure caused a cross-study difference.</w:t>
      </w:r>
    </w:p>
    <w:p>
      <w:pPr>
        <w:numPr>
          <w:ilvl w:val="0"/>
          <w:numId w:val="18"/>
        </w:numPr>
        <w:spacing w:after="80" w:line="300" w:lineRule="auto"/>
      </w:pPr>
      <w:r>
        <w:rPr>
          <w:rFonts w:ascii="Calibri" w:hAnsi="Calibri"/>
          <w:color w:val="222222"/>
        </w:rPr>
        <w:t>Increasing effective sample size by concatenating unrelated cohorts.</w:t>
      </w:r>
    </w:p>
    <w:p>
      <w:r>
        <w:rPr>
          <w:rFonts w:ascii="Calibri" w:hAnsi="Calibri"/>
          <w:color w:val="222222"/>
        </w:rPr>
        <w:t>Sometimes the correct decision is to keep a field or analyte separate. Record the reason so another analyst can review it.</w:t>
      </w:r>
    </w:p>
    <w:p>
      <w:pPr>
        <w:pStyle w:val="Heading2"/>
      </w:pPr>
      <w:r>
        <w:rPr>
          <w:rFonts w:ascii="Calibri" w:hAnsi="Calibri"/>
          <w:color w:val="222222"/>
        </w:rPr>
        <w:t>3. The resources in this module</w:t>
      </w:r>
    </w:p>
    <w:p>
      <w:pPr>
        <w:pStyle w:val="Heading3"/>
      </w:pPr>
      <w:r>
        <w:rPr>
          <w:rFonts w:ascii="Calibri" w:hAnsi="Calibri"/>
          <w:color w:val="222222"/>
        </w:rPr>
        <w:t>Metabolomics Workbench and NMDR</w:t>
      </w:r>
    </w:p>
    <w:p>
      <w:r>
        <w:rPr>
          <w:rFonts w:ascii="Calibri" w:hAnsi="Calibri"/>
          <w:color w:val="222222"/>
        </w:rPr>
        <w:t>The Metabolomics Workbench hosts the National Metabolomics Data Repository (NMDR). Its REST service can return study summaries, factors, analyses, metabolite annotations, measurement tables, and mwTab records. The exercises use public Metabolomics Workbench studies. Because the accessions are stored as configuration values, they can be updated if a study changes or is replaced.</w:t>
      </w:r>
    </w:p>
    <w:p>
      <w:r>
        <w:rPr>
          <w:rFonts w:ascii="Calibri" w:hAnsi="Calibri"/>
          <w:color w:val="222222"/>
        </w:rPr>
        <w:t>The mwTab representation organizes information into blocks. Depending on the record, these include study, subject, sample-factor, collection, sample-preparation, chromatography, mass-spectrometry or NMR, and metabolite-data content. The exact fields present vary across deposits. That variation is not an inconvenience to hide; it is evidence to inspect.</w:t>
      </w:r>
    </w:p>
    <w:p>
      <w:pPr>
        <w:pStyle w:val="Heading3"/>
      </w:pPr>
      <w:r>
        <w:rPr>
          <w:rFonts w:ascii="Calibri" w:hAnsi="Calibri"/>
          <w:color w:val="222222"/>
        </w:rPr>
        <w:t>RefMet</w:t>
      </w:r>
    </w:p>
    <w:p>
      <w:r>
        <w:rPr>
          <w:rFonts w:ascii="Calibri" w:hAnsi="Calibri"/>
          <w:color w:val="222222"/>
        </w:rPr>
        <w:t>RefMet provides reference nomenclature designed for analytical chemistry, covering metabolite structures and metabolite species. It is especially useful when deposited names differ in punctuation, synonym choice, or lipid notation. A RefMet match is evidence about nomenclature, not proof that two measurement features have identical analytical specificity. Lesson 3 develops this distinction.</w:t>
      </w:r>
    </w:p>
    <w:p>
      <w:pPr>
        <w:pStyle w:val="Heading3"/>
      </w:pPr>
      <w:r>
        <w:rPr>
          <w:rFonts w:ascii="Calibri" w:hAnsi="Calibri"/>
          <w:color w:val="222222"/>
        </w:rPr>
        <w:t>MoTrPAC and Nutrition for Precision Health</w:t>
      </w:r>
    </w:p>
    <w:p>
      <w:r>
        <w:rPr>
          <w:rFonts w:ascii="Calibri" w:hAnsi="Calibri"/>
          <w:color w:val="222222"/>
        </w:rPr>
        <w:t>The Molecular Transducers of Physical Activity Consortium (MoTrPAC) and Nutrition for Precision Health (NPH), powered by All of Us, serve as examples for transferring the workflow. Learners do not need their data to complete the module. Their study designs show how exercise and diet phenotypes can be captured at consortium scale.</w:t>
      </w:r>
    </w:p>
    <w:p>
      <w:r>
        <w:rPr>
          <w:rFonts w:ascii="Calibri" w:hAnsi="Calibri"/>
          <w:color w:val="222222"/>
        </w:rPr>
        <w:t xml:space="preserve">Access status is a property of a </w:t>
      </w:r>
      <w:r>
        <w:rPr>
          <w:rFonts w:ascii="Calibri" w:hAnsi="Calibri"/>
          <w:b/>
          <w:color w:val="222222"/>
        </w:rPr>
        <w:t>specific dataset, release, and intended action</w:t>
      </w:r>
      <w:r>
        <w:rPr>
          <w:rFonts w:ascii="Calibri" w:hAnsi="Calibri"/>
          <w:color w:val="222222"/>
        </w:rPr>
        <w:t>, not a permanent label attached to an entire program. Current MoTrPAC documentation states that public releases can be accessed without an account, while restricted or embargoed data can require authentication and a data-use agreement. NPH documentation states that data are stored and analyzed in the All of Us Researcher Workbench, which is available to approved researchers. Requirements can change, so Lesson 5 teaches verification from current first-party documentation.</w:t>
      </w:r>
    </w:p>
    <w:p>
      <w:pPr>
        <w:pStyle w:val="Heading2"/>
      </w:pPr>
      <w:r>
        <w:rPr>
          <w:rFonts w:ascii="Calibri" w:hAnsi="Calibri"/>
          <w:color w:val="222222"/>
        </w:rPr>
        <w:t>4. Three access patterns</w:t>
      </w:r>
    </w:p>
    <w:p>
      <w:r>
        <w:rPr>
          <w:rFonts w:ascii="Calibri" w:hAnsi="Calibri"/>
          <w:color w:val="222222"/>
        </w:rPr>
        <w:t>Use the following patterns as planning aids, not legal categories:</w:t>
      </w:r>
    </w:p>
    <w:tbl>
      <w:tblPr>
        <w:tblStyle w:val="TableGrid"/>
        <w:tblW w:type="dxa" w:w="9360"/>
        <w:jc w:val="left"/>
        <w:tblLayout w:type="fixed"/>
        <w:tblLook w:firstColumn="1" w:firstRow="1" w:lastColumn="0" w:lastRow="0" w:noHBand="0" w:noVBand="1" w:val="04A0"/>
        <w:tblInd w:w="120" w:type="dxa"/>
      </w:tblPr>
      <w:tblGrid>
        <w:gridCol w:w="2740"/>
        <w:gridCol w:w="3309"/>
        <w:gridCol w:w="3311"/>
      </w:tblGrid>
      <w:tr>
        <w:trPr>
          <w:cantSplit w:val="true"/>
          <w:tblHeader w:val="true"/>
        </w:trPr>
        <w:tc>
          <w:tcPr>
            <w:tcW w:type="dxa" w:w="2740"/>
            <w:tcMar>
              <w:top w:w="80" w:type="dxa"/>
              <w:bottom w:w="80" w:type="dxa"/>
              <w:start w:w="120" w:type="dxa"/>
              <w:end w:w="120" w:type="dxa"/>
            </w:tcMar>
            <w:vAlign w:val="center"/>
            <w:shd w:fill="E8EEF5"/>
          </w:tcPr>
          <w:p>
            <w:pPr>
              <w:spacing w:before="0" w:after="0" w:line="269" w:lineRule="auto"/>
              <w:jc w:val="left"/>
            </w:pPr>
            <w:r>
              <w:rPr>
                <w:b/>
                <w:color w:val="203748"/>
              </w:rPr>
            </w:r>
            <w:r>
              <w:rPr>
                <w:rFonts w:ascii="Calibri" w:hAnsi="Calibri"/>
                <w:b/>
                <w:color w:val="203748"/>
                <w:sz w:val="18"/>
              </w:rPr>
              <w:t>Pattern</w:t>
            </w:r>
          </w:p>
        </w:tc>
        <w:tc>
          <w:tcPr>
            <w:tcW w:type="dxa" w:w="3309"/>
            <w:tcMar>
              <w:top w:w="80" w:type="dxa"/>
              <w:bottom w:w="80" w:type="dxa"/>
              <w:start w:w="120" w:type="dxa"/>
              <w:end w:w="120" w:type="dxa"/>
            </w:tcMar>
            <w:vAlign w:val="center"/>
            <w:shd w:fill="E8EEF5"/>
          </w:tcPr>
          <w:p>
            <w:pPr>
              <w:spacing w:before="0" w:after="0" w:line="269" w:lineRule="auto"/>
              <w:jc w:val="left"/>
            </w:pPr>
            <w:r>
              <w:rPr>
                <w:b/>
                <w:color w:val="203748"/>
              </w:rPr>
            </w:r>
            <w:r>
              <w:rPr>
                <w:rFonts w:ascii="Calibri" w:hAnsi="Calibri"/>
                <w:b/>
                <w:color w:val="203748"/>
                <w:sz w:val="18"/>
              </w:rPr>
              <w:t>Typical learner experience</w:t>
            </w:r>
          </w:p>
        </w:tc>
        <w:tc>
          <w:tcPr>
            <w:tcW w:type="dxa" w:w="3311"/>
            <w:tcMar>
              <w:top w:w="80" w:type="dxa"/>
              <w:bottom w:w="80" w:type="dxa"/>
              <w:start w:w="120" w:type="dxa"/>
              <w:end w:w="120" w:type="dxa"/>
            </w:tcMar>
            <w:vAlign w:val="center"/>
            <w:shd w:fill="E8EEF5"/>
          </w:tcPr>
          <w:p>
            <w:pPr>
              <w:spacing w:before="0" w:after="0" w:line="269" w:lineRule="auto"/>
              <w:jc w:val="left"/>
            </w:pPr>
            <w:r>
              <w:rPr>
                <w:b/>
                <w:color w:val="203748"/>
              </w:rPr>
            </w:r>
            <w:r>
              <w:rPr>
                <w:rFonts w:ascii="Calibri" w:hAnsi="Calibri"/>
                <w:b/>
                <w:color w:val="203748"/>
                <w:sz w:val="18"/>
              </w:rPr>
              <w:t>Questions to verify</w:t>
            </w:r>
          </w:p>
        </w:tc>
      </w:tr>
      <w:tr>
        <w:trPr>
          <w:cantSplit w:val="true"/>
        </w:trPr>
        <w:tc>
          <w:tcPr>
            <w:tcW w:type="dxa" w:w="2740"/>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Open public retrieval</w:t>
            </w:r>
          </w:p>
        </w:tc>
        <w:tc>
          <w:tcPr>
            <w:tcW w:type="dxa" w:w="3309"/>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A public study can be viewed or retrieved without personal credentials.</w:t>
            </w:r>
          </w:p>
        </w:tc>
        <w:tc>
          <w:tcPr>
            <w:tcW w:type="dxa" w:w="3311"/>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Is this exact accession public? Is there an embargo? Are redistribution terms stated?</w:t>
            </w:r>
          </w:p>
        </w:tc>
      </w:tr>
      <w:tr>
        <w:trPr>
          <w:cantSplit w:val="true"/>
        </w:trPr>
        <w:tc>
          <w:tcPr>
            <w:tcW w:type="dxa" w:w="2740"/>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Account, agreement, or approval gated</w:t>
            </w:r>
          </w:p>
        </w:tc>
        <w:tc>
          <w:tcPr>
            <w:tcW w:type="dxa" w:w="3309"/>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Access requires identity, an account, acceptance of terms, a DUA, or review.</w:t>
            </w:r>
          </w:p>
        </w:tc>
        <w:tc>
          <w:tcPr>
            <w:tcW w:type="dxa" w:w="3311"/>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Who may apply? What uses and exports are allowed? How long might approval take?</w:t>
            </w:r>
          </w:p>
        </w:tc>
      </w:tr>
      <w:tr>
        <w:trPr>
          <w:cantSplit w:val="true"/>
        </w:trPr>
        <w:tc>
          <w:tcPr>
            <w:tcW w:type="dxa" w:w="2740"/>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Controlled compute</w:t>
            </w:r>
          </w:p>
        </w:tc>
        <w:tc>
          <w:tcPr>
            <w:tcW w:type="dxa" w:w="3309"/>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Participant-level data remain inside an approved environment; only permitted outputs leave it.</w:t>
            </w:r>
          </w:p>
        </w:tc>
        <w:tc>
          <w:tcPr>
            <w:tcW w:type="dxa" w:w="3311"/>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What tier is needed? What institutional and training requirements apply? What disclosure review or export rules govern outputs?</w:t>
            </w:r>
          </w:p>
        </w:tc>
      </w:tr>
    </w:tbl>
    <w:p>
      <w:pPr>
        <w:spacing w:before="0" w:after="40"/>
      </w:pPr>
    </w:p>
    <w:p>
      <w:r>
        <w:rPr>
          <w:rFonts w:ascii="Calibri" w:hAnsi="Calibri"/>
          <w:color w:val="222222"/>
        </w:rPr>
        <w:t>One resource may expose different datasets under different patterns. A public landing page does not prove that the desired data are public. Conversely, the existence of restricted data does not prove that all releases require registration.</w:t>
      </w:r>
    </w:p>
    <w:p>
      <w:pPr>
        <w:pStyle w:val="Heading3"/>
      </w:pPr>
      <w:r>
        <w:rPr>
          <w:rFonts w:ascii="Calibri" w:hAnsi="Calibri"/>
          <w:color w:val="222222"/>
        </w:rPr>
        <w:t>Text-only concept sketch: access patterns</w:t>
      </w:r>
    </w:p>
    <w:p>
      <w:r>
        <w:rPr>
          <w:rFonts w:ascii="Calibri" w:hAnsi="Calibri"/>
          <w:color w:val="222222"/>
        </w:rPr>
        <w:t>No separate image appears here. Picture three workspaces arranged from left to right. The first has an open door and a download arrow. The second has a sign-in badge and an agreement document. The third has data locked inside a cloud workspace, with only a reviewed summary moving outward. A study can move between workspaces as its release status changes, so a calendar and version label appear below all three.</w:t>
      </w:r>
    </w:p>
    <w:p>
      <w:pPr>
        <w:pStyle w:val="Heading2"/>
      </w:pPr>
      <w:r>
        <w:rPr>
          <w:rFonts w:ascii="Calibri" w:hAnsi="Calibri"/>
          <w:color w:val="222222"/>
        </w:rPr>
        <w:t>5. Worked example: a quick evidence check</w:t>
      </w:r>
    </w:p>
    <w:p>
      <w:r>
        <w:rPr>
          <w:rFonts w:ascii="Calibri" w:hAnsi="Calibri"/>
          <w:color w:val="222222"/>
        </w:rPr>
        <w:t>This example introduces the checks for the release pair. Lesson 2 examines the dated study records in detail.</w:t>
      </w:r>
    </w:p>
    <w:p>
      <w:r>
        <w:rPr>
          <w:rFonts w:ascii="Calibri" w:hAnsi="Calibri"/>
          <w:b/>
          <w:color w:val="222222"/>
        </w:rPr>
        <w:t>Claim to evaluate:</w:t>
      </w:r>
      <w:r>
        <w:rPr>
          <w:rFonts w:ascii="Calibri" w:hAnsi="Calibri"/>
          <w:color w:val="222222"/>
        </w:rPr>
        <w:t xml:space="preserve"> "The diet and exercise datasets are both on Metabolomics Workbench, so their metabolite values can be pooled."</w:t>
      </w:r>
    </w:p>
    <w:p>
      <w:pPr>
        <w:numPr>
          <w:ilvl w:val="0"/>
          <w:numId w:val="19"/>
        </w:numPr>
        <w:spacing w:after="80" w:line="300" w:lineRule="auto"/>
      </w:pPr>
      <w:r>
        <w:rPr>
          <w:rFonts w:ascii="Calibri" w:hAnsi="Calibri"/>
          <w:b/>
          <w:color w:val="222222"/>
        </w:rPr>
        <w:t>Repository check:</w:t>
      </w:r>
      <w:r>
        <w:rPr>
          <w:rFonts w:ascii="Calibri" w:hAnsi="Calibri"/>
          <w:color w:val="222222"/>
        </w:rPr>
        <w:t xml:space="preserve"> Both are intended to be public MW studies. This supports a common retrieval mechanism, not common measurement properties.</w:t>
      </w:r>
    </w:p>
    <w:p>
      <w:pPr>
        <w:numPr>
          <w:ilvl w:val="0"/>
          <w:numId w:val="19"/>
        </w:numPr>
        <w:spacing w:after="80" w:line="300" w:lineRule="auto"/>
      </w:pPr>
      <w:r>
        <w:rPr>
          <w:rFonts w:ascii="Calibri" w:hAnsi="Calibri"/>
          <w:b/>
          <w:color w:val="222222"/>
        </w:rPr>
        <w:t>Identifier check:</w:t>
      </w:r>
      <w:r>
        <w:rPr>
          <w:rFonts w:ascii="Calibri" w:hAnsi="Calibri"/>
          <w:color w:val="222222"/>
        </w:rPr>
        <w:t xml:space="preserve"> Submitted names may be mapped to RefMet. This supports a documented analyte-name bridge, subject to annotation resolution.</w:t>
      </w:r>
    </w:p>
    <w:p>
      <w:pPr>
        <w:numPr>
          <w:ilvl w:val="0"/>
          <w:numId w:val="19"/>
        </w:numPr>
        <w:spacing w:after="80" w:line="300" w:lineRule="auto"/>
      </w:pPr>
      <w:r>
        <w:rPr>
          <w:rFonts w:ascii="Calibri" w:hAnsi="Calibri"/>
          <w:b/>
          <w:color w:val="222222"/>
        </w:rPr>
        <w:t>Specimen check:</w:t>
      </w:r>
      <w:r>
        <w:rPr>
          <w:rFonts w:ascii="Calibri" w:hAnsi="Calibri"/>
          <w:color w:val="222222"/>
        </w:rPr>
        <w:t xml:space="preserve"> Compare the sample source and collection protocol. Plasma versus serum, or fasting versus fed, can alter interpretation.</w:t>
      </w:r>
    </w:p>
    <w:p>
      <w:pPr>
        <w:numPr>
          <w:ilvl w:val="0"/>
          <w:numId w:val="19"/>
        </w:numPr>
        <w:spacing w:after="80" w:line="300" w:lineRule="auto"/>
      </w:pPr>
      <w:r>
        <w:rPr>
          <w:rFonts w:ascii="Calibri" w:hAnsi="Calibri"/>
          <w:b/>
          <w:color w:val="222222"/>
        </w:rPr>
        <w:t>Timepoint check:</w:t>
      </w:r>
      <w:r>
        <w:rPr>
          <w:rFonts w:ascii="Calibri" w:hAnsi="Calibri"/>
          <w:color w:val="222222"/>
        </w:rPr>
        <w:t xml:space="preserve"> Define each timepoint physiologically. A shared word such as </w:t>
      </w:r>
      <w:r>
        <w:rPr>
          <w:rFonts w:ascii="Consolas" w:hAnsi="Consolas"/>
          <w:color w:val="1F4D78"/>
          <w:sz w:val="21"/>
          <w:shd w:fill="EEF1F4"/>
        </w:rPr>
        <w:t>baseline</w:t>
      </w:r>
      <w:r>
        <w:rPr>
          <w:rFonts w:ascii="Calibri" w:hAnsi="Calibri"/>
          <w:color w:val="222222"/>
        </w:rPr>
        <w:t xml:space="preserve"> is insufficient.</w:t>
      </w:r>
    </w:p>
    <w:p>
      <w:pPr>
        <w:numPr>
          <w:ilvl w:val="0"/>
          <w:numId w:val="19"/>
        </w:numPr>
        <w:spacing w:after="80" w:line="300" w:lineRule="auto"/>
      </w:pPr>
      <w:r>
        <w:rPr>
          <w:rFonts w:ascii="Calibri" w:hAnsi="Calibri"/>
          <w:b/>
          <w:color w:val="222222"/>
        </w:rPr>
        <w:t>Platform and scale check:</w:t>
      </w:r>
      <w:r>
        <w:rPr>
          <w:rFonts w:ascii="Calibri" w:hAnsi="Calibri"/>
          <w:color w:val="222222"/>
        </w:rPr>
        <w:t xml:space="preserve"> Determine targeted versus untargeted analysis, chromatography, ion mode, quantification type, units, normalization, and batch structure.</w:t>
      </w:r>
    </w:p>
    <w:p>
      <w:pPr>
        <w:numPr>
          <w:ilvl w:val="0"/>
          <w:numId w:val="19"/>
        </w:numPr>
        <w:spacing w:after="80" w:line="300" w:lineRule="auto"/>
      </w:pPr>
      <w:r>
        <w:rPr>
          <w:rFonts w:ascii="Calibri" w:hAnsi="Calibri"/>
          <w:b/>
          <w:color w:val="222222"/>
        </w:rPr>
        <w:t>Design check:</w:t>
      </w:r>
      <w:r>
        <w:rPr>
          <w:rFonts w:ascii="Calibri" w:hAnsi="Calibri"/>
          <w:color w:val="222222"/>
        </w:rPr>
        <w:t xml:space="preserve"> Ask whether study and phenotype are separable. With one diet study and one exercise study, study membership is confounded with phenotype anchor.</w:t>
      </w:r>
    </w:p>
    <w:p>
      <w:r>
        <w:rPr>
          <w:rFonts w:ascii="Calibri" w:hAnsi="Calibri"/>
          <w:b/>
          <w:color w:val="222222"/>
        </w:rPr>
        <w:t>Decision:</w:t>
      </w:r>
      <w:r>
        <w:rPr>
          <w:rFonts w:ascii="Calibri" w:hAnsi="Calibri"/>
          <w:color w:val="222222"/>
        </w:rPr>
        <w:t xml:space="preserve"> Reject automatic quantitative pooling. Proceed with metadata comparison, identifier crosswalking, overlap description, and within-study exploratory analysis. Consider cross-study quantitative modeling only if a later, explicit compatibility assessment and design justify it.</w:t>
      </w:r>
    </w:p>
    <w:p>
      <w:pPr>
        <w:pStyle w:val="Heading2"/>
      </w:pPr>
      <w:r>
        <w:rPr>
          <w:rFonts w:ascii="Calibri" w:hAnsi="Calibri"/>
          <w:color w:val="222222"/>
        </w:rPr>
        <w:t>6. Hands-on activity: open the source records</w:t>
      </w:r>
    </w:p>
    <w:p>
      <w:r>
        <w:rPr>
          <w:rFonts w:ascii="Calibri" w:hAnsi="Calibri"/>
          <w:color w:val="222222"/>
        </w:rPr>
        <w:t>Open the learner cohort-comparison worksheet and complete the first four fields for both configured accessions.</w:t>
      </w:r>
    </w:p>
    <w:p>
      <w:pPr>
        <w:numPr>
          <w:ilvl w:val="0"/>
          <w:numId w:val="20"/>
        </w:numPr>
        <w:spacing w:after="80" w:line="300" w:lineRule="auto"/>
      </w:pPr>
      <w:r>
        <w:rPr>
          <w:rFonts w:ascii="Calibri" w:hAnsi="Calibri"/>
          <w:color w:val="222222"/>
        </w:rPr>
        <w:t xml:space="preserve">Record </w:t>
      </w:r>
      <w:r>
        <w:rPr>
          <w:rFonts w:ascii="Consolas" w:hAnsi="Consolas"/>
          <w:color w:val="1F4D78"/>
          <w:sz w:val="21"/>
          <w:shd w:fill="EEF1F4"/>
        </w:rPr>
        <w:t>DIET_ACCESSION = ST001521</w:t>
      </w:r>
      <w:r>
        <w:rPr>
          <w:rFonts w:ascii="Calibri" w:hAnsi="Calibri"/>
          <w:color w:val="222222"/>
        </w:rPr>
        <w:t xml:space="preserve"> and </w:t>
      </w:r>
      <w:r>
        <w:rPr>
          <w:rFonts w:ascii="Consolas" w:hAnsi="Consolas"/>
          <w:color w:val="1F4D78"/>
          <w:sz w:val="21"/>
          <w:shd w:fill="EEF1F4"/>
        </w:rPr>
        <w:t>EXERCISE_ACCESSION = ST003348</w:t>
      </w:r>
      <w:r>
        <w:rPr>
          <w:rFonts w:ascii="Calibri" w:hAnsi="Calibri"/>
          <w:color w:val="222222"/>
        </w:rPr>
        <w:t xml:space="preserve"> from </w:t>
      </w:r>
      <w:r>
        <w:rPr>
          <w:rFonts w:ascii="Consolas" w:hAnsi="Consolas"/>
          <w:color w:val="1F4D78"/>
          <w:sz w:val="21"/>
          <w:shd w:fill="EEF1F4"/>
        </w:rPr>
        <w:t>module/data/provenance.json</w:t>
      </w:r>
      <w:r>
        <w:rPr>
          <w:rFonts w:ascii="Calibri" w:hAnsi="Calibri"/>
          <w:color w:val="222222"/>
        </w:rPr>
        <w:t>.</w:t>
      </w:r>
    </w:p>
    <w:p>
      <w:pPr>
        <w:numPr>
          <w:ilvl w:val="0"/>
          <w:numId w:val="20"/>
        </w:numPr>
        <w:spacing w:after="80" w:line="300" w:lineRule="auto"/>
      </w:pPr>
      <w:r>
        <w:rPr>
          <w:rFonts w:ascii="Calibri" w:hAnsi="Calibri"/>
          <w:color w:val="222222"/>
        </w:rPr>
        <w:t xml:space="preserve">Record the diet </w:t>
      </w:r>
      <w:hyperlink r:id="rId12">
        <w:r>
          <w:rPr>
            <w:rFonts w:ascii="Calibri" w:hAnsi="Calibri"/>
            <w:color w:val="2E74B5"/>
            <w:u w:val="single"/>
            <w:sz w:val="22"/>
          </w:rPr>
          <w:t>study page</w:t>
        </w:r>
      </w:hyperlink>
      <w:r>
        <w:rPr>
          <w:rFonts w:ascii="Calibri" w:hAnsi="Calibri"/>
          <w:color w:val="222222"/>
        </w:rPr>
        <w:t xml:space="preserve"> and </w:t>
      </w:r>
      <w:hyperlink r:id="rId13">
        <w:r>
          <w:rPr>
            <w:rFonts w:ascii="Calibri" w:hAnsi="Calibri"/>
            <w:color w:val="2E74B5"/>
            <w:u w:val="single"/>
            <w:sz w:val="22"/>
          </w:rPr>
          <w:t>REST summary</w:t>
        </w:r>
      </w:hyperlink>
      <w:r>
        <w:rPr>
          <w:rFonts w:ascii="Calibri" w:hAnsi="Calibri"/>
          <w:color w:val="222222"/>
        </w:rPr>
        <w:t xml:space="preserve">, then the exercise </w:t>
      </w:r>
      <w:hyperlink r:id="rId14">
        <w:r>
          <w:rPr>
            <w:rFonts w:ascii="Calibri" w:hAnsi="Calibri"/>
            <w:color w:val="2E74B5"/>
            <w:u w:val="single"/>
            <w:sz w:val="22"/>
          </w:rPr>
          <w:t>study page</w:t>
        </w:r>
      </w:hyperlink>
      <w:r>
        <w:rPr>
          <w:rFonts w:ascii="Calibri" w:hAnsi="Calibri"/>
          <w:color w:val="222222"/>
        </w:rPr>
        <w:t xml:space="preserve"> and </w:t>
      </w:r>
      <w:hyperlink r:id="rId15">
        <w:r>
          <w:rPr>
            <w:rFonts w:ascii="Calibri" w:hAnsi="Calibri"/>
            <w:color w:val="2E74B5"/>
            <w:u w:val="single"/>
            <w:sz w:val="22"/>
          </w:rPr>
          <w:t>REST summary</w:t>
        </w:r>
      </w:hyperlink>
      <w:r>
        <w:rPr>
          <w:rFonts w:ascii="Calibri" w:hAnsi="Calibri"/>
          <w:color w:val="222222"/>
        </w:rPr>
        <w:t>.</w:t>
      </w:r>
    </w:p>
    <w:p>
      <w:pPr>
        <w:numPr>
          <w:ilvl w:val="0"/>
          <w:numId w:val="20"/>
        </w:numPr>
        <w:spacing w:after="80" w:line="300" w:lineRule="auto"/>
      </w:pPr>
      <w:r>
        <w:rPr>
          <w:rFonts w:ascii="Calibri" w:hAnsi="Calibri"/>
          <w:color w:val="222222"/>
        </w:rPr>
        <w:t>Record the date and time you verified public availability.</w:t>
      </w:r>
    </w:p>
    <w:p>
      <w:pPr>
        <w:numPr>
          <w:ilvl w:val="0"/>
          <w:numId w:val="20"/>
        </w:numPr>
        <w:spacing w:after="80" w:line="300" w:lineRule="auto"/>
      </w:pPr>
      <w:r>
        <w:rPr>
          <w:rFonts w:ascii="Calibri" w:hAnsi="Calibri"/>
          <w:color w:val="222222"/>
        </w:rPr>
        <w:t xml:space="preserve">Label the access evidence as </w:t>
      </w:r>
      <w:r>
        <w:rPr>
          <w:rFonts w:ascii="Consolas" w:hAnsi="Consolas"/>
          <w:color w:val="1F4D78"/>
          <w:sz w:val="21"/>
          <w:shd w:fill="EEF1F4"/>
        </w:rPr>
        <w:t>verified</w:t>
      </w:r>
      <w:r>
        <w:rPr>
          <w:rFonts w:ascii="Calibri" w:hAnsi="Calibri"/>
          <w:color w:val="222222"/>
        </w:rPr>
        <w:t xml:space="preserve">, </w:t>
      </w:r>
      <w:r>
        <w:rPr>
          <w:rFonts w:ascii="Consolas" w:hAnsi="Consolas"/>
          <w:color w:val="1F4D78"/>
          <w:sz w:val="21"/>
          <w:shd w:fill="EEF1F4"/>
        </w:rPr>
        <w:t>not verified</w:t>
      </w:r>
      <w:r>
        <w:rPr>
          <w:rFonts w:ascii="Calibri" w:hAnsi="Calibri"/>
          <w:color w:val="222222"/>
        </w:rPr>
        <w:t xml:space="preserve">, or </w:t>
      </w:r>
      <w:r>
        <w:rPr>
          <w:rFonts w:ascii="Consolas" w:hAnsi="Consolas"/>
          <w:color w:val="1F4D78"/>
          <w:sz w:val="21"/>
          <w:shd w:fill="EEF1F4"/>
        </w:rPr>
        <w:t>conflicting</w:t>
      </w:r>
      <w:r>
        <w:rPr>
          <w:rFonts w:ascii="Calibri" w:hAnsi="Calibri"/>
          <w:color w:val="222222"/>
        </w:rPr>
        <w:t>.</w:t>
      </w:r>
    </w:p>
    <w:p>
      <w:pPr>
        <w:numPr>
          <w:ilvl w:val="0"/>
          <w:numId w:val="20"/>
        </w:numPr>
        <w:spacing w:after="80" w:line="300" w:lineRule="auto"/>
      </w:pPr>
      <w:r>
        <w:rPr>
          <w:rFonts w:ascii="Calibri" w:hAnsi="Calibri"/>
          <w:color w:val="222222"/>
        </w:rPr>
        <w:t>Write one sentence describing what public access does and does not imply about scientific comparability.</w:t>
      </w:r>
    </w:p>
    <w:p>
      <w:r>
        <w:rPr>
          <w:rFonts w:ascii="Calibri" w:hAnsi="Calibri"/>
          <w:b/>
          <w:color w:val="222222"/>
        </w:rPr>
        <w:t>Stop condition:</w:t>
      </w:r>
      <w:r>
        <w:rPr>
          <w:rFonts w:ascii="Calibri" w:hAnsi="Calibri"/>
          <w:color w:val="222222"/>
        </w:rPr>
        <w:t xml:space="preserve"> If either configured accession differs from the release manifest or its public release cannot be verified, do not substitute another study silently. Continue with the versioned cache if available, mark the source as cached, and report the discrepancy to the instructor.</w:t>
      </w:r>
    </w:p>
    <w:p>
      <w:pPr>
        <w:pStyle w:val="Heading2"/>
      </w:pPr>
      <w:r>
        <w:rPr>
          <w:rFonts w:ascii="Calibri" w:hAnsi="Calibri"/>
          <w:color w:val="222222"/>
        </w:rPr>
        <w:t>7. Keep these distinctions</w:t>
      </w:r>
    </w:p>
    <w:p>
      <w:pPr>
        <w:numPr>
          <w:ilvl w:val="0"/>
          <w:numId w:val="21"/>
        </w:numPr>
        <w:spacing w:after="80" w:line="300" w:lineRule="auto"/>
      </w:pPr>
      <w:r>
        <w:rPr>
          <w:rFonts w:ascii="Calibri" w:hAnsi="Calibri"/>
          <w:color w:val="222222"/>
        </w:rPr>
        <w:t>Repository co-location supports common discovery and retrieval, not common measurement.</w:t>
      </w:r>
    </w:p>
    <w:p>
      <w:pPr>
        <w:numPr>
          <w:ilvl w:val="0"/>
          <w:numId w:val="21"/>
        </w:numPr>
        <w:spacing w:after="80" w:line="300" w:lineRule="auto"/>
      </w:pPr>
      <w:r>
        <w:rPr>
          <w:rFonts w:ascii="Calibri" w:hAnsi="Calibri"/>
          <w:color w:val="222222"/>
        </w:rPr>
        <w:t>A RefMet match links the records at the standardized-name level; it does not establish a common concentration or identification level.</w:t>
      </w:r>
    </w:p>
    <w:p>
      <w:pPr>
        <w:numPr>
          <w:ilvl w:val="0"/>
          <w:numId w:val="21"/>
        </w:numPr>
        <w:spacing w:after="80" w:line="300" w:lineRule="auto"/>
      </w:pPr>
      <w:r>
        <w:rPr>
          <w:rFonts w:ascii="Calibri" w:hAnsi="Calibri"/>
          <w:color w:val="222222"/>
        </w:rPr>
        <w:t>A broad specimen category must not erase plasma-versus-serum or other matrix differences.</w:t>
      </w:r>
    </w:p>
    <w:p>
      <w:pPr>
        <w:numPr>
          <w:ilvl w:val="0"/>
          <w:numId w:val="21"/>
        </w:numPr>
        <w:spacing w:after="80" w:line="300" w:lineRule="auto"/>
      </w:pPr>
      <w:r>
        <w:rPr>
          <w:rFonts w:ascii="Calibri" w:hAnsi="Calibri"/>
          <w:color w:val="222222"/>
        </w:rPr>
        <w:t xml:space="preserve">Physiological time must be defined before labels such as </w:t>
      </w:r>
      <w:r>
        <w:rPr>
          <w:rFonts w:ascii="Consolas" w:hAnsi="Consolas"/>
          <w:color w:val="1F4D78"/>
          <w:sz w:val="21"/>
          <w:shd w:fill="EEF1F4"/>
        </w:rPr>
        <w:t>baseline</w:t>
      </w:r>
      <w:r>
        <w:rPr>
          <w:rFonts w:ascii="Calibri" w:hAnsi="Calibri"/>
          <w:color w:val="222222"/>
        </w:rPr>
        <w:t xml:space="preserve"> or </w:t>
      </w:r>
      <w:r>
        <w:rPr>
          <w:rFonts w:ascii="Consolas" w:hAnsi="Consolas"/>
          <w:color w:val="1F4D78"/>
          <w:sz w:val="21"/>
          <w:shd w:fill="EEF1F4"/>
        </w:rPr>
        <w:t>post</w:t>
      </w:r>
      <w:r>
        <w:rPr>
          <w:rFonts w:ascii="Calibri" w:hAnsi="Calibri"/>
          <w:color w:val="222222"/>
        </w:rPr>
        <w:t xml:space="preserve"> are aligned.</w:t>
      </w:r>
    </w:p>
    <w:p>
      <w:pPr>
        <w:numPr>
          <w:ilvl w:val="0"/>
          <w:numId w:val="21"/>
        </w:numPr>
        <w:spacing w:after="80" w:line="300" w:lineRule="auto"/>
      </w:pPr>
      <w:r>
        <w:rPr>
          <w:rFonts w:ascii="Calibri" w:hAnsi="Calibri"/>
          <w:color w:val="222222"/>
        </w:rPr>
        <w:t>Public access does not establish scientific compatibility.</w:t>
      </w:r>
    </w:p>
    <w:p>
      <w:pPr>
        <w:numPr>
          <w:ilvl w:val="0"/>
          <w:numId w:val="21"/>
        </w:numPr>
        <w:spacing w:after="80" w:line="300" w:lineRule="auto"/>
      </w:pPr>
      <w:r>
        <w:rPr>
          <w:rFonts w:ascii="Calibri" w:hAnsi="Calibri"/>
          <w:color w:val="222222"/>
        </w:rPr>
        <w:t>Study-confounded separation must not be labeled a diet-versus-exercise effect.</w:t>
      </w:r>
    </w:p>
    <w:p>
      <w:pPr>
        <w:numPr>
          <w:ilvl w:val="0"/>
          <w:numId w:val="21"/>
        </w:numPr>
        <w:spacing w:after="80" w:line="300" w:lineRule="auto"/>
      </w:pPr>
      <w:r>
        <w:rPr>
          <w:rFonts w:ascii="Calibri" w:hAnsi="Calibri"/>
          <w:color w:val="222222"/>
        </w:rPr>
        <w:t>An unresolved or incompatible decision is a valid harmonization result.</w:t>
      </w:r>
    </w:p>
    <w:p>
      <w:pPr>
        <w:pStyle w:val="Heading2"/>
      </w:pPr>
      <w:r>
        <w:rPr>
          <w:rFonts w:ascii="Calibri" w:hAnsi="Calibri"/>
          <w:color w:val="222222"/>
        </w:rPr>
        <w:t>8. Knowledge check</w:t>
      </w:r>
    </w:p>
    <w:p>
      <w:r>
        <w:rPr>
          <w:rFonts w:ascii="Calibri" w:hAnsi="Calibri"/>
          <w:color w:val="222222"/>
        </w:rPr>
        <w:t xml:space="preserve">Answer before viewing the rationale in </w:t>
      </w:r>
      <w:r>
        <w:rPr>
          <w:rFonts w:ascii="Consolas" w:hAnsi="Consolas"/>
          <w:color w:val="1F4D78"/>
          <w:sz w:val="21"/>
          <w:shd w:fill="EEF1F4"/>
        </w:rPr>
        <w:t>module/assessments/knowledge_checks.json</w:t>
      </w:r>
      <w:r>
        <w:rPr>
          <w:rFonts w:ascii="Calibri" w:hAnsi="Calibri"/>
          <w:color w:val="222222"/>
        </w:rPr>
        <w:t>.</w:t>
      </w:r>
    </w:p>
    <w:p>
      <w:pPr>
        <w:keepNext/>
        <w:keepLines/>
      </w:pPr>
      <w:r>
        <w:rPr>
          <w:rFonts w:ascii="Calibri" w:hAnsi="Calibri"/>
          <w:b/>
          <w:color w:val="222222"/>
        </w:rPr>
        <w:t>KC1-01.</w:t>
      </w:r>
      <w:r>
        <w:rPr>
          <w:rFonts w:ascii="Calibri" w:hAnsi="Calibri"/>
          <w:color w:val="222222"/>
        </w:rPr>
        <w:t xml:space="preserve"> Two studies report a RefMet match for the same metabolite. Which conclusion is justified?</w:t>
      </w:r>
    </w:p>
    <w:p>
      <w:pPr>
        <w:keepNext/>
        <w:keepLines/>
      </w:pPr>
      <w:r>
        <w:rPr>
          <w:rFonts w:ascii="Calibri" w:hAnsi="Calibri"/>
          <w:color w:val="222222"/>
        </w:rPr>
        <w:t>A. Their quantitative values may be concatenated without further checks.</w:t>
      </w:r>
    </w:p>
    <w:p>
      <w:pPr>
        <w:keepNext/>
        <w:keepLines/>
      </w:pPr>
      <w:r>
        <w:rPr>
          <w:rFonts w:ascii="Calibri" w:hAnsi="Calibri"/>
          <w:color w:val="222222"/>
        </w:rPr>
        <w:t>B. Their submitted labels have a shared standardized-name candidate; analytical specificity and context still require review.</w:t>
      </w:r>
    </w:p>
    <w:p>
      <w:pPr>
        <w:keepNext/>
        <w:keepLines/>
      </w:pPr>
      <w:r>
        <w:rPr>
          <w:rFonts w:ascii="Calibri" w:hAnsi="Calibri"/>
          <w:color w:val="222222"/>
        </w:rPr>
        <w:t>C. The metabolite was confirmed by an authentic standard in both studies.</w:t>
      </w:r>
    </w:p>
    <w:p>
      <w:pPr>
        <w:keepNext w:val="0"/>
        <w:keepLines/>
      </w:pPr>
      <w:r>
        <w:rPr>
          <w:rFonts w:ascii="Calibri" w:hAnsi="Calibri"/>
          <w:color w:val="222222"/>
        </w:rPr>
        <w:t>D. Any between-study difference is biological.</w:t>
      </w:r>
    </w:p>
    <w:p>
      <w:pPr>
        <w:keepNext/>
        <w:keepLines/>
      </w:pPr>
      <w:r>
        <w:rPr>
          <w:rFonts w:ascii="Calibri" w:hAnsi="Calibri"/>
          <w:b/>
          <w:color w:val="222222"/>
        </w:rPr>
        <w:t>KC1-02.</w:t>
      </w:r>
      <w:r>
        <w:rPr>
          <w:rFonts w:ascii="Calibri" w:hAnsi="Calibri"/>
          <w:color w:val="222222"/>
        </w:rPr>
        <w:t xml:space="preserve"> Which evidence establishes the access pattern for a candidate dataset?</w:t>
      </w:r>
    </w:p>
    <w:p>
      <w:pPr>
        <w:keepNext/>
        <w:keepLines/>
      </w:pPr>
      <w:r>
        <w:rPr>
          <w:rFonts w:ascii="Calibri" w:hAnsi="Calibri"/>
          <w:color w:val="222222"/>
        </w:rPr>
        <w:t>A. The reputation of the research consortium.</w:t>
      </w:r>
    </w:p>
    <w:p>
      <w:pPr>
        <w:keepNext/>
        <w:keepLines/>
      </w:pPr>
      <w:r>
        <w:rPr>
          <w:rFonts w:ascii="Calibri" w:hAnsi="Calibri"/>
          <w:color w:val="222222"/>
        </w:rPr>
        <w:t>B. The access tier remembered from a prior release.</w:t>
      </w:r>
    </w:p>
    <w:p>
      <w:pPr>
        <w:keepNext/>
        <w:keepLines/>
      </w:pPr>
      <w:r>
        <w:rPr>
          <w:rFonts w:ascii="Calibri" w:hAnsi="Calibri"/>
          <w:color w:val="222222"/>
        </w:rPr>
        <w:t>C. Current first-party documentation and a dated check of the exact dataset and intended action.</w:t>
      </w:r>
    </w:p>
    <w:p>
      <w:pPr>
        <w:keepNext w:val="0"/>
        <w:keepLines/>
      </w:pPr>
      <w:r>
        <w:rPr>
          <w:rFonts w:ascii="Calibri" w:hAnsi="Calibri"/>
          <w:color w:val="222222"/>
        </w:rPr>
        <w:t>D. The fact that a publication cites the dataset.</w:t>
      </w:r>
    </w:p>
    <w:p>
      <w:pPr>
        <w:keepNext/>
        <w:keepLines/>
      </w:pPr>
      <w:r>
        <w:rPr>
          <w:rFonts w:ascii="Calibri" w:hAnsi="Calibri"/>
          <w:b/>
          <w:color w:val="222222"/>
        </w:rPr>
        <w:t>KC1-03.</w:t>
      </w:r>
      <w:r>
        <w:rPr>
          <w:rFonts w:ascii="Calibri" w:hAnsi="Calibri"/>
          <w:color w:val="222222"/>
        </w:rPr>
        <w:t xml:space="preserve"> When phenotype anchor and study are perfectly confounded, what is the safest interpretation of a PCA separation between studies?</w:t>
      </w:r>
    </w:p>
    <w:p>
      <w:pPr>
        <w:keepNext/>
        <w:keepLines/>
      </w:pPr>
      <w:r>
        <w:rPr>
          <w:rFonts w:ascii="Calibri" w:hAnsi="Calibri"/>
          <w:color w:val="222222"/>
        </w:rPr>
        <w:t>A. It proves diet and exercise have different metabolic effects.</w:t>
      </w:r>
    </w:p>
    <w:p>
      <w:pPr>
        <w:keepNext/>
        <w:keepLines/>
      </w:pPr>
      <w:r>
        <w:rPr>
          <w:rFonts w:ascii="Calibri" w:hAnsi="Calibri"/>
          <w:color w:val="222222"/>
        </w:rPr>
        <w:t>B. It proves the exercise cohort is more heterogeneous.</w:t>
      </w:r>
    </w:p>
    <w:p>
      <w:pPr>
        <w:keepNext/>
        <w:keepLines/>
      </w:pPr>
      <w:r>
        <w:rPr>
          <w:rFonts w:ascii="Calibri" w:hAnsi="Calibri"/>
          <w:color w:val="222222"/>
        </w:rPr>
        <w:t>C. It is exploratory separation that may reflect biological, technical, or design differences that cannot be uniquely attributed.</w:t>
      </w:r>
    </w:p>
    <w:p>
      <w:pPr>
        <w:keepNext w:val="0"/>
        <w:keepLines/>
      </w:pPr>
      <w:r>
        <w:rPr>
          <w:rFonts w:ascii="Calibri" w:hAnsi="Calibri"/>
          <w:color w:val="222222"/>
        </w:rPr>
        <w:t>D. It validates quantitative pooling.</w:t>
      </w:r>
    </w:p>
    <w:p>
      <w:pPr>
        <w:pStyle w:val="Heading2"/>
      </w:pPr>
      <w:r>
        <w:rPr>
          <w:rFonts w:ascii="Calibri" w:hAnsi="Calibri"/>
          <w:color w:val="222222"/>
        </w:rPr>
        <w:t>9. Reflection</w:t>
      </w:r>
    </w:p>
    <w:p>
      <w:r>
        <w:rPr>
          <w:rFonts w:ascii="Calibri" w:hAnsi="Calibri"/>
          <w:color w:val="222222"/>
        </w:rPr>
        <w:t>Complete this sentence in one or two lines:</w:t>
      </w:r>
    </w:p>
    <w:p>
      <w:pPr>
        <w:spacing w:before="100" w:after="120"/>
        <w:ind w:left="259" w:right="115"/>
        <w:shd w:fill="F4F6F9"/>
        <w:pBdr>
          <w:left w:val="single" w:sz="16" w:space="8" w:color="2E74B5"/>
        </w:pBdr>
      </w:pPr>
      <w:r>
        <w:rPr>
          <w:rFonts w:ascii="Calibri" w:hAnsi="Calibri"/>
          <w:color w:val="1F4D78"/>
        </w:rPr>
        <w:t>A cross-study comparison would be useful for my work if it helped me ________, but it would become misleading if I ________.</w:t>
      </w:r>
    </w:p>
    <w:p>
      <w:r>
        <w:rPr>
          <w:rFonts w:ascii="Calibri" w:hAnsi="Calibri"/>
          <w:color w:val="222222"/>
        </w:rPr>
        <w:t>Keep the response. You will revisit it after the analysis lesson.</w:t>
      </w:r>
    </w:p>
    <w:p>
      <w:pPr>
        <w:pStyle w:val="Heading2"/>
      </w:pPr>
      <w:r>
        <w:rPr>
          <w:rFonts w:ascii="Calibri" w:hAnsi="Calibri"/>
          <w:color w:val="222222"/>
        </w:rPr>
        <w:t>Before you continue</w:t>
      </w:r>
    </w:p>
    <w:p>
      <w:r>
        <w:rPr>
          <w:rFonts w:ascii="Calibri" w:hAnsi="Calibri"/>
          <w:color w:val="222222"/>
        </w:rPr>
        <w:t>Harmonization helps you compare records without erasing important differences. In Lesson 2, you will use that idea to compare the two study designs.</w:t>
      </w:r>
    </w:p>
    <w:p>
      <w:pPr>
        <w:pStyle w:val="Heading2"/>
      </w:pPr>
      <w:r>
        <w:rPr>
          <w:rFonts w:ascii="Calibri" w:hAnsi="Calibri"/>
          <w:color w:val="222222"/>
        </w:rPr>
        <w:t>Primary sources and first-party documentation</w:t>
      </w:r>
    </w:p>
    <w:p>
      <w:pPr>
        <w:numPr>
          <w:ilvl w:val="0"/>
          <w:numId w:val="22"/>
        </w:numPr>
        <w:spacing w:after="80" w:line="300" w:lineRule="auto"/>
      </w:pPr>
      <w:r>
        <w:rPr>
          <w:rFonts w:ascii="Calibri" w:hAnsi="Calibri"/>
          <w:color w:val="222222"/>
        </w:rPr>
        <w:t xml:space="preserve">Metabolomics Workbench. </w:t>
      </w:r>
      <w:hyperlink r:id="rId16">
        <w:r>
          <w:rPr>
            <w:rFonts w:ascii="Calibri" w:hAnsi="Calibri"/>
            <w:color w:val="2E74B5"/>
            <w:u w:val="single"/>
            <w:sz w:val="22"/>
          </w:rPr>
          <w:t>REST Service, version 1.2</w:t>
        </w:r>
      </w:hyperlink>
      <w:r>
        <w:rPr>
          <w:rFonts w:ascii="Calibri" w:hAnsi="Calibri"/>
          <w:color w:val="222222"/>
        </w:rPr>
        <w:t>. Updated July 22, 2025; accessed August 10, 2026.</w:t>
      </w:r>
    </w:p>
    <w:p>
      <w:pPr>
        <w:numPr>
          <w:ilvl w:val="0"/>
          <w:numId w:val="22"/>
        </w:numPr>
        <w:spacing w:after="80" w:line="300" w:lineRule="auto"/>
      </w:pPr>
      <w:r>
        <w:rPr>
          <w:rFonts w:ascii="Calibri" w:hAnsi="Calibri"/>
          <w:color w:val="222222"/>
        </w:rPr>
        <w:t xml:space="preserve">Metabolomics Workbench. </w:t>
      </w:r>
      <w:hyperlink r:id="rId17">
        <w:r>
          <w:rPr>
            <w:rFonts w:ascii="Calibri" w:hAnsi="Calibri"/>
            <w:color w:val="2E74B5"/>
            <w:u w:val="single"/>
            <w:sz w:val="22"/>
          </w:rPr>
          <w:t>mwTab file specification and repository tutorials</w:t>
        </w:r>
      </w:hyperlink>
      <w:r>
        <w:rPr>
          <w:rFonts w:ascii="Calibri" w:hAnsi="Calibri"/>
          <w:color w:val="222222"/>
        </w:rPr>
        <w:t>. Accessed August 10, 2026.</w:t>
      </w:r>
    </w:p>
    <w:p>
      <w:pPr>
        <w:numPr>
          <w:ilvl w:val="0"/>
          <w:numId w:val="22"/>
        </w:numPr>
        <w:spacing w:after="80" w:line="300" w:lineRule="auto"/>
      </w:pPr>
      <w:r>
        <w:rPr>
          <w:rFonts w:ascii="Calibri" w:hAnsi="Calibri"/>
          <w:color w:val="222222"/>
        </w:rPr>
        <w:t xml:space="preserve">Sud M, Fahy E, Cotter D, et al. </w:t>
      </w:r>
      <w:hyperlink r:id="rId18">
        <w:r>
          <w:rPr>
            <w:rFonts w:ascii="Calibri" w:hAnsi="Calibri"/>
            <w:color w:val="2E74B5"/>
            <w:u w:val="single"/>
            <w:sz w:val="22"/>
          </w:rPr>
          <w:t>Metabolomics Workbench: an international repository for metabolomics data and metadata, metabolite standards, protocols, tutorials and training, and analysis tools</w:t>
        </w:r>
      </w:hyperlink>
      <w:r>
        <w:rPr>
          <w:rFonts w:ascii="Calibri" w:hAnsi="Calibri"/>
          <w:color w:val="222222"/>
        </w:rPr>
        <w:t xml:space="preserve">. </w:t>
      </w:r>
      <w:r>
        <w:rPr>
          <w:rFonts w:ascii="Calibri" w:hAnsi="Calibri"/>
          <w:i/>
          <w:color w:val="222222"/>
        </w:rPr>
        <w:t>Nucleic Acids Research</w:t>
      </w:r>
      <w:r>
        <w:rPr>
          <w:rFonts w:ascii="Calibri" w:hAnsi="Calibri"/>
          <w:color w:val="222222"/>
        </w:rPr>
        <w:t>. 2016;44(D1):D463-D470.</w:t>
      </w:r>
    </w:p>
    <w:p>
      <w:pPr>
        <w:numPr>
          <w:ilvl w:val="0"/>
          <w:numId w:val="22"/>
        </w:numPr>
        <w:spacing w:after="80" w:line="300" w:lineRule="auto"/>
      </w:pPr>
      <w:r>
        <w:rPr>
          <w:rFonts w:ascii="Calibri" w:hAnsi="Calibri"/>
          <w:color w:val="222222"/>
        </w:rPr>
        <w:t xml:space="preserve">Fahy E, Subramaniam S. </w:t>
      </w:r>
      <w:hyperlink r:id="rId19">
        <w:r>
          <w:rPr>
            <w:rFonts w:ascii="Calibri" w:hAnsi="Calibri"/>
            <w:color w:val="2E74B5"/>
            <w:u w:val="single"/>
            <w:sz w:val="22"/>
          </w:rPr>
          <w:t>RefMet: a reference nomenclature for metabolomics</w:t>
        </w:r>
      </w:hyperlink>
      <w:r>
        <w:rPr>
          <w:rFonts w:ascii="Calibri" w:hAnsi="Calibri"/>
          <w:color w:val="222222"/>
        </w:rPr>
        <w:t xml:space="preserve">. </w:t>
      </w:r>
      <w:r>
        <w:rPr>
          <w:rFonts w:ascii="Calibri" w:hAnsi="Calibri"/>
          <w:i/>
          <w:color w:val="222222"/>
        </w:rPr>
        <w:t>Nature Methods</w:t>
      </w:r>
      <w:r>
        <w:rPr>
          <w:rFonts w:ascii="Calibri" w:hAnsi="Calibri"/>
          <w:color w:val="222222"/>
        </w:rPr>
        <w:t>. 2020;17:1173-1174.</w:t>
      </w:r>
    </w:p>
    <w:p>
      <w:pPr>
        <w:numPr>
          <w:ilvl w:val="0"/>
          <w:numId w:val="22"/>
        </w:numPr>
        <w:spacing w:after="80" w:line="300" w:lineRule="auto"/>
      </w:pPr>
      <w:r>
        <w:rPr>
          <w:rFonts w:ascii="Calibri" w:hAnsi="Calibri"/>
          <w:color w:val="222222"/>
        </w:rPr>
        <w:t xml:space="preserve">MoTrPAC. </w:t>
      </w:r>
      <w:hyperlink r:id="rId20">
        <w:r>
          <w:rPr>
            <w:rFonts w:ascii="Calibri" w:hAnsi="Calibri"/>
            <w:color w:val="2E74B5"/>
            <w:u w:val="single"/>
            <w:sz w:val="22"/>
          </w:rPr>
          <w:t>Data access FAQ</w:t>
        </w:r>
      </w:hyperlink>
      <w:r>
        <w:rPr>
          <w:rFonts w:ascii="Calibri" w:hAnsi="Calibri"/>
          <w:color w:val="222222"/>
        </w:rPr>
        <w:t xml:space="preserve"> and </w:t>
      </w:r>
      <w:hyperlink r:id="rId21">
        <w:r>
          <w:rPr>
            <w:rFonts w:ascii="Calibri" w:hAnsi="Calibri"/>
            <w:color w:val="2E74B5"/>
            <w:u w:val="single"/>
            <w:sz w:val="22"/>
          </w:rPr>
          <w:t>Data Hub documentation</w:t>
        </w:r>
      </w:hyperlink>
      <w:r>
        <w:rPr>
          <w:rFonts w:ascii="Calibri" w:hAnsi="Calibri"/>
          <w:color w:val="222222"/>
        </w:rPr>
        <w:t>. Accessed August 17, 2026.</w:t>
      </w:r>
    </w:p>
    <w:p>
      <w:pPr>
        <w:numPr>
          <w:ilvl w:val="0"/>
          <w:numId w:val="22"/>
        </w:numPr>
        <w:spacing w:after="80" w:line="300" w:lineRule="auto"/>
      </w:pPr>
      <w:r>
        <w:rPr>
          <w:rFonts w:ascii="Calibri" w:hAnsi="Calibri"/>
          <w:color w:val="222222"/>
        </w:rPr>
        <w:t xml:space="preserve">NIH Common Fund. </w:t>
      </w:r>
      <w:hyperlink r:id="rId22">
        <w:r>
          <w:rPr>
            <w:rFonts w:ascii="Calibri" w:hAnsi="Calibri"/>
            <w:color w:val="2E74B5"/>
            <w:u w:val="single"/>
            <w:sz w:val="22"/>
          </w:rPr>
          <w:t>Nutrition for Precision Health frequently asked questions</w:t>
        </w:r>
      </w:hyperlink>
      <w:r>
        <w:rPr>
          <w:rFonts w:ascii="Calibri" w:hAnsi="Calibri"/>
          <w:color w:val="222222"/>
        </w:rPr>
        <w:t>. Accessed August 10, 2026.</w:t>
      </w:r>
    </w:p>
    <w:p>
      <w:pPr>
        <w:numPr>
          <w:ilvl w:val="0"/>
          <w:numId w:val="22"/>
        </w:numPr>
        <w:spacing w:after="80" w:line="300" w:lineRule="auto"/>
      </w:pPr>
      <w:r>
        <w:rPr>
          <w:rFonts w:ascii="Calibri" w:hAnsi="Calibri"/>
          <w:color w:val="222222"/>
        </w:rPr>
        <w:t xml:space="preserve">Wilkinson MD, Dumontier M, Aalbersberg IJ, et al. </w:t>
      </w:r>
      <w:hyperlink r:id="rId23">
        <w:r>
          <w:rPr>
            <w:rFonts w:ascii="Calibri" w:hAnsi="Calibri"/>
            <w:color w:val="2E74B5"/>
            <w:u w:val="single"/>
            <w:sz w:val="22"/>
          </w:rPr>
          <w:t>The FAIR Guiding Principles for scientific data management and stewardship</w:t>
        </w:r>
      </w:hyperlink>
      <w:r>
        <w:rPr>
          <w:rFonts w:ascii="Calibri" w:hAnsi="Calibri"/>
          <w:color w:val="222222"/>
        </w:rPr>
        <w:t xml:space="preserve">. </w:t>
      </w:r>
      <w:r>
        <w:rPr>
          <w:rFonts w:ascii="Calibri" w:hAnsi="Calibri"/>
          <w:i/>
          <w:color w:val="222222"/>
        </w:rPr>
        <w:t>Scientific Data</w:t>
      </w:r>
      <w:r>
        <w:rPr>
          <w:rFonts w:ascii="Calibri" w:hAnsi="Calibri"/>
          <w:color w:val="222222"/>
        </w:rPr>
        <w:t>. 2016;3:160018.</w:t>
      </w:r>
    </w:p>
    <w:p>
      <w:r>
        <w:br w:type="page"/>
      </w:r>
    </w:p>
    <w:p>
      <w:pPr>
        <w:pStyle w:val="Heading1"/>
      </w:pPr>
      <w:r>
        <w:rPr>
          <w:rFonts w:ascii="Calibri" w:hAnsi="Calibri"/>
          <w:color w:val="222222"/>
        </w:rPr>
        <w:t>Lesson 2 - Comparing study design and phenotype capture</w:t>
      </w:r>
    </w:p>
    <w:p>
      <w:r>
        <w:rPr>
          <w:rFonts w:ascii="Calibri" w:hAnsi="Calibri"/>
          <w:b/>
          <w:color w:val="222222"/>
        </w:rPr>
        <w:t>Estimated time:</w:t>
      </w:r>
      <w:r>
        <w:rPr>
          <w:rFonts w:ascii="Calibri" w:hAnsi="Calibri"/>
          <w:color w:val="222222"/>
        </w:rPr>
        <w:t xml:space="preserve"> 30 minutes</w:t>
      </w:r>
    </w:p>
    <w:p>
      <w:r>
        <w:rPr>
          <w:rFonts w:ascii="Calibri" w:hAnsi="Calibri"/>
          <w:b/>
          <w:color w:val="222222"/>
        </w:rPr>
        <w:t>Bloom levels:</w:t>
      </w:r>
      <w:r>
        <w:rPr>
          <w:rFonts w:ascii="Calibri" w:hAnsi="Calibri"/>
          <w:color w:val="222222"/>
        </w:rPr>
        <w:t xml:space="preserve"> Understand, analyze</w:t>
      </w:r>
    </w:p>
    <w:p>
      <w:r>
        <w:rPr>
          <w:rFonts w:ascii="Calibri" w:hAnsi="Calibri"/>
          <w:b/>
          <w:color w:val="222222"/>
        </w:rPr>
        <w:t>Module objectives addressed:</w:t>
      </w:r>
      <w:r>
        <w:rPr>
          <w:rFonts w:ascii="Calibri" w:hAnsi="Calibri"/>
          <w:color w:val="222222"/>
        </w:rPr>
        <w:t xml:space="preserve"> LO1, LO2</w:t>
      </w:r>
    </w:p>
    <w:p>
      <w:pPr>
        <w:pStyle w:val="Heading2"/>
      </w:pPr>
      <w:r>
        <w:rPr>
          <w:rFonts w:ascii="Calibri" w:hAnsi="Calibri"/>
          <w:color w:val="222222"/>
        </w:rPr>
        <w:t>Learning objectives</w:t>
      </w:r>
    </w:p>
    <w:p>
      <w:r>
        <w:rPr>
          <w:rFonts w:ascii="Calibri" w:hAnsi="Calibri"/>
          <w:color w:val="222222"/>
        </w:rPr>
        <w:t>By the end of this lesson, you will be able to:</w:t>
      </w:r>
    </w:p>
    <w:p>
      <w:pPr>
        <w:numPr>
          <w:ilvl w:val="0"/>
          <w:numId w:val="23"/>
        </w:numPr>
        <w:spacing w:after="80" w:line="300" w:lineRule="auto"/>
      </w:pPr>
      <w:r>
        <w:rPr>
          <w:rFonts w:ascii="Calibri" w:hAnsi="Calibri"/>
          <w:color w:val="222222"/>
        </w:rPr>
        <w:t>Extract design, specimen, timepoint, phenotype, and provenance evidence from two Metabolomics Workbench records.</w:t>
      </w:r>
    </w:p>
    <w:p>
      <w:pPr>
        <w:numPr>
          <w:ilvl w:val="0"/>
          <w:numId w:val="23"/>
        </w:numPr>
        <w:spacing w:after="80" w:line="300" w:lineRule="auto"/>
      </w:pPr>
      <w:r>
        <w:rPr>
          <w:rFonts w:ascii="Calibri" w:hAnsi="Calibri"/>
          <w:color w:val="222222"/>
        </w:rPr>
        <w:t>Classify fields as directly comparable, partially comparable, or not comparable for a stated purpose.</w:t>
      </w:r>
    </w:p>
    <w:p>
      <w:pPr>
        <w:numPr>
          <w:ilvl w:val="0"/>
          <w:numId w:val="23"/>
        </w:numPr>
        <w:spacing w:after="80" w:line="300" w:lineRule="auto"/>
      </w:pPr>
      <w:r>
        <w:rPr>
          <w:rFonts w:ascii="Calibri" w:hAnsi="Calibri"/>
          <w:color w:val="222222"/>
        </w:rPr>
        <w:t>Explain how diet and exercise phenotypes acquire meaning from protocol details.</w:t>
      </w:r>
    </w:p>
    <w:p>
      <w:pPr>
        <w:numPr>
          <w:ilvl w:val="0"/>
          <w:numId w:val="23"/>
        </w:numPr>
        <w:spacing w:after="80" w:line="300" w:lineRule="auto"/>
      </w:pPr>
      <w:r>
        <w:rPr>
          <w:rFonts w:ascii="Calibri" w:hAnsi="Calibri"/>
          <w:color w:val="222222"/>
        </w:rPr>
        <w:t>Use MoTrPAC and NPH as design references without treating their data as module dependencies.</w:t>
      </w:r>
    </w:p>
    <w:p>
      <w:pPr>
        <w:pStyle w:val="Heading2"/>
      </w:pPr>
      <w:r>
        <w:rPr>
          <w:rFonts w:ascii="Calibri" w:hAnsi="Calibri"/>
          <w:color w:val="222222"/>
        </w:rPr>
        <w:t>Lesson map</w:t>
      </w:r>
    </w:p>
    <w:tbl>
      <w:tblPr>
        <w:tblStyle w:val="TableGrid"/>
        <w:tblW w:type="dxa" w:w="9360"/>
        <w:jc w:val="left"/>
        <w:tblLayout w:type="fixed"/>
        <w:tblLook w:firstColumn="1" w:firstRow="1" w:lastColumn="0" w:lastRow="0" w:noHBand="0" w:noVBand="1" w:val="04A0"/>
        <w:tblInd w:w="120" w:type="dxa"/>
      </w:tblPr>
      <w:tblGrid>
        <w:gridCol w:w="6408"/>
        <w:gridCol w:w="2952"/>
      </w:tblGrid>
      <w:tr>
        <w:trPr>
          <w:cantSplit w:val="true"/>
          <w:tblHeader w:val="true"/>
        </w:trPr>
        <w:tc>
          <w:tcPr>
            <w:tcW w:type="dxa" w:w="6408"/>
            <w:tcMar>
              <w:top w:w="80" w:type="dxa"/>
              <w:bottom w:w="80" w:type="dxa"/>
              <w:start w:w="120" w:type="dxa"/>
              <w:end w:w="120" w:type="dxa"/>
            </w:tcMar>
            <w:vAlign w:val="center"/>
            <w:shd w:fill="E8EEF5"/>
          </w:tcPr>
          <w:p>
            <w:pPr>
              <w:spacing w:before="0" w:after="0" w:line="269" w:lineRule="auto"/>
              <w:jc w:val="left"/>
            </w:pPr>
            <w:r>
              <w:rPr>
                <w:b/>
                <w:color w:val="203748"/>
              </w:rPr>
            </w:r>
            <w:r>
              <w:rPr>
                <w:rFonts w:ascii="Calibri" w:hAnsi="Calibri"/>
                <w:b/>
                <w:color w:val="203748"/>
                <w:sz w:val="18"/>
              </w:rPr>
              <w:t>Activity</w:t>
            </w:r>
          </w:p>
        </w:tc>
        <w:tc>
          <w:tcPr>
            <w:tcW w:type="dxa" w:w="2952"/>
            <w:tcMar>
              <w:top w:w="80" w:type="dxa"/>
              <w:bottom w:w="80" w:type="dxa"/>
              <w:start w:w="120" w:type="dxa"/>
              <w:end w:w="120" w:type="dxa"/>
            </w:tcMar>
            <w:vAlign w:val="center"/>
            <w:shd w:fill="E8EEF5"/>
          </w:tcPr>
          <w:p>
            <w:pPr>
              <w:spacing w:before="0" w:after="0" w:line="269" w:lineRule="auto"/>
              <w:jc w:val="center"/>
            </w:pPr>
            <w:r>
              <w:rPr>
                <w:b/>
                <w:color w:val="203748"/>
              </w:rPr>
            </w:r>
            <w:r>
              <w:rPr>
                <w:rFonts w:ascii="Calibri" w:hAnsi="Calibri"/>
                <w:b/>
                <w:color w:val="203748"/>
                <w:sz w:val="18"/>
              </w:rPr>
              <w:t>Minutes</w:t>
            </w:r>
          </w:p>
        </w:tc>
      </w:tr>
      <w:tr>
        <w:trPr>
          <w:cantSplit w:val="true"/>
        </w:trPr>
        <w:tc>
          <w:tcPr>
            <w:tcW w:type="dxa" w:w="6408"/>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From labels to estimands</w:t>
            </w:r>
          </w:p>
        </w:tc>
        <w:tc>
          <w:tcPr>
            <w:tcW w:type="dxa" w:w="2952"/>
            <w:tcMar>
              <w:top w:w="80" w:type="dxa"/>
              <w:bottom w:w="80" w:type="dxa"/>
              <w:start w:w="120" w:type="dxa"/>
              <w:end w:w="120" w:type="dxa"/>
            </w:tcMar>
            <w:vAlign w:val="center"/>
          </w:tcPr>
          <w:p>
            <w:pPr>
              <w:spacing w:before="0" w:after="0" w:line="269" w:lineRule="auto"/>
              <w:jc w:val="center"/>
            </w:pPr>
            <w:r/>
            <w:r>
              <w:rPr>
                <w:rFonts w:ascii="Calibri" w:hAnsi="Calibri"/>
                <w:color w:val="222222"/>
                <w:sz w:val="18"/>
              </w:rPr>
              <w:t>6</w:t>
            </w:r>
          </w:p>
        </w:tc>
      </w:tr>
      <w:tr>
        <w:trPr>
          <w:cantSplit w:val="true"/>
        </w:trPr>
        <w:tc>
          <w:tcPr>
            <w:tcW w:type="dxa" w:w="6408"/>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Five-layer study comparison</w:t>
            </w:r>
          </w:p>
        </w:tc>
        <w:tc>
          <w:tcPr>
            <w:tcW w:type="dxa" w:w="2952"/>
            <w:tcMar>
              <w:top w:w="80" w:type="dxa"/>
              <w:bottom w:w="80" w:type="dxa"/>
              <w:start w:w="120" w:type="dxa"/>
              <w:end w:w="120" w:type="dxa"/>
            </w:tcMar>
            <w:vAlign w:val="center"/>
          </w:tcPr>
          <w:p>
            <w:pPr>
              <w:spacing w:before="0" w:after="0" w:line="269" w:lineRule="auto"/>
              <w:jc w:val="center"/>
            </w:pPr>
            <w:r/>
            <w:r>
              <w:rPr>
                <w:rFonts w:ascii="Calibri" w:hAnsi="Calibri"/>
                <w:color w:val="222222"/>
                <w:sz w:val="18"/>
              </w:rPr>
              <w:t>8</w:t>
            </w:r>
          </w:p>
        </w:tc>
      </w:tr>
      <w:tr>
        <w:trPr>
          <w:cantSplit w:val="true"/>
        </w:trPr>
        <w:tc>
          <w:tcPr>
            <w:tcW w:type="dxa" w:w="6408"/>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Consortium design references</w:t>
            </w:r>
          </w:p>
        </w:tc>
        <w:tc>
          <w:tcPr>
            <w:tcW w:type="dxa" w:w="2952"/>
            <w:tcMar>
              <w:top w:w="80" w:type="dxa"/>
              <w:bottom w:w="80" w:type="dxa"/>
              <w:start w:w="120" w:type="dxa"/>
              <w:end w:w="120" w:type="dxa"/>
            </w:tcMar>
            <w:vAlign w:val="center"/>
          </w:tcPr>
          <w:p>
            <w:pPr>
              <w:spacing w:before="0" w:after="0" w:line="269" w:lineRule="auto"/>
              <w:jc w:val="center"/>
            </w:pPr>
            <w:r/>
            <w:r>
              <w:rPr>
                <w:rFonts w:ascii="Calibri" w:hAnsi="Calibri"/>
                <w:color w:val="222222"/>
                <w:sz w:val="18"/>
              </w:rPr>
              <w:t>4</w:t>
            </w:r>
          </w:p>
        </w:tc>
      </w:tr>
      <w:tr>
        <w:trPr>
          <w:cantSplit w:val="true"/>
        </w:trPr>
        <w:tc>
          <w:tcPr>
            <w:tcW w:type="dxa" w:w="6408"/>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Cohort-comparison worksheet</w:t>
            </w:r>
          </w:p>
        </w:tc>
        <w:tc>
          <w:tcPr>
            <w:tcW w:type="dxa" w:w="2952"/>
            <w:tcMar>
              <w:top w:w="80" w:type="dxa"/>
              <w:bottom w:w="80" w:type="dxa"/>
              <w:start w:w="120" w:type="dxa"/>
              <w:end w:w="120" w:type="dxa"/>
            </w:tcMar>
            <w:vAlign w:val="center"/>
          </w:tcPr>
          <w:p>
            <w:pPr>
              <w:spacing w:before="0" w:after="0" w:line="269" w:lineRule="auto"/>
              <w:jc w:val="center"/>
            </w:pPr>
            <w:r/>
            <w:r>
              <w:rPr>
                <w:rFonts w:ascii="Calibri" w:hAnsi="Calibri"/>
                <w:color w:val="222222"/>
                <w:sz w:val="18"/>
              </w:rPr>
              <w:t>9</w:t>
            </w:r>
          </w:p>
        </w:tc>
      </w:tr>
      <w:tr>
        <w:trPr>
          <w:cantSplit w:val="true"/>
        </w:trPr>
        <w:tc>
          <w:tcPr>
            <w:tcW w:type="dxa" w:w="6408"/>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Knowledge check</w:t>
            </w:r>
          </w:p>
        </w:tc>
        <w:tc>
          <w:tcPr>
            <w:tcW w:type="dxa" w:w="2952"/>
            <w:tcMar>
              <w:top w:w="80" w:type="dxa"/>
              <w:bottom w:w="80" w:type="dxa"/>
              <w:start w:w="120" w:type="dxa"/>
              <w:end w:w="120" w:type="dxa"/>
            </w:tcMar>
            <w:vAlign w:val="center"/>
          </w:tcPr>
          <w:p>
            <w:pPr>
              <w:spacing w:before="0" w:after="0" w:line="269" w:lineRule="auto"/>
              <w:jc w:val="center"/>
            </w:pPr>
            <w:r/>
            <w:r>
              <w:rPr>
                <w:rFonts w:ascii="Calibri" w:hAnsi="Calibri"/>
                <w:color w:val="222222"/>
                <w:sz w:val="18"/>
              </w:rPr>
              <w:t>3</w:t>
            </w:r>
          </w:p>
        </w:tc>
      </w:tr>
    </w:tbl>
    <w:p>
      <w:pPr>
        <w:spacing w:before="0" w:after="40"/>
      </w:pPr>
    </w:p>
    <w:p>
      <w:pPr>
        <w:spacing w:before="100" w:after="120"/>
        <w:ind w:left="259" w:right="115"/>
        <w:shd w:fill="F4F6F9"/>
        <w:pBdr>
          <w:left w:val="single" w:sz="16" w:space="8" w:color="2E74B5"/>
        </w:pBdr>
      </w:pPr>
      <w:r>
        <w:rPr>
          <w:rFonts w:ascii="Calibri" w:hAnsi="Calibri"/>
          <w:b/>
          <w:color w:val="1F4D78"/>
        </w:rPr>
        <w:t>In the notebook (NB-L2):</w:t>
      </w:r>
      <w:r>
        <w:rPr>
          <w:rFonts w:ascii="Calibri" w:hAnsi="Calibri"/>
          <w:color w:val="1F4D78"/>
        </w:rPr>
        <w:t xml:space="preserve"> Run the source, endpoint-size, biological-sample, and timepoint cells in order. Use the learner-edit cell to inspect one study, then enter the results in Sections 3, 5, 6, and 9 of the cohort-comparison worksheet.</w:t>
      </w:r>
    </w:p>
    <w:p>
      <w:pPr>
        <w:pStyle w:val="Heading2"/>
      </w:pPr>
      <w:r>
        <w:rPr>
          <w:rFonts w:ascii="Calibri" w:hAnsi="Calibri"/>
          <w:color w:val="222222"/>
        </w:rPr>
        <w:t>1. Begin with the question, not the column name</w:t>
      </w:r>
    </w:p>
    <w:p>
      <w:r>
        <w:rPr>
          <w:rFonts w:ascii="Calibri" w:hAnsi="Calibri"/>
          <w:color w:val="222222"/>
        </w:rPr>
        <w:t xml:space="preserve">A variable is comparable only relative to a purpose. Age in years may be sufficiently comparable for a descriptive cohort table but insufficient if one study reports exact age and another reports broad, top-coded categories. A </w:t>
      </w:r>
      <w:r>
        <w:rPr>
          <w:rFonts w:ascii="Consolas" w:hAnsi="Consolas"/>
          <w:color w:val="1F4D78"/>
          <w:sz w:val="21"/>
          <w:shd w:fill="EEF1F4"/>
        </w:rPr>
        <w:t>post</w:t>
      </w:r>
      <w:r>
        <w:rPr>
          <w:rFonts w:ascii="Calibri" w:hAnsi="Calibri"/>
          <w:color w:val="222222"/>
        </w:rPr>
        <w:t xml:space="preserve"> sample may be suitable for identifying that both studies collected after an intervention but unsuitable for modeling a common acute-response time.</w:t>
      </w:r>
    </w:p>
    <w:p>
      <w:r>
        <w:rPr>
          <w:rFonts w:ascii="Calibri" w:hAnsi="Calibri"/>
          <w:color w:val="222222"/>
        </w:rPr>
        <w:t xml:space="preserve">Before aligning columns, write the target question as an </w:t>
      </w:r>
      <w:r>
        <w:rPr>
          <w:rFonts w:ascii="Calibri" w:hAnsi="Calibri"/>
          <w:b/>
          <w:color w:val="222222"/>
        </w:rPr>
        <w:t>estimand sketch</w:t>
      </w:r>
      <w:r>
        <w:rPr>
          <w:rFonts w:ascii="Calibri" w:hAnsi="Calibri"/>
          <w:color w:val="222222"/>
        </w:rPr>
        <w:t>:</w:t>
      </w:r>
    </w:p>
    <w:p>
      <w:pPr>
        <w:numPr>
          <w:ilvl w:val="0"/>
          <w:numId w:val="24"/>
        </w:numPr>
        <w:spacing w:after="80" w:line="300" w:lineRule="auto"/>
      </w:pPr>
      <w:r>
        <w:rPr>
          <w:rFonts w:ascii="Calibri" w:hAnsi="Calibri"/>
          <w:b/>
          <w:color w:val="222222"/>
        </w:rPr>
        <w:t>Population:</w:t>
      </w:r>
      <w:r>
        <w:rPr>
          <w:rFonts w:ascii="Calibri" w:hAnsi="Calibri"/>
          <w:color w:val="222222"/>
        </w:rPr>
        <w:t xml:space="preserve"> Who is represented?</w:t>
      </w:r>
    </w:p>
    <w:p>
      <w:pPr>
        <w:numPr>
          <w:ilvl w:val="0"/>
          <w:numId w:val="24"/>
        </w:numPr>
        <w:spacing w:after="80" w:line="300" w:lineRule="auto"/>
      </w:pPr>
      <w:r>
        <w:rPr>
          <w:rFonts w:ascii="Calibri" w:hAnsi="Calibri"/>
          <w:b/>
          <w:color w:val="222222"/>
        </w:rPr>
        <w:t>Exposure or intervention:</w:t>
      </w:r>
      <w:r>
        <w:rPr>
          <w:rFonts w:ascii="Calibri" w:hAnsi="Calibri"/>
          <w:color w:val="222222"/>
        </w:rPr>
        <w:t xml:space="preserve"> What contrast is of interest?</w:t>
      </w:r>
    </w:p>
    <w:p>
      <w:pPr>
        <w:numPr>
          <w:ilvl w:val="0"/>
          <w:numId w:val="24"/>
        </w:numPr>
        <w:spacing w:after="80" w:line="300" w:lineRule="auto"/>
      </w:pPr>
      <w:r>
        <w:rPr>
          <w:rFonts w:ascii="Calibri" w:hAnsi="Calibri"/>
          <w:b/>
          <w:color w:val="222222"/>
        </w:rPr>
        <w:t>Outcome:</w:t>
      </w:r>
      <w:r>
        <w:rPr>
          <w:rFonts w:ascii="Calibri" w:hAnsi="Calibri"/>
          <w:color w:val="222222"/>
        </w:rPr>
        <w:t xml:space="preserve"> Which metabolite measure or derived quantity is being interpreted?</w:t>
      </w:r>
    </w:p>
    <w:p>
      <w:pPr>
        <w:numPr>
          <w:ilvl w:val="0"/>
          <w:numId w:val="24"/>
        </w:numPr>
        <w:spacing w:after="80" w:line="300" w:lineRule="auto"/>
      </w:pPr>
      <w:r>
        <w:rPr>
          <w:rFonts w:ascii="Calibri" w:hAnsi="Calibri"/>
          <w:b/>
          <w:color w:val="222222"/>
        </w:rPr>
        <w:t>Time:</w:t>
      </w:r>
      <w:r>
        <w:rPr>
          <w:rFonts w:ascii="Calibri" w:hAnsi="Calibri"/>
          <w:color w:val="222222"/>
        </w:rPr>
        <w:t xml:space="preserve"> At what biological interval is the outcome defined?</w:t>
      </w:r>
    </w:p>
    <w:p>
      <w:pPr>
        <w:numPr>
          <w:ilvl w:val="0"/>
          <w:numId w:val="24"/>
        </w:numPr>
        <w:spacing w:after="80" w:line="300" w:lineRule="auto"/>
      </w:pPr>
      <w:r>
        <w:rPr>
          <w:rFonts w:ascii="Calibri" w:hAnsi="Calibri"/>
          <w:b/>
          <w:color w:val="222222"/>
        </w:rPr>
        <w:t>Summary:</w:t>
      </w:r>
      <w:r>
        <w:rPr>
          <w:rFonts w:ascii="Calibri" w:hAnsi="Calibri"/>
          <w:color w:val="222222"/>
        </w:rPr>
        <w:t xml:space="preserve"> Is the target a within-person change, a group mean, a rank, an overlap count, or something else?</w:t>
      </w:r>
    </w:p>
    <w:p>
      <w:r>
        <w:rPr>
          <w:rFonts w:ascii="Calibri" w:hAnsi="Calibri"/>
          <w:color w:val="222222"/>
        </w:rPr>
        <w:t>For this module, the safe default target is descriptive:</w:t>
      </w:r>
    </w:p>
    <w:p>
      <w:pPr>
        <w:spacing w:before="100" w:after="120"/>
        <w:ind w:left="259" w:right="115"/>
        <w:shd w:fill="F4F6F9"/>
        <w:pBdr>
          <w:left w:val="single" w:sz="16" w:space="8" w:color="2E74B5"/>
        </w:pBdr>
      </w:pPr>
      <w:r>
        <w:rPr>
          <w:rFonts w:ascii="Calibri" w:hAnsi="Calibri"/>
          <w:color w:val="1F4D78"/>
        </w:rPr>
        <w:t>Describe which metabolite identities and broad chemical classes are represented in both studies, while preserving differences in population, specimen, timepoint, platform, and measurement scale.</w:t>
      </w:r>
    </w:p>
    <w:p>
      <w:r>
        <w:rPr>
          <w:rFonts w:ascii="Calibri" w:hAnsi="Calibri"/>
          <w:color w:val="222222"/>
        </w:rPr>
        <w:t>That target supports crosswalking and overlap summaries. It does not require the two cohorts to estimate the same intervention effect.</w:t>
      </w:r>
    </w:p>
    <w:p>
      <w:pPr>
        <w:pStyle w:val="Heading2"/>
      </w:pPr>
      <w:r>
        <w:rPr>
          <w:rFonts w:ascii="Calibri" w:hAnsi="Calibri"/>
          <w:color w:val="222222"/>
        </w:rPr>
        <w:t>2. The five-layer comparison</w:t>
      </w:r>
    </w:p>
    <w:p>
      <w:r>
        <w:rPr>
          <w:rFonts w:ascii="Calibri" w:hAnsi="Calibri"/>
          <w:color w:val="222222"/>
        </w:rPr>
        <w:t>Use the cohort-comparison worksheet to collect evidence at five layers. For every entry, capture the source location and avoid filling a blank by inference.</w:t>
      </w:r>
    </w:p>
    <w:p>
      <w:pPr>
        <w:pStyle w:val="Heading3"/>
      </w:pPr>
      <w:r>
        <w:rPr>
          <w:rFonts w:ascii="Calibri" w:hAnsi="Calibri"/>
          <w:color w:val="222222"/>
        </w:rPr>
        <w:t>Layer A - Study design and population</w:t>
      </w:r>
    </w:p>
    <w:p>
      <w:r>
        <w:rPr>
          <w:rFonts w:ascii="Calibri" w:hAnsi="Calibri"/>
          <w:color w:val="222222"/>
        </w:rPr>
        <w:t>Record:</w:t>
      </w:r>
    </w:p>
    <w:p>
      <w:pPr>
        <w:numPr>
          <w:ilvl w:val="0"/>
          <w:numId w:val="25"/>
        </w:numPr>
        <w:spacing w:after="80" w:line="300" w:lineRule="auto"/>
      </w:pPr>
      <w:r>
        <w:rPr>
          <w:rFonts w:ascii="Calibri" w:hAnsi="Calibri"/>
          <w:color w:val="222222"/>
        </w:rPr>
        <w:t>Observational versus interventional design.</w:t>
      </w:r>
    </w:p>
    <w:p>
      <w:pPr>
        <w:numPr>
          <w:ilvl w:val="0"/>
          <w:numId w:val="25"/>
        </w:numPr>
        <w:spacing w:after="80" w:line="300" w:lineRule="auto"/>
      </w:pPr>
      <w:r>
        <w:rPr>
          <w:rFonts w:ascii="Calibri" w:hAnsi="Calibri"/>
          <w:color w:val="222222"/>
        </w:rPr>
        <w:t>Parallel, crossover, repeated-measures, or other structure.</w:t>
      </w:r>
    </w:p>
    <w:p>
      <w:pPr>
        <w:numPr>
          <w:ilvl w:val="0"/>
          <w:numId w:val="25"/>
        </w:numPr>
        <w:spacing w:after="80" w:line="300" w:lineRule="auto"/>
      </w:pPr>
      <w:r>
        <w:rPr>
          <w:rFonts w:ascii="Calibri" w:hAnsi="Calibri"/>
          <w:color w:val="222222"/>
        </w:rPr>
        <w:t>Recruitment setting and inclusion or exclusion criteria.</w:t>
      </w:r>
    </w:p>
    <w:p>
      <w:pPr>
        <w:numPr>
          <w:ilvl w:val="0"/>
          <w:numId w:val="25"/>
        </w:numPr>
        <w:spacing w:after="80" w:line="300" w:lineRule="auto"/>
      </w:pPr>
      <w:r>
        <w:rPr>
          <w:rFonts w:ascii="Calibri" w:hAnsi="Calibri"/>
          <w:color w:val="222222"/>
        </w:rPr>
        <w:t>Unit of assignment and unit of analysis.</w:t>
      </w:r>
    </w:p>
    <w:p>
      <w:pPr>
        <w:numPr>
          <w:ilvl w:val="0"/>
          <w:numId w:val="25"/>
        </w:numPr>
        <w:spacing w:after="80" w:line="300" w:lineRule="auto"/>
      </w:pPr>
      <w:r>
        <w:rPr>
          <w:rFonts w:ascii="Calibri" w:hAnsi="Calibri"/>
          <w:color w:val="222222"/>
        </w:rPr>
        <w:t>Number of participants and samples, keeping those counts distinct.</w:t>
      </w:r>
    </w:p>
    <w:p>
      <w:pPr>
        <w:numPr>
          <w:ilvl w:val="0"/>
          <w:numId w:val="25"/>
        </w:numPr>
        <w:spacing w:after="80" w:line="300" w:lineRule="auto"/>
      </w:pPr>
      <w:r>
        <w:rPr>
          <w:rFonts w:ascii="Calibri" w:hAnsi="Calibri"/>
          <w:color w:val="222222"/>
        </w:rPr>
        <w:t>Randomization, masking, washout, run-in, or familiarization when applicable.</w:t>
      </w:r>
    </w:p>
    <w:p>
      <w:pPr>
        <w:numPr>
          <w:ilvl w:val="0"/>
          <w:numId w:val="25"/>
        </w:numPr>
        <w:spacing w:after="80" w:line="300" w:lineRule="auto"/>
      </w:pPr>
      <w:r>
        <w:rPr>
          <w:rFonts w:ascii="Calibri" w:hAnsi="Calibri"/>
          <w:color w:val="222222"/>
        </w:rPr>
        <w:t>Attrition and missing visits if reported.</w:t>
      </w:r>
    </w:p>
    <w:p>
      <w:r>
        <w:rPr>
          <w:rFonts w:ascii="Calibri" w:hAnsi="Calibri"/>
          <w:color w:val="222222"/>
        </w:rPr>
        <w:t>The number of samples is not the number of independent participants. Repeated samples from one participant are correlated. If participant identifiers are absent or cannot be linked reliably, within-person analyses may be impossible even when multiple timepoints exist.</w:t>
      </w:r>
    </w:p>
    <w:p>
      <w:pPr>
        <w:pStyle w:val="Heading3"/>
      </w:pPr>
      <w:r>
        <w:rPr>
          <w:rFonts w:ascii="Calibri" w:hAnsi="Calibri"/>
          <w:color w:val="222222"/>
        </w:rPr>
        <w:t>Layer B - Phenotype anchor</w:t>
      </w:r>
    </w:p>
    <w:p>
      <w:r>
        <w:rPr>
          <w:rFonts w:ascii="Calibri" w:hAnsi="Calibri"/>
          <w:color w:val="222222"/>
        </w:rPr>
        <w:t>For a diet-anchored study, inspect:</w:t>
      </w:r>
    </w:p>
    <w:p>
      <w:pPr>
        <w:numPr>
          <w:ilvl w:val="0"/>
          <w:numId w:val="26"/>
        </w:numPr>
        <w:spacing w:after="80" w:line="300" w:lineRule="auto"/>
      </w:pPr>
      <w:r>
        <w:rPr>
          <w:rFonts w:ascii="Calibri" w:hAnsi="Calibri"/>
          <w:color w:val="222222"/>
        </w:rPr>
        <w:t>Food or dietary pattern definition.</w:t>
      </w:r>
    </w:p>
    <w:p>
      <w:pPr>
        <w:numPr>
          <w:ilvl w:val="0"/>
          <w:numId w:val="26"/>
        </w:numPr>
        <w:spacing w:after="80" w:line="300" w:lineRule="auto"/>
      </w:pPr>
      <w:r>
        <w:rPr>
          <w:rFonts w:ascii="Calibri" w:hAnsi="Calibri"/>
          <w:color w:val="222222"/>
        </w:rPr>
        <w:t>Controlled feeding versus advice or free-living exposure.</w:t>
      </w:r>
    </w:p>
    <w:p>
      <w:pPr>
        <w:numPr>
          <w:ilvl w:val="0"/>
          <w:numId w:val="26"/>
        </w:numPr>
        <w:spacing w:after="80" w:line="300" w:lineRule="auto"/>
      </w:pPr>
      <w:r>
        <w:rPr>
          <w:rFonts w:ascii="Calibri" w:hAnsi="Calibri"/>
          <w:color w:val="222222"/>
        </w:rPr>
        <w:t>Energy balance, meal timing, compliance measures, and washout.</w:t>
      </w:r>
    </w:p>
    <w:p>
      <w:pPr>
        <w:numPr>
          <w:ilvl w:val="0"/>
          <w:numId w:val="26"/>
        </w:numPr>
        <w:spacing w:after="80" w:line="300" w:lineRule="auto"/>
      </w:pPr>
      <w:r>
        <w:rPr>
          <w:rFonts w:ascii="Calibri" w:hAnsi="Calibri"/>
          <w:color w:val="222222"/>
        </w:rPr>
        <w:t>Fasting state and any test-meal challenge.</w:t>
      </w:r>
    </w:p>
    <w:p>
      <w:pPr>
        <w:numPr>
          <w:ilvl w:val="0"/>
          <w:numId w:val="26"/>
        </w:numPr>
        <w:spacing w:after="80" w:line="300" w:lineRule="auto"/>
      </w:pPr>
      <w:r>
        <w:rPr>
          <w:rFonts w:ascii="Calibri" w:hAnsi="Calibri"/>
          <w:color w:val="222222"/>
        </w:rPr>
        <w:t>Dietary assessment method and its reference period.</w:t>
      </w:r>
    </w:p>
    <w:p>
      <w:r>
        <w:rPr>
          <w:rFonts w:ascii="Calibri" w:hAnsi="Calibri"/>
          <w:color w:val="222222"/>
        </w:rPr>
        <w:t>For an exercise-anchored study, inspect:</w:t>
      </w:r>
    </w:p>
    <w:p>
      <w:pPr>
        <w:numPr>
          <w:ilvl w:val="0"/>
          <w:numId w:val="27"/>
        </w:numPr>
        <w:spacing w:after="80" w:line="300" w:lineRule="auto"/>
      </w:pPr>
      <w:r>
        <w:rPr>
          <w:rFonts w:ascii="Calibri" w:hAnsi="Calibri"/>
          <w:color w:val="222222"/>
        </w:rPr>
        <w:t>Modality, intensity, duration, dose, and supervision.</w:t>
      </w:r>
    </w:p>
    <w:p>
      <w:pPr>
        <w:numPr>
          <w:ilvl w:val="0"/>
          <w:numId w:val="27"/>
        </w:numPr>
        <w:spacing w:after="80" w:line="300" w:lineRule="auto"/>
      </w:pPr>
      <w:r>
        <w:rPr>
          <w:rFonts w:ascii="Calibri" w:hAnsi="Calibri"/>
          <w:color w:val="222222"/>
        </w:rPr>
        <w:t>Acute bout versus chronic training.</w:t>
      </w:r>
    </w:p>
    <w:p>
      <w:pPr>
        <w:numPr>
          <w:ilvl w:val="0"/>
          <w:numId w:val="27"/>
        </w:numPr>
        <w:spacing w:after="80" w:line="300" w:lineRule="auto"/>
      </w:pPr>
      <w:r>
        <w:rPr>
          <w:rFonts w:ascii="Calibri" w:hAnsi="Calibri"/>
          <w:color w:val="222222"/>
        </w:rPr>
        <w:t>Fitness or performance measures.</w:t>
      </w:r>
    </w:p>
    <w:p>
      <w:pPr>
        <w:numPr>
          <w:ilvl w:val="0"/>
          <w:numId w:val="27"/>
        </w:numPr>
        <w:spacing w:after="80" w:line="300" w:lineRule="auto"/>
      </w:pPr>
      <w:r>
        <w:rPr>
          <w:rFonts w:ascii="Calibri" w:hAnsi="Calibri"/>
          <w:color w:val="222222"/>
        </w:rPr>
        <w:t>Pre-exercise standardization, recent activity restrictions, and feeding state.</w:t>
      </w:r>
    </w:p>
    <w:p>
      <w:pPr>
        <w:numPr>
          <w:ilvl w:val="0"/>
          <w:numId w:val="27"/>
        </w:numPr>
        <w:spacing w:after="80" w:line="300" w:lineRule="auto"/>
      </w:pPr>
      <w:r>
        <w:rPr>
          <w:rFonts w:ascii="Calibri" w:hAnsi="Calibri"/>
          <w:color w:val="222222"/>
        </w:rPr>
        <w:t>Recovery intervals and workload scaling.</w:t>
      </w:r>
    </w:p>
    <w:p>
      <w:r>
        <w:rPr>
          <w:rFonts w:ascii="Calibri" w:hAnsi="Calibri"/>
          <w:color w:val="222222"/>
        </w:rPr>
        <w:t xml:space="preserve">The words </w:t>
      </w:r>
      <w:r>
        <w:rPr>
          <w:rFonts w:ascii="Consolas" w:hAnsi="Consolas"/>
          <w:color w:val="1F4D78"/>
          <w:sz w:val="21"/>
          <w:shd w:fill="EEF1F4"/>
        </w:rPr>
        <w:t>diet</w:t>
      </w:r>
      <w:r>
        <w:rPr>
          <w:rFonts w:ascii="Calibri" w:hAnsi="Calibri"/>
          <w:color w:val="222222"/>
        </w:rPr>
        <w:t xml:space="preserve"> and </w:t>
      </w:r>
      <w:r>
        <w:rPr>
          <w:rFonts w:ascii="Consolas" w:hAnsi="Consolas"/>
          <w:color w:val="1F4D78"/>
          <w:sz w:val="21"/>
          <w:shd w:fill="EEF1F4"/>
        </w:rPr>
        <w:t>exercise</w:t>
      </w:r>
      <w:r>
        <w:rPr>
          <w:rFonts w:ascii="Calibri" w:hAnsi="Calibri"/>
          <w:color w:val="222222"/>
        </w:rPr>
        <w:t xml:space="preserve"> are topic labels, not exposure definitions. The worksheet should contain protocol-level details sufficient for another analyst to understand the contrast.</w:t>
      </w:r>
    </w:p>
    <w:p>
      <w:pPr>
        <w:pStyle w:val="Heading3"/>
      </w:pPr>
      <w:r>
        <w:rPr>
          <w:rFonts w:ascii="Calibri" w:hAnsi="Calibri"/>
          <w:color w:val="222222"/>
        </w:rPr>
        <w:t>Layer C - Specimen and pre-analytical context</w:t>
      </w:r>
    </w:p>
    <w:p>
      <w:r>
        <w:rPr>
          <w:rFonts w:ascii="Calibri" w:hAnsi="Calibri"/>
          <w:color w:val="222222"/>
        </w:rPr>
        <w:t>Record:</w:t>
      </w:r>
    </w:p>
    <w:p>
      <w:pPr>
        <w:numPr>
          <w:ilvl w:val="0"/>
          <w:numId w:val="28"/>
        </w:numPr>
        <w:spacing w:after="80" w:line="300" w:lineRule="auto"/>
      </w:pPr>
      <w:r>
        <w:rPr>
          <w:rFonts w:ascii="Calibri" w:hAnsi="Calibri"/>
          <w:color w:val="222222"/>
        </w:rPr>
        <w:t>Biospecimen, matrix, and anatomical source.</w:t>
      </w:r>
    </w:p>
    <w:p>
      <w:pPr>
        <w:numPr>
          <w:ilvl w:val="0"/>
          <w:numId w:val="28"/>
        </w:numPr>
        <w:spacing w:after="80" w:line="300" w:lineRule="auto"/>
      </w:pPr>
      <w:r>
        <w:rPr>
          <w:rFonts w:ascii="Calibri" w:hAnsi="Calibri"/>
          <w:color w:val="222222"/>
        </w:rPr>
        <w:t>Collection tube or anticoagulant when relevant.</w:t>
      </w:r>
    </w:p>
    <w:p>
      <w:pPr>
        <w:numPr>
          <w:ilvl w:val="0"/>
          <w:numId w:val="28"/>
        </w:numPr>
        <w:spacing w:after="80" w:line="300" w:lineRule="auto"/>
      </w:pPr>
      <w:r>
        <w:rPr>
          <w:rFonts w:ascii="Calibri" w:hAnsi="Calibri"/>
          <w:color w:val="222222"/>
        </w:rPr>
        <w:t>Fasting or fed status.</w:t>
      </w:r>
    </w:p>
    <w:p>
      <w:pPr>
        <w:numPr>
          <w:ilvl w:val="0"/>
          <w:numId w:val="28"/>
        </w:numPr>
        <w:spacing w:after="80" w:line="300" w:lineRule="auto"/>
      </w:pPr>
      <w:r>
        <w:rPr>
          <w:rFonts w:ascii="Calibri" w:hAnsi="Calibri"/>
          <w:color w:val="222222"/>
        </w:rPr>
        <w:t>Collection clock time if available.</w:t>
      </w:r>
    </w:p>
    <w:p>
      <w:pPr>
        <w:numPr>
          <w:ilvl w:val="0"/>
          <w:numId w:val="28"/>
        </w:numPr>
        <w:spacing w:after="80" w:line="300" w:lineRule="auto"/>
      </w:pPr>
      <w:r>
        <w:rPr>
          <w:rFonts w:ascii="Calibri" w:hAnsi="Calibri"/>
          <w:color w:val="222222"/>
        </w:rPr>
        <w:t>Processing delay, centrifugation, aliquoting, and storage temperature.</w:t>
      </w:r>
    </w:p>
    <w:p>
      <w:pPr>
        <w:numPr>
          <w:ilvl w:val="0"/>
          <w:numId w:val="28"/>
        </w:numPr>
        <w:spacing w:after="80" w:line="300" w:lineRule="auto"/>
      </w:pPr>
      <w:r>
        <w:rPr>
          <w:rFonts w:ascii="Calibri" w:hAnsi="Calibri"/>
          <w:color w:val="222222"/>
        </w:rPr>
        <w:t>Freeze-thaw information if available.</w:t>
      </w:r>
    </w:p>
    <w:p>
      <w:r>
        <w:rPr>
          <w:rFonts w:ascii="Calibri" w:hAnsi="Calibri"/>
          <w:color w:val="222222"/>
        </w:rPr>
        <w:t xml:space="preserve">Plasma and serum are both blood-derived, but they are not identical matrices. Treat them as partially comparable at most, and only for a purpose that tolerates the distinction. A field left unreported is </w:t>
      </w:r>
      <w:r>
        <w:rPr>
          <w:rFonts w:ascii="Consolas" w:hAnsi="Consolas"/>
          <w:color w:val="1F4D78"/>
          <w:sz w:val="21"/>
          <w:shd w:fill="EEF1F4"/>
        </w:rPr>
        <w:t>not reported</w:t>
      </w:r>
      <w:r>
        <w:rPr>
          <w:rFonts w:ascii="Calibri" w:hAnsi="Calibri"/>
          <w:color w:val="222222"/>
        </w:rPr>
        <w:t xml:space="preserve">, not </w:t>
      </w:r>
      <w:r>
        <w:rPr>
          <w:rFonts w:ascii="Consolas" w:hAnsi="Consolas"/>
          <w:color w:val="1F4D78"/>
          <w:sz w:val="21"/>
          <w:shd w:fill="EEF1F4"/>
        </w:rPr>
        <w:t>same</w:t>
      </w:r>
      <w:r>
        <w:rPr>
          <w:rFonts w:ascii="Calibri" w:hAnsi="Calibri"/>
          <w:color w:val="222222"/>
        </w:rPr>
        <w:t>.</w:t>
      </w:r>
    </w:p>
    <w:p>
      <w:pPr>
        <w:pStyle w:val="Heading3"/>
      </w:pPr>
      <w:r>
        <w:rPr>
          <w:rFonts w:ascii="Calibri" w:hAnsi="Calibri"/>
          <w:color w:val="222222"/>
        </w:rPr>
        <w:t>Layer D - Time semantics</w:t>
      </w:r>
    </w:p>
    <w:p>
      <w:r>
        <w:rPr>
          <w:rFonts w:ascii="Calibri" w:hAnsi="Calibri"/>
          <w:color w:val="222222"/>
        </w:rPr>
        <w:t>Translate each deposited time label into a physiological definition. Use a canonical structure such as:</w:t>
      </w:r>
    </w:p>
    <w:p>
      <w:r>
        <w:rPr>
          <w:rFonts w:ascii="Consolas" w:hAnsi="Consolas"/>
          <w:color w:val="1F4D78"/>
          <w:sz w:val="21"/>
          <w:shd w:fill="EEF1F4"/>
        </w:rPr>
        <w:t>anchor | offset | duration/unit | state | visit/order</w:t>
      </w:r>
    </w:p>
    <w:p>
      <w:r>
        <w:rPr>
          <w:rFonts w:ascii="Calibri" w:hAnsi="Calibri"/>
          <w:color w:val="222222"/>
        </w:rPr>
        <w:t>Examples:</w:t>
      </w:r>
    </w:p>
    <w:p>
      <w:pPr>
        <w:numPr>
          <w:ilvl w:val="0"/>
          <w:numId w:val="29"/>
        </w:numPr>
        <w:spacing w:after="80" w:line="300" w:lineRule="auto"/>
      </w:pPr>
      <w:r>
        <w:rPr>
          <w:rFonts w:ascii="Consolas" w:hAnsi="Consolas"/>
          <w:color w:val="1F4D78"/>
          <w:sz w:val="21"/>
          <w:shd w:fill="EEF1F4"/>
        </w:rPr>
        <w:t>exercise_bout_end | +0 | min | acute_response | visit_2</w:t>
      </w:r>
    </w:p>
    <w:p>
      <w:pPr>
        <w:numPr>
          <w:ilvl w:val="0"/>
          <w:numId w:val="29"/>
        </w:numPr>
        <w:spacing w:after="80" w:line="300" w:lineRule="auto"/>
      </w:pPr>
      <w:r>
        <w:rPr>
          <w:rFonts w:ascii="Consolas" w:hAnsi="Consolas"/>
          <w:color w:val="1F4D78"/>
          <w:sz w:val="21"/>
          <w:shd w:fill="EEF1F4"/>
        </w:rPr>
        <w:t>exercise_bout_end | +180 | min | recovery | visit_2</w:t>
      </w:r>
    </w:p>
    <w:p>
      <w:pPr>
        <w:numPr>
          <w:ilvl w:val="0"/>
          <w:numId w:val="29"/>
        </w:numPr>
        <w:spacing w:after="80" w:line="300" w:lineRule="auto"/>
      </w:pPr>
      <w:r>
        <w:rPr>
          <w:rFonts w:ascii="Consolas" w:hAnsi="Consolas"/>
          <w:color w:val="1F4D78"/>
          <w:sz w:val="21"/>
          <w:shd w:fill="EEF1F4"/>
        </w:rPr>
        <w:t>diet_period_start | +14 | day | end_of_feeding_period | period_1</w:t>
      </w:r>
    </w:p>
    <w:p>
      <w:pPr>
        <w:numPr>
          <w:ilvl w:val="0"/>
          <w:numId w:val="29"/>
        </w:numPr>
        <w:spacing w:after="80" w:line="300" w:lineRule="auto"/>
      </w:pPr>
      <w:r>
        <w:rPr>
          <w:rFonts w:ascii="Consolas" w:hAnsi="Consolas"/>
          <w:color w:val="1F4D78"/>
          <w:sz w:val="21"/>
          <w:shd w:fill="EEF1F4"/>
        </w:rPr>
        <w:t>test_meal_start | -10 | min | fasting_baseline | visit_1</w:t>
      </w:r>
    </w:p>
    <w:p>
      <w:r>
        <w:rPr>
          <w:rFonts w:ascii="Calibri" w:hAnsi="Calibri"/>
          <w:color w:val="222222"/>
        </w:rPr>
        <w:t xml:space="preserve">Do not translate </w:t>
      </w:r>
      <w:r>
        <w:rPr>
          <w:rFonts w:ascii="Consolas" w:hAnsi="Consolas"/>
          <w:color w:val="1F4D78"/>
          <w:sz w:val="21"/>
          <w:shd w:fill="EEF1F4"/>
        </w:rPr>
        <w:t>post</w:t>
      </w:r>
      <w:r>
        <w:rPr>
          <w:rFonts w:ascii="Calibri" w:hAnsi="Calibri"/>
          <w:color w:val="222222"/>
        </w:rPr>
        <w:t xml:space="preserve"> without evidence. When the necessary reference point or offset is absent, flag the timepoint as unresolved.</w:t>
      </w:r>
    </w:p>
    <w:p>
      <w:pPr>
        <w:pStyle w:val="Heading3"/>
      </w:pPr>
      <w:r>
        <w:rPr>
          <w:rFonts w:ascii="Calibri" w:hAnsi="Calibri"/>
          <w:color w:val="222222"/>
        </w:rPr>
        <w:t>Layer E - Assay and metadata provenance</w:t>
      </w:r>
    </w:p>
    <w:p>
      <w:r>
        <w:rPr>
          <w:rFonts w:ascii="Calibri" w:hAnsi="Calibri"/>
          <w:color w:val="222222"/>
        </w:rPr>
        <w:t>Record:</w:t>
      </w:r>
    </w:p>
    <w:p>
      <w:pPr>
        <w:numPr>
          <w:ilvl w:val="0"/>
          <w:numId w:val="30"/>
        </w:numPr>
        <w:spacing w:after="80" w:line="300" w:lineRule="auto"/>
      </w:pPr>
      <w:r>
        <w:rPr>
          <w:rFonts w:ascii="Calibri" w:hAnsi="Calibri"/>
          <w:color w:val="222222"/>
        </w:rPr>
        <w:t>Analysis type, platform, chromatography, ion mode, and targeted or untargeted status.</w:t>
      </w:r>
    </w:p>
    <w:p>
      <w:pPr>
        <w:numPr>
          <w:ilvl w:val="0"/>
          <w:numId w:val="30"/>
        </w:numPr>
        <w:spacing w:after="80" w:line="300" w:lineRule="auto"/>
      </w:pPr>
      <w:r>
        <w:rPr>
          <w:rFonts w:ascii="Calibri" w:hAnsi="Calibri"/>
          <w:color w:val="222222"/>
        </w:rPr>
        <w:t>Quantification or abundance scale and units.</w:t>
      </w:r>
    </w:p>
    <w:p>
      <w:pPr>
        <w:numPr>
          <w:ilvl w:val="0"/>
          <w:numId w:val="30"/>
        </w:numPr>
        <w:spacing w:after="80" w:line="300" w:lineRule="auto"/>
      </w:pPr>
      <w:r>
        <w:rPr>
          <w:rFonts w:ascii="Calibri" w:hAnsi="Calibri"/>
          <w:color w:val="222222"/>
        </w:rPr>
        <w:t>Normalization, transformation, blank correction, batch correction, and missing-value handling when documented.</w:t>
      </w:r>
    </w:p>
    <w:p>
      <w:pPr>
        <w:numPr>
          <w:ilvl w:val="0"/>
          <w:numId w:val="30"/>
        </w:numPr>
        <w:spacing w:after="80" w:line="300" w:lineRule="auto"/>
      </w:pPr>
      <w:r>
        <w:rPr>
          <w:rFonts w:ascii="Calibri" w:hAnsi="Calibri"/>
          <w:color w:val="222222"/>
        </w:rPr>
        <w:t>Analysis identifier as well as study accession.</w:t>
      </w:r>
    </w:p>
    <w:p>
      <w:pPr>
        <w:numPr>
          <w:ilvl w:val="0"/>
          <w:numId w:val="30"/>
        </w:numPr>
        <w:spacing w:after="80" w:line="300" w:lineRule="auto"/>
      </w:pPr>
      <w:r>
        <w:rPr>
          <w:rFonts w:ascii="Calibri" w:hAnsi="Calibri"/>
          <w:color w:val="222222"/>
        </w:rPr>
        <w:t>mwTab block or REST response that supports each field.</w:t>
      </w:r>
    </w:p>
    <w:p>
      <w:pPr>
        <w:numPr>
          <w:ilvl w:val="0"/>
          <w:numId w:val="30"/>
        </w:numPr>
        <w:spacing w:after="80" w:line="300" w:lineRule="auto"/>
      </w:pPr>
      <w:r>
        <w:rPr>
          <w:rFonts w:ascii="Calibri" w:hAnsi="Calibri"/>
          <w:color w:val="222222"/>
        </w:rPr>
        <w:t>Retrieval date, endpoint, and record version or checksum when available.</w:t>
      </w:r>
    </w:p>
    <w:p>
      <w:r>
        <w:rPr>
          <w:rFonts w:ascii="Calibri" w:hAnsi="Calibri"/>
          <w:color w:val="222222"/>
        </w:rPr>
        <w:t>A study may contain multiple analyses. Never assume a study-level description applies identically to every analysis table.</w:t>
      </w:r>
    </w:p>
    <w:p>
      <w:pPr>
        <w:pStyle w:val="Heading2"/>
      </w:pPr>
      <w:r>
        <w:rPr>
          <w:rFonts w:ascii="Calibri" w:hAnsi="Calibri"/>
          <w:color w:val="222222"/>
        </w:rPr>
        <w:t>3. Comparability is a reasoned decision</w:t>
      </w:r>
    </w:p>
    <w:p>
      <w:r>
        <w:rPr>
          <w:rFonts w:ascii="Calibri" w:hAnsi="Calibri"/>
          <w:color w:val="222222"/>
        </w:rPr>
        <w:t>Use these operational categories:</w:t>
      </w:r>
    </w:p>
    <w:p>
      <w:pPr>
        <w:pStyle w:val="Heading3"/>
      </w:pPr>
      <w:r>
        <w:rPr>
          <w:rFonts w:ascii="Calibri" w:hAnsi="Calibri"/>
          <w:color w:val="222222"/>
        </w:rPr>
        <w:t>Directly comparable</w:t>
      </w:r>
    </w:p>
    <w:p>
      <w:r>
        <w:rPr>
          <w:rFonts w:ascii="Calibri" w:hAnsi="Calibri"/>
          <w:color w:val="222222"/>
        </w:rPr>
        <w:t>The two fields represent the same construct at sufficient granularity for the stated use, with compatible coding or a transparent lossless conversion.</w:t>
      </w:r>
    </w:p>
    <w:p>
      <w:r>
        <w:rPr>
          <w:rFonts w:ascii="Calibri" w:hAnsi="Calibri"/>
          <w:color w:val="222222"/>
        </w:rPr>
        <w:t>Example: Both studies report participant age in years at enrollment, and the target is a descriptive median and range. Verify population definitions and disclosure rules before reporting.</w:t>
      </w:r>
    </w:p>
    <w:p>
      <w:pPr>
        <w:pStyle w:val="Heading3"/>
      </w:pPr>
      <w:r>
        <w:rPr>
          <w:rFonts w:ascii="Calibri" w:hAnsi="Calibri"/>
          <w:color w:val="222222"/>
        </w:rPr>
        <w:t>Partially comparable</w:t>
      </w:r>
    </w:p>
    <w:p>
      <w:r>
        <w:rPr>
          <w:rFonts w:ascii="Calibri" w:hAnsi="Calibri"/>
          <w:color w:val="222222"/>
        </w:rPr>
        <w:t>The fields share a broader construct but differ in granularity, timing, protocol, matrix, or measurement. They may support stratified description or a coarser derived category, but the difference must remain visible.</w:t>
      </w:r>
    </w:p>
    <w:p>
      <w:r>
        <w:rPr>
          <w:rFonts w:ascii="Calibri" w:hAnsi="Calibri"/>
          <w:color w:val="222222"/>
        </w:rPr>
        <w:t xml:space="preserve">Example: One study records exact fasting duration; another records only </w:t>
      </w:r>
      <w:r>
        <w:rPr>
          <w:rFonts w:ascii="Consolas" w:hAnsi="Consolas"/>
          <w:color w:val="1F4D78"/>
          <w:sz w:val="21"/>
          <w:shd w:fill="EEF1F4"/>
        </w:rPr>
        <w:t>fasted</w:t>
      </w:r>
      <w:r>
        <w:rPr>
          <w:rFonts w:ascii="Calibri" w:hAnsi="Calibri"/>
          <w:color w:val="222222"/>
        </w:rPr>
        <w:t>. Both can support a high-level fasting-state flag, but not a dose-response model by fasting hours.</w:t>
      </w:r>
    </w:p>
    <w:p>
      <w:pPr>
        <w:pStyle w:val="Heading3"/>
      </w:pPr>
      <w:r>
        <w:rPr>
          <w:rFonts w:ascii="Calibri" w:hAnsi="Calibri"/>
          <w:color w:val="222222"/>
        </w:rPr>
        <w:t>Not comparable</w:t>
      </w:r>
    </w:p>
    <w:p>
      <w:r>
        <w:rPr>
          <w:rFonts w:ascii="Calibri" w:hAnsi="Calibri"/>
          <w:color w:val="222222"/>
        </w:rPr>
        <w:t>The fields represent different constructs, lack essential provenance, or would require an unsupported assumption.</w:t>
      </w:r>
    </w:p>
    <w:p>
      <w:r>
        <w:rPr>
          <w:rFonts w:ascii="Calibri" w:hAnsi="Calibri"/>
          <w:color w:val="222222"/>
        </w:rPr>
        <w:t xml:space="preserve">Example: </w:t>
      </w:r>
      <w:r>
        <w:rPr>
          <w:rFonts w:ascii="Consolas" w:hAnsi="Consolas"/>
          <w:color w:val="1F4D78"/>
          <w:sz w:val="21"/>
          <w:shd w:fill="EEF1F4"/>
        </w:rPr>
        <w:t>post_diet</w:t>
      </w:r>
      <w:r>
        <w:rPr>
          <w:rFonts w:ascii="Calibri" w:hAnsi="Calibri"/>
          <w:color w:val="222222"/>
        </w:rPr>
        <w:t xml:space="preserve"> after a 14-day feeding period and </w:t>
      </w:r>
      <w:r>
        <w:rPr>
          <w:rFonts w:ascii="Consolas" w:hAnsi="Consolas"/>
          <w:color w:val="1F4D78"/>
          <w:sz w:val="21"/>
          <w:shd w:fill="EEF1F4"/>
        </w:rPr>
        <w:t>post_exercise</w:t>
      </w:r>
      <w:r>
        <w:rPr>
          <w:rFonts w:ascii="Calibri" w:hAnsi="Calibri"/>
          <w:color w:val="222222"/>
        </w:rPr>
        <w:t xml:space="preserve"> immediately after an acute bout cannot be treated as one common post-intervention timepoint.</w:t>
      </w:r>
    </w:p>
    <w:p>
      <w:pPr>
        <w:pStyle w:val="Heading3"/>
      </w:pPr>
      <w:r>
        <w:rPr>
          <w:rFonts w:ascii="Calibri" w:hAnsi="Calibri"/>
          <w:color w:val="222222"/>
        </w:rPr>
        <w:t>Not yet assessable</w:t>
      </w:r>
    </w:p>
    <w:p>
      <w:r>
        <w:rPr>
          <w:rFonts w:ascii="Calibri" w:hAnsi="Calibri"/>
          <w:color w:val="222222"/>
        </w:rPr>
        <w:t>Use this fourth workflow status when evidence is missing or the accession is unresolved. It prevents uncertainty from being silently converted into incompatibility or compatibility. Before analysis, resolve it or explicitly exclude it.</w:t>
      </w:r>
    </w:p>
    <w:p>
      <w:pPr>
        <w:pStyle w:val="Heading2"/>
      </w:pPr>
      <w:r>
        <w:rPr>
          <w:rFonts w:ascii="Calibri" w:hAnsi="Calibri"/>
          <w:color w:val="222222"/>
        </w:rPr>
        <w:t>4. Worked example with the locked configuration</w:t>
      </w:r>
    </w:p>
    <w:p>
      <w:r>
        <w:rPr>
          <w:rFonts w:ascii="Calibri" w:hAnsi="Calibri"/>
          <w:color w:val="222222"/>
        </w:rPr>
        <w:t>The following decisions are grounded in the locked Metabolomics Workbench records and remain subject to the dated verification recorded in your worksheet.</w:t>
      </w:r>
    </w:p>
    <w:tbl>
      <w:tblPr>
        <w:tblStyle w:val="TableGrid"/>
        <w:tblW w:type="dxa" w:w="9360"/>
        <w:jc w:val="left"/>
        <w:tblLayout w:type="fixed"/>
        <w:tblLook w:firstColumn="1" w:firstRow="1" w:lastColumn="0" w:lastRow="0" w:noHBand="0" w:noVBand="1" w:val="04A0"/>
        <w:tblInd w:w="120" w:type="dxa"/>
      </w:tblPr>
      <w:tblGrid>
        <w:gridCol w:w="1628"/>
        <w:gridCol w:w="2584"/>
        <w:gridCol w:w="2584"/>
        <w:gridCol w:w="2564"/>
      </w:tblGrid>
      <w:tr>
        <w:trPr>
          <w:cantSplit w:val="true"/>
          <w:tblHeader w:val="true"/>
        </w:trPr>
        <w:tc>
          <w:tcPr>
            <w:tcW w:type="dxa" w:w="1628"/>
            <w:tcMar>
              <w:top w:w="80" w:type="dxa"/>
              <w:bottom w:w="80" w:type="dxa"/>
              <w:start w:w="120" w:type="dxa"/>
              <w:end w:w="120" w:type="dxa"/>
            </w:tcMar>
            <w:vAlign w:val="center"/>
            <w:shd w:fill="E8EEF5"/>
          </w:tcPr>
          <w:p>
            <w:pPr>
              <w:spacing w:before="0" w:after="0" w:line="269" w:lineRule="auto"/>
              <w:jc w:val="left"/>
            </w:pPr>
            <w:r>
              <w:rPr>
                <w:b/>
                <w:color w:val="203748"/>
              </w:rPr>
            </w:r>
            <w:r>
              <w:rPr>
                <w:rFonts w:ascii="Calibri" w:hAnsi="Calibri"/>
                <w:b/>
                <w:color w:val="203748"/>
                <w:sz w:val="16"/>
              </w:rPr>
              <w:t>Domain</w:t>
            </w:r>
          </w:p>
        </w:tc>
        <w:tc>
          <w:tcPr>
            <w:tcW w:type="dxa" w:w="2584"/>
            <w:tcMar>
              <w:top w:w="80" w:type="dxa"/>
              <w:bottom w:w="80" w:type="dxa"/>
              <w:start w:w="120" w:type="dxa"/>
              <w:end w:w="120" w:type="dxa"/>
            </w:tcMar>
            <w:vAlign w:val="center"/>
            <w:shd w:fill="E8EEF5"/>
          </w:tcPr>
          <w:p>
            <w:pPr>
              <w:spacing w:before="0" w:after="0" w:line="269" w:lineRule="auto"/>
              <w:jc w:val="left"/>
            </w:pPr>
            <w:r>
              <w:rPr>
                <w:b/>
                <w:color w:val="203748"/>
              </w:rPr>
            </w:r>
            <w:r>
              <w:rPr>
                <w:rFonts w:ascii="Consolas" w:hAnsi="Consolas"/>
                <w:b/>
                <w:color w:val="203748"/>
                <w:sz w:val="15"/>
                <w:shd w:fill="EEF1F4"/>
              </w:rPr>
              <w:t>DIET_ACCESSION = ST001521</w:t>
            </w:r>
          </w:p>
        </w:tc>
        <w:tc>
          <w:tcPr>
            <w:tcW w:type="dxa" w:w="2584"/>
            <w:tcMar>
              <w:top w:w="80" w:type="dxa"/>
              <w:bottom w:w="80" w:type="dxa"/>
              <w:start w:w="120" w:type="dxa"/>
              <w:end w:w="120" w:type="dxa"/>
            </w:tcMar>
            <w:vAlign w:val="center"/>
            <w:shd w:fill="E8EEF5"/>
          </w:tcPr>
          <w:p>
            <w:pPr>
              <w:spacing w:before="0" w:after="0" w:line="269" w:lineRule="auto"/>
              <w:jc w:val="left"/>
            </w:pPr>
            <w:r>
              <w:rPr>
                <w:b/>
                <w:color w:val="203748"/>
              </w:rPr>
            </w:r>
            <w:r>
              <w:rPr>
                <w:rFonts w:ascii="Consolas" w:hAnsi="Consolas"/>
                <w:b/>
                <w:color w:val="203748"/>
                <w:sz w:val="15"/>
                <w:shd w:fill="EEF1F4"/>
              </w:rPr>
              <w:t>EXERCISE_ACCESSION = ST003348</w:t>
            </w:r>
          </w:p>
        </w:tc>
        <w:tc>
          <w:tcPr>
            <w:tcW w:type="dxa" w:w="2564"/>
            <w:tcMar>
              <w:top w:w="80" w:type="dxa"/>
              <w:bottom w:w="80" w:type="dxa"/>
              <w:start w:w="120" w:type="dxa"/>
              <w:end w:w="120" w:type="dxa"/>
            </w:tcMar>
            <w:vAlign w:val="center"/>
            <w:shd w:fill="E8EEF5"/>
          </w:tcPr>
          <w:p>
            <w:pPr>
              <w:spacing w:before="0" w:after="0" w:line="269" w:lineRule="auto"/>
              <w:jc w:val="left"/>
            </w:pPr>
            <w:r>
              <w:rPr>
                <w:b/>
                <w:color w:val="203748"/>
              </w:rPr>
            </w:r>
            <w:r>
              <w:rPr>
                <w:rFonts w:ascii="Calibri" w:hAnsi="Calibri"/>
                <w:b/>
                <w:color w:val="203748"/>
                <w:sz w:val="16"/>
              </w:rPr>
              <w:t>Decision for this module</w:t>
            </w:r>
          </w:p>
        </w:tc>
      </w:tr>
      <w:tr>
        <w:trPr>
          <w:cantSplit w:val="true"/>
        </w:trPr>
        <w:tc>
          <w:tcPr>
            <w:tcW w:type="dxa" w:w="1628"/>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Species</w:t>
            </w:r>
          </w:p>
        </w:tc>
        <w:tc>
          <w:tcPr>
            <w:tcW w:type="dxa" w:w="2584"/>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Human in summary and subject metadata</w:t>
            </w:r>
          </w:p>
        </w:tc>
        <w:tc>
          <w:tcPr>
            <w:tcW w:type="dxa" w:w="2584"/>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Human in summary and subject metadata</w:t>
            </w:r>
          </w:p>
        </w:tc>
        <w:tc>
          <w:tcPr>
            <w:tcW w:type="dxa" w:w="2564"/>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Direct at a broad species level</w:t>
            </w:r>
          </w:p>
        </w:tc>
      </w:tr>
      <w:tr>
        <w:trPr>
          <w:cantSplit w:val="true"/>
        </w:trPr>
        <w:tc>
          <w:tcPr>
            <w:tcW w:type="dxa" w:w="1628"/>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Matrix</w:t>
            </w:r>
          </w:p>
        </w:tc>
        <w:tc>
          <w:tcPr>
            <w:tcW w:type="dxa" w:w="2584"/>
            <w:tcMar>
              <w:top w:w="80" w:type="dxa"/>
              <w:bottom w:w="80" w:type="dxa"/>
              <w:start w:w="120" w:type="dxa"/>
              <w:end w:w="120" w:type="dxa"/>
            </w:tcMar>
            <w:vAlign w:val="center"/>
          </w:tcPr>
          <w:p>
            <w:pPr>
              <w:spacing w:before="0" w:after="0" w:line="269" w:lineRule="auto"/>
              <w:jc w:val="center"/>
            </w:pPr>
            <w:r/>
            <w:r>
              <w:rPr>
                <w:rFonts w:ascii="Calibri" w:hAnsi="Calibri"/>
                <w:color w:val="222222"/>
                <w:sz w:val="16"/>
              </w:rPr>
              <w:t>Blood plasma</w:t>
            </w:r>
          </w:p>
        </w:tc>
        <w:tc>
          <w:tcPr>
            <w:tcW w:type="dxa" w:w="2584"/>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 xml:space="preserve">Collection metadata specifies blood serum, although factors say </w:t>
            </w:r>
            <w:r>
              <w:rPr>
                <w:rFonts w:ascii="Consolas" w:hAnsi="Consolas"/>
                <w:color w:val="1F4D78"/>
                <w:sz w:val="15"/>
                <w:shd w:fill="EEF1F4"/>
              </w:rPr>
              <w:t>blood</w:t>
            </w:r>
          </w:p>
        </w:tc>
        <w:tc>
          <w:tcPr>
            <w:tcW w:type="dxa" w:w="2564"/>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Partial for discovery; keep plasma and serum distinct</w:t>
            </w:r>
          </w:p>
        </w:tc>
      </w:tr>
      <w:tr>
        <w:trPr>
          <w:cantSplit w:val="true"/>
        </w:trPr>
        <w:tc>
          <w:tcPr>
            <w:tcW w:type="dxa" w:w="1628"/>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Time</w:t>
            </w:r>
          </w:p>
        </w:tc>
        <w:tc>
          <w:tcPr>
            <w:tcW w:type="dxa" w:w="2584"/>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Baseline and Days 5, 9, 12, and 15 across feeding plus antibiotic/PEG procedures</w:t>
            </w:r>
          </w:p>
        </w:tc>
        <w:tc>
          <w:tcPr>
            <w:tcW w:type="dxa" w:w="2584"/>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REST, immediate post-exercise, 3-hour recovery, and 22-hour recovery</w:t>
            </w:r>
          </w:p>
        </w:tc>
        <w:tc>
          <w:tcPr>
            <w:tcW w:type="dxa" w:w="2564"/>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Not a shared time axis</w:t>
            </w:r>
          </w:p>
        </w:tc>
      </w:tr>
      <w:tr>
        <w:trPr>
          <w:cantSplit w:val="true"/>
        </w:trPr>
        <w:tc>
          <w:tcPr>
            <w:tcW w:type="dxa" w:w="1628"/>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Phenotype</w:t>
            </w:r>
          </w:p>
        </w:tc>
        <w:tc>
          <w:tcPr>
            <w:tcW w:type="dxa" w:w="2584"/>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Three diet groups in a longitudinal FARMM protocol</w:t>
            </w:r>
          </w:p>
        </w:tc>
        <w:tc>
          <w:tcPr>
            <w:tcW w:type="dxa" w:w="2584"/>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Acute endurance race-walking and recovery</w:t>
            </w:r>
          </w:p>
        </w:tc>
        <w:tc>
          <w:tcPr>
            <w:tcW w:type="dxa" w:w="2564"/>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Not one common intervention variable</w:t>
            </w:r>
          </w:p>
        </w:tc>
      </w:tr>
      <w:tr>
        <w:trPr>
          <w:cantSplit w:val="true"/>
        </w:trPr>
        <w:tc>
          <w:tcPr>
            <w:tcW w:type="dxa" w:w="1628"/>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Metabolite name</w:t>
            </w:r>
          </w:p>
        </w:tc>
        <w:tc>
          <w:tcPr>
            <w:tcW w:type="dxa" w:w="2584"/>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Submitted name and RefMet output</w:t>
            </w:r>
          </w:p>
        </w:tc>
        <w:tc>
          <w:tcPr>
            <w:tcW w:type="dxa" w:w="2584"/>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Submitted name and RefMet output</w:t>
            </w:r>
          </w:p>
        </w:tc>
        <w:tc>
          <w:tcPr>
            <w:tcW w:type="dxa" w:w="2564"/>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Exact-name comparison possible after Lesson 3 review</w:t>
            </w:r>
          </w:p>
        </w:tc>
      </w:tr>
      <w:tr>
        <w:trPr>
          <w:cantSplit w:val="true"/>
        </w:trPr>
        <w:tc>
          <w:tcPr>
            <w:tcW w:type="dxa" w:w="1628"/>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Intensity</w:t>
            </w:r>
          </w:p>
        </w:tc>
        <w:tc>
          <w:tcPr>
            <w:tcW w:type="dxa" w:w="2584"/>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Four LC-MS analyses, unitless peak areas</w:t>
            </w:r>
          </w:p>
        </w:tc>
        <w:tc>
          <w:tcPr>
            <w:tcW w:type="dxa" w:w="2584"/>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Two LC-MS analyses, peak area</w:t>
            </w:r>
          </w:p>
        </w:tc>
        <w:tc>
          <w:tcPr>
            <w:tcW w:type="dxa" w:w="2564"/>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No cross-study quantitative pooling</w:t>
            </w:r>
          </w:p>
        </w:tc>
      </w:tr>
    </w:tbl>
    <w:p>
      <w:pPr>
        <w:spacing w:before="0" w:after="40"/>
      </w:pPr>
    </w:p>
    <w:p>
      <w:r>
        <w:rPr>
          <w:rFonts w:ascii="Calibri" w:hAnsi="Calibri"/>
          <w:color w:val="222222"/>
        </w:rPr>
        <w:t xml:space="preserve">It is fine to mark a row </w:t>
      </w:r>
      <w:r>
        <w:rPr>
          <w:rFonts w:ascii="Consolas" w:hAnsi="Consolas"/>
          <w:color w:val="1F4D78"/>
          <w:sz w:val="21"/>
          <w:shd w:fill="EEF1F4"/>
        </w:rPr>
        <w:t>not yet assessable</w:t>
      </w:r>
      <w:r>
        <w:rPr>
          <w:rFonts w:ascii="Calibri" w:hAnsi="Calibri"/>
          <w:color w:val="222222"/>
        </w:rPr>
        <w:t xml:space="preserve"> when the source does not provide enough information.</w:t>
      </w:r>
    </w:p>
    <w:p>
      <w:pPr>
        <w:pStyle w:val="Heading2"/>
      </w:pPr>
      <w:r>
        <w:rPr>
          <w:rFonts w:ascii="Calibri" w:hAnsi="Calibri"/>
          <w:color w:val="222222"/>
        </w:rPr>
        <w:t>5. Consortium-scale design references</w:t>
      </w:r>
    </w:p>
    <w:p>
      <w:pPr>
        <w:pStyle w:val="Heading3"/>
      </w:pPr>
      <w:r>
        <w:rPr>
          <w:rFonts w:ascii="Calibri" w:hAnsi="Calibri"/>
          <w:color w:val="222222"/>
        </w:rPr>
        <w:t>MoTrPAC</w:t>
      </w:r>
    </w:p>
    <w:p>
      <w:r>
        <w:rPr>
          <w:rFonts w:ascii="Calibri" w:hAnsi="Calibri"/>
          <w:color w:val="222222"/>
        </w:rPr>
        <w:t xml:space="preserve">MoTrPAC's published human protocol describes a multicenter effort designed to characterize molecular responses to acute exercise and exercise training. It includes structured exercise phenotyping and collection of blood, skeletal muscle, and adipose tissue in defined protocol contexts. Use the protocol as an example of how modality, dose, tissue, and time are specified. Do not copy its timepoint labels onto </w:t>
      </w:r>
      <w:r>
        <w:rPr>
          <w:rFonts w:ascii="Consolas" w:hAnsi="Consolas"/>
          <w:color w:val="1F4D78"/>
          <w:sz w:val="21"/>
          <w:shd w:fill="EEF1F4"/>
        </w:rPr>
        <w:t>EXERCISE_ACCESSION</w:t>
      </w:r>
      <w:r>
        <w:rPr>
          <w:rFonts w:ascii="Calibri" w:hAnsi="Calibri"/>
          <w:color w:val="222222"/>
        </w:rPr>
        <w:t>; retrieve the actual MW study protocol and factors.</w:t>
      </w:r>
    </w:p>
    <w:p>
      <w:pPr>
        <w:pStyle w:val="Heading3"/>
      </w:pPr>
      <w:r>
        <w:rPr>
          <w:rFonts w:ascii="Calibri" w:hAnsi="Calibri"/>
          <w:color w:val="222222"/>
        </w:rPr>
        <w:t>Nutrition for Precision Health</w:t>
      </w:r>
    </w:p>
    <w:p>
      <w:r>
        <w:rPr>
          <w:rFonts w:ascii="Calibri" w:hAnsi="Calibri"/>
          <w:color w:val="222222"/>
        </w:rPr>
        <w:t xml:space="preserve">NIH describes NPH as a modular study nested in All of Us. Public program documentation distinguishes a larger baseline/test-meal module from free-living and domiciled controlled-feeding modules. Use it as an example of how dietary exposure, test meals, and multimodal measures can be organized. Do not infer that </w:t>
      </w:r>
      <w:r>
        <w:rPr>
          <w:rFonts w:ascii="Consolas" w:hAnsi="Consolas"/>
          <w:color w:val="1F4D78"/>
          <w:sz w:val="21"/>
          <w:shd w:fill="EEF1F4"/>
        </w:rPr>
        <w:t>DIET_ACCESSION</w:t>
      </w:r>
      <w:r>
        <w:rPr>
          <w:rFonts w:ascii="Calibri" w:hAnsi="Calibri"/>
          <w:color w:val="222222"/>
        </w:rPr>
        <w:t xml:space="preserve"> follows the NPH design.</w:t>
      </w:r>
    </w:p>
    <w:p>
      <w:r>
        <w:rPr>
          <w:rFonts w:ascii="Calibri" w:hAnsi="Calibri"/>
          <w:color w:val="222222"/>
        </w:rPr>
        <w:t>These examples show how to transfer a study-design concept: identify a structure, then verify that it exists in the target data. They do not supply missing metadata for the MW case studies.</w:t>
      </w:r>
    </w:p>
    <w:p>
      <w:pPr>
        <w:pStyle w:val="Heading3"/>
      </w:pPr>
      <w:r>
        <w:rPr>
          <w:rFonts w:ascii="Calibri" w:hAnsi="Calibri"/>
          <w:color w:val="222222"/>
        </w:rPr>
        <w:t>Text-only concept sketch: comparison workflow</w:t>
      </w:r>
    </w:p>
    <w:p>
      <w:r>
        <w:rPr>
          <w:rFonts w:ascii="Calibri" w:hAnsi="Calibri"/>
          <w:color w:val="222222"/>
        </w:rPr>
        <w:t xml:space="preserve">No separate image appears here. Picture two vertical lanes. The diet lane moves from diet assignment to adherence and feeding state, then to specimen collection. The exercise lane moves from exercise modality and dose to exertion and recovery, then to specimen collection. Both lanes feed into a shared assay box, but each arrow carries its own time, specimen, and protocol tags. A dashed line between the lanes is labeled </w:t>
      </w:r>
      <w:r>
        <w:rPr>
          <w:rFonts w:ascii="Consolas" w:hAnsi="Consolas"/>
          <w:color w:val="1F4D78"/>
          <w:sz w:val="21"/>
          <w:shd w:fill="EEF1F4"/>
        </w:rPr>
        <w:t>compare metadata</w:t>
      </w:r>
      <w:r>
        <w:rPr>
          <w:rFonts w:ascii="Calibri" w:hAnsi="Calibri"/>
          <w:color w:val="222222"/>
        </w:rPr>
        <w:t xml:space="preserve">; there is no arrow labeled </w:t>
      </w:r>
      <w:r>
        <w:rPr>
          <w:rFonts w:ascii="Consolas" w:hAnsi="Consolas"/>
          <w:color w:val="1F4D78"/>
          <w:sz w:val="21"/>
          <w:shd w:fill="EEF1F4"/>
        </w:rPr>
        <w:t>pool values</w:t>
      </w:r>
      <w:r>
        <w:rPr>
          <w:rFonts w:ascii="Calibri" w:hAnsi="Calibri"/>
          <w:color w:val="222222"/>
        </w:rPr>
        <w:t>.</w:t>
      </w:r>
    </w:p>
    <w:p>
      <w:pPr>
        <w:pStyle w:val="Heading2"/>
      </w:pPr>
      <w:r>
        <w:rPr>
          <w:rFonts w:ascii="Calibri" w:hAnsi="Calibri"/>
          <w:color w:val="222222"/>
        </w:rPr>
        <w:t>6. Hands-on activity: complete the cohort-comparison worksheet</w:t>
      </w:r>
    </w:p>
    <w:p>
      <w:r>
        <w:rPr>
          <w:rFonts w:ascii="Calibri" w:hAnsi="Calibri"/>
          <w:color w:val="222222"/>
        </w:rPr>
        <w:t xml:space="preserve">Use </w:t>
      </w:r>
      <w:r>
        <w:rPr>
          <w:rFonts w:ascii="Consolas" w:hAnsi="Consolas"/>
          <w:color w:val="1F4D78"/>
          <w:sz w:val="21"/>
          <w:shd w:fill="EEF1F4"/>
        </w:rPr>
        <w:t>module/templates/cohort_comparison_worksheet_learner.md</w:t>
      </w:r>
      <w:r>
        <w:rPr>
          <w:rFonts w:ascii="Calibri" w:hAnsi="Calibri"/>
          <w:color w:val="222222"/>
        </w:rPr>
        <w:t>.</w:t>
      </w:r>
    </w:p>
    <w:p>
      <w:r>
        <w:rPr>
          <w:rFonts w:ascii="Calibri" w:hAnsi="Calibri"/>
          <w:color w:val="222222"/>
        </w:rPr>
        <w:t>For the timed course, complete these eight rows in the comparability matrix: species, specific matrix, timepoint, participant count, repeated-measures structure, phenotype anchor, units/scale, and platform/mode. Use the larger worksheet as a project extension after the lesson. A first-time learner is not expected to fill every blank table cell in 30 minutes.</w:t>
      </w:r>
    </w:p>
    <w:p>
      <w:pPr>
        <w:pStyle w:val="Heading3"/>
      </w:pPr>
      <w:r>
        <w:rPr>
          <w:rFonts w:ascii="Calibri" w:hAnsi="Calibri"/>
          <w:color w:val="222222"/>
        </w:rPr>
        <w:t>Step 1 - Resolve and document</w:t>
      </w:r>
    </w:p>
    <w:p>
      <w:r>
        <w:rPr>
          <w:rFonts w:ascii="Calibri" w:hAnsi="Calibri"/>
          <w:color w:val="222222"/>
        </w:rPr>
        <w:t xml:space="preserve">For </w:t>
      </w:r>
      <w:r>
        <w:rPr>
          <w:rFonts w:ascii="Consolas" w:hAnsi="Consolas"/>
          <w:color w:val="1F4D78"/>
          <w:sz w:val="21"/>
          <w:shd w:fill="EEF1F4"/>
        </w:rPr>
        <w:t>DIET_ACCESSION = ST001521</w:t>
      </w:r>
      <w:r>
        <w:rPr>
          <w:rFonts w:ascii="Calibri" w:hAnsi="Calibri"/>
          <w:color w:val="222222"/>
        </w:rPr>
        <w:t xml:space="preserve"> and </w:t>
      </w:r>
      <w:r>
        <w:rPr>
          <w:rFonts w:ascii="Consolas" w:hAnsi="Consolas"/>
          <w:color w:val="1F4D78"/>
          <w:sz w:val="21"/>
          <w:shd w:fill="EEF1F4"/>
        </w:rPr>
        <w:t>EXERCISE_ACCESSION = ST003348</w:t>
      </w:r>
      <w:r>
        <w:rPr>
          <w:rFonts w:ascii="Calibri" w:hAnsi="Calibri"/>
          <w:color w:val="222222"/>
        </w:rPr>
        <w:t>, record:</w:t>
      </w:r>
    </w:p>
    <w:p>
      <w:pPr>
        <w:numPr>
          <w:ilvl w:val="0"/>
          <w:numId w:val="31"/>
        </w:numPr>
        <w:spacing w:after="80" w:line="300" w:lineRule="auto"/>
      </w:pPr>
      <w:r>
        <w:rPr>
          <w:rFonts w:ascii="Calibri" w:hAnsi="Calibri"/>
          <w:color w:val="222222"/>
        </w:rPr>
        <w:t>Resolved study accession and all analysis identifiers used.</w:t>
      </w:r>
    </w:p>
    <w:p>
      <w:pPr>
        <w:numPr>
          <w:ilvl w:val="0"/>
          <w:numId w:val="31"/>
        </w:numPr>
        <w:spacing w:after="80" w:line="300" w:lineRule="auto"/>
      </w:pPr>
      <w:r>
        <w:rPr>
          <w:rFonts w:ascii="Calibri" w:hAnsi="Calibri"/>
          <w:color w:val="222222"/>
        </w:rPr>
        <w:t>Landing page, REST endpoints, retrieval timestamp, and public-release evidence.</w:t>
      </w:r>
    </w:p>
    <w:p>
      <w:pPr>
        <w:numPr>
          <w:ilvl w:val="0"/>
          <w:numId w:val="31"/>
        </w:numPr>
        <w:spacing w:after="80" w:line="300" w:lineRule="auto"/>
      </w:pPr>
      <w:r>
        <w:rPr>
          <w:rFonts w:ascii="Calibri" w:hAnsi="Calibri"/>
          <w:color w:val="222222"/>
        </w:rPr>
        <w:t>Publication or protocol link if the record provides one.</w:t>
      </w:r>
    </w:p>
    <w:p>
      <w:r>
        <w:rPr>
          <w:rFonts w:ascii="Calibri" w:hAnsi="Calibri"/>
          <w:color w:val="222222"/>
        </w:rPr>
        <w:t>If live retrieval fails, use only the versioned cached record supplied with the module, retain the configuration key in every source field, and mark the retrieval source as cached.</w:t>
      </w:r>
    </w:p>
    <w:p>
      <w:pPr>
        <w:pStyle w:val="Heading3"/>
      </w:pPr>
      <w:r>
        <w:rPr>
          <w:rFonts w:ascii="Calibri" w:hAnsi="Calibri"/>
          <w:color w:val="222222"/>
        </w:rPr>
        <w:t>Step 2 - Extract independently</w:t>
      </w:r>
    </w:p>
    <w:p>
      <w:r>
        <w:rPr>
          <w:rFonts w:ascii="Calibri" w:hAnsi="Calibri"/>
          <w:color w:val="222222"/>
        </w:rPr>
        <w:t>Complete each study column without looking at the other study. This reduces the temptation to translate a field into whatever appears in the comparison study.</w:t>
      </w:r>
    </w:p>
    <w:p>
      <w:r>
        <w:rPr>
          <w:rFonts w:ascii="Calibri" w:hAnsi="Calibri"/>
          <w:color w:val="222222"/>
        </w:rPr>
        <w:t>For every cell, use one of:</w:t>
      </w:r>
    </w:p>
    <w:p>
      <w:pPr>
        <w:numPr>
          <w:ilvl w:val="0"/>
          <w:numId w:val="32"/>
        </w:numPr>
        <w:spacing w:after="80" w:line="300" w:lineRule="auto"/>
      </w:pPr>
      <w:r>
        <w:rPr>
          <w:rFonts w:ascii="Calibri" w:hAnsi="Calibri"/>
          <w:color w:val="222222"/>
        </w:rPr>
        <w:t>A value plus source location.</w:t>
      </w:r>
    </w:p>
    <w:p>
      <w:pPr>
        <w:numPr>
          <w:ilvl w:val="0"/>
          <w:numId w:val="32"/>
        </w:numPr>
        <w:spacing w:after="80" w:line="300" w:lineRule="auto"/>
      </w:pPr>
      <w:r>
        <w:rPr>
          <w:rFonts w:ascii="Consolas" w:hAnsi="Consolas"/>
          <w:color w:val="1F4D78"/>
          <w:sz w:val="21"/>
          <w:shd w:fill="EEF1F4"/>
        </w:rPr>
        <w:t>NR</w:t>
      </w:r>
      <w:r>
        <w:rPr>
          <w:rFonts w:ascii="Calibri" w:hAnsi="Calibri"/>
          <w:color w:val="222222"/>
        </w:rPr>
        <w:t xml:space="preserve"> for not reported after a documented search.</w:t>
      </w:r>
    </w:p>
    <w:p>
      <w:pPr>
        <w:numPr>
          <w:ilvl w:val="0"/>
          <w:numId w:val="32"/>
        </w:numPr>
        <w:spacing w:after="80" w:line="300" w:lineRule="auto"/>
      </w:pPr>
      <w:r>
        <w:rPr>
          <w:rFonts w:ascii="Consolas" w:hAnsi="Consolas"/>
          <w:color w:val="1F4D78"/>
          <w:sz w:val="21"/>
          <w:shd w:fill="EEF1F4"/>
        </w:rPr>
        <w:t>NA</w:t>
      </w:r>
      <w:r>
        <w:rPr>
          <w:rFonts w:ascii="Calibri" w:hAnsi="Calibri"/>
          <w:color w:val="222222"/>
        </w:rPr>
        <w:t xml:space="preserve"> for not applicable.</w:t>
      </w:r>
    </w:p>
    <w:p>
      <w:pPr>
        <w:numPr>
          <w:ilvl w:val="0"/>
          <w:numId w:val="32"/>
        </w:numPr>
        <w:spacing w:after="80" w:line="300" w:lineRule="auto"/>
      </w:pPr>
      <w:r>
        <w:rPr>
          <w:rFonts w:ascii="Consolas" w:hAnsi="Consolas"/>
          <w:color w:val="1F4D78"/>
          <w:sz w:val="21"/>
          <w:shd w:fill="EEF1F4"/>
        </w:rPr>
        <w:t>UNRESOLVED</w:t>
      </w:r>
      <w:r>
        <w:rPr>
          <w:rFonts w:ascii="Calibri" w:hAnsi="Calibri"/>
          <w:color w:val="222222"/>
        </w:rPr>
        <w:t xml:space="preserve"> when the accession, analysis selection, or meaning is pending.</w:t>
      </w:r>
    </w:p>
    <w:p>
      <w:pPr>
        <w:pStyle w:val="Heading3"/>
      </w:pPr>
      <w:r>
        <w:rPr>
          <w:rFonts w:ascii="Calibri" w:hAnsi="Calibri"/>
          <w:color w:val="222222"/>
        </w:rPr>
        <w:t>Step 3 - State the purpose</w:t>
      </w:r>
    </w:p>
    <w:p>
      <w:r>
        <w:rPr>
          <w:rFonts w:ascii="Calibri" w:hAnsi="Calibri"/>
          <w:color w:val="222222"/>
        </w:rPr>
        <w:t>Choose one comparison purpose:</w:t>
      </w:r>
    </w:p>
    <w:p>
      <w:pPr>
        <w:numPr>
          <w:ilvl w:val="0"/>
          <w:numId w:val="33"/>
        </w:numPr>
        <w:spacing w:after="80" w:line="300" w:lineRule="auto"/>
      </w:pPr>
      <w:r>
        <w:rPr>
          <w:rFonts w:ascii="Calibri" w:hAnsi="Calibri"/>
          <w:color w:val="222222"/>
        </w:rPr>
        <w:t>Metadata inventory.</w:t>
      </w:r>
    </w:p>
    <w:p>
      <w:pPr>
        <w:numPr>
          <w:ilvl w:val="0"/>
          <w:numId w:val="33"/>
        </w:numPr>
        <w:spacing w:after="80" w:line="300" w:lineRule="auto"/>
      </w:pPr>
      <w:r>
        <w:rPr>
          <w:rFonts w:ascii="Calibri" w:hAnsi="Calibri"/>
          <w:color w:val="222222"/>
        </w:rPr>
        <w:t>Metabolite-name overlap.</w:t>
      </w:r>
    </w:p>
    <w:p>
      <w:pPr>
        <w:numPr>
          <w:ilvl w:val="0"/>
          <w:numId w:val="33"/>
        </w:numPr>
        <w:spacing w:after="80" w:line="300" w:lineRule="auto"/>
      </w:pPr>
      <w:r>
        <w:rPr>
          <w:rFonts w:ascii="Calibri" w:hAnsi="Calibri"/>
          <w:color w:val="222222"/>
        </w:rPr>
        <w:t>Class-level presence or coverage.</w:t>
      </w:r>
    </w:p>
    <w:p>
      <w:pPr>
        <w:numPr>
          <w:ilvl w:val="0"/>
          <w:numId w:val="33"/>
        </w:numPr>
        <w:spacing w:after="80" w:line="300" w:lineRule="auto"/>
      </w:pPr>
      <w:r>
        <w:rPr>
          <w:rFonts w:ascii="Calibri" w:hAnsi="Calibri"/>
          <w:color w:val="222222"/>
        </w:rPr>
        <w:t>Within-study change followed by qualitative pattern comparison.</w:t>
      </w:r>
    </w:p>
    <w:p>
      <w:r>
        <w:rPr>
          <w:rFonts w:ascii="Calibri" w:hAnsi="Calibri"/>
          <w:color w:val="222222"/>
        </w:rPr>
        <w:t>Do not select pooled quantitative inference for this exercise.</w:t>
      </w:r>
    </w:p>
    <w:p>
      <w:pPr>
        <w:pStyle w:val="Heading3"/>
      </w:pPr>
      <w:r>
        <w:rPr>
          <w:rFonts w:ascii="Calibri" w:hAnsi="Calibri"/>
          <w:color w:val="222222"/>
        </w:rPr>
        <w:t>Step 4 - Classify and justify</w:t>
      </w:r>
    </w:p>
    <w:p>
      <w:r>
        <w:rPr>
          <w:rFonts w:ascii="Calibri" w:hAnsi="Calibri"/>
          <w:color w:val="222222"/>
        </w:rPr>
        <w:t>For at least eight rows, mark directly comparable, partially comparable, not comparable, or not yet assessable. Write a one-sentence evidence-based justification. A justification should name the relevant similarity or difference rather than merely repeat the category.</w:t>
      </w:r>
    </w:p>
    <w:p>
      <w:pPr>
        <w:pStyle w:val="Heading3"/>
      </w:pPr>
      <w:r>
        <w:rPr>
          <w:rFonts w:ascii="Calibri" w:hAnsi="Calibri"/>
          <w:color w:val="222222"/>
        </w:rPr>
        <w:t>Step 5 - Write an exclusion statement</w:t>
      </w:r>
    </w:p>
    <w:p>
      <w:r>
        <w:rPr>
          <w:rFonts w:ascii="Calibri" w:hAnsi="Calibri"/>
          <w:color w:val="222222"/>
        </w:rPr>
        <w:t>Complete:</w:t>
      </w:r>
    </w:p>
    <w:p>
      <w:pPr>
        <w:spacing w:before="100" w:after="120"/>
        <w:ind w:left="259" w:right="115"/>
        <w:shd w:fill="F4F6F9"/>
        <w:pBdr>
          <w:left w:val="single" w:sz="16" w:space="8" w:color="2E74B5"/>
        </w:pBdr>
      </w:pPr>
      <w:r>
        <w:rPr>
          <w:rFonts w:ascii="Calibri" w:hAnsi="Calibri"/>
          <w:color w:val="1F4D78"/>
        </w:rPr>
        <w:t>We will not combine ________ across the two studies because ________. We can still compare ________ by ________.</w:t>
      </w:r>
    </w:p>
    <w:p>
      <w:pPr>
        <w:pStyle w:val="Heading3"/>
      </w:pPr>
      <w:r>
        <w:rPr>
          <w:rFonts w:ascii="Calibri" w:hAnsi="Calibri"/>
          <w:color w:val="222222"/>
        </w:rPr>
        <w:t>Completion criteria</w:t>
      </w:r>
    </w:p>
    <w:p>
      <w:r>
        <w:rPr>
          <w:rFonts w:ascii="Calibri" w:hAnsi="Calibri"/>
          <w:color w:val="222222"/>
        </w:rPr>
        <w:t>Your worksheet is complete when:</w:t>
      </w:r>
    </w:p>
    <w:p>
      <w:pPr>
        <w:numPr>
          <w:ilvl w:val="0"/>
          <w:numId w:val="34"/>
        </w:numPr>
        <w:spacing w:after="80" w:line="300" w:lineRule="auto"/>
      </w:pPr>
      <w:r>
        <w:rPr>
          <w:rFonts w:ascii="Calibri" w:hAnsi="Calibri"/>
          <w:color w:val="222222"/>
        </w:rPr>
        <w:t>Every substantive entry has a source or an explicit missingness code.</w:t>
      </w:r>
    </w:p>
    <w:p>
      <w:pPr>
        <w:numPr>
          <w:ilvl w:val="0"/>
          <w:numId w:val="34"/>
        </w:numPr>
        <w:spacing w:after="80" w:line="300" w:lineRule="auto"/>
      </w:pPr>
      <w:r>
        <w:rPr>
          <w:rFonts w:ascii="Calibri" w:hAnsi="Calibri"/>
          <w:color w:val="222222"/>
        </w:rPr>
        <w:t>Participant and sample counts are not conflated.</w:t>
      </w:r>
    </w:p>
    <w:p>
      <w:pPr>
        <w:numPr>
          <w:ilvl w:val="0"/>
          <w:numId w:val="34"/>
        </w:numPr>
        <w:spacing w:after="80" w:line="300" w:lineRule="auto"/>
      </w:pPr>
      <w:r>
        <w:rPr>
          <w:rFonts w:ascii="Calibri" w:hAnsi="Calibri"/>
          <w:color w:val="222222"/>
        </w:rPr>
        <w:t>Timepoints have physiological anchors or are flagged.</w:t>
      </w:r>
    </w:p>
    <w:p>
      <w:pPr>
        <w:numPr>
          <w:ilvl w:val="0"/>
          <w:numId w:val="34"/>
        </w:numPr>
        <w:spacing w:after="80" w:line="300" w:lineRule="auto"/>
      </w:pPr>
      <w:r>
        <w:rPr>
          <w:rFonts w:ascii="Calibri" w:hAnsi="Calibri"/>
          <w:color w:val="222222"/>
        </w:rPr>
        <w:t>Assay identifiers and units are recorded.</w:t>
      </w:r>
    </w:p>
    <w:p>
      <w:pPr>
        <w:numPr>
          <w:ilvl w:val="0"/>
          <w:numId w:val="34"/>
        </w:numPr>
        <w:spacing w:after="80" w:line="300" w:lineRule="auto"/>
      </w:pPr>
      <w:r>
        <w:rPr>
          <w:rFonts w:ascii="Calibri" w:hAnsi="Calibri"/>
          <w:color w:val="222222"/>
        </w:rPr>
        <w:t>At least one field is intentionally not harmonized.</w:t>
      </w:r>
    </w:p>
    <w:p>
      <w:pPr>
        <w:pStyle w:val="Heading2"/>
      </w:pPr>
      <w:r>
        <w:rPr>
          <w:rFonts w:ascii="Calibri" w:hAnsi="Calibri"/>
          <w:color w:val="222222"/>
        </w:rPr>
        <w:t>7. Comparison rules</w:t>
      </w:r>
    </w:p>
    <w:p>
      <w:pPr>
        <w:numPr>
          <w:ilvl w:val="0"/>
          <w:numId w:val="35"/>
        </w:numPr>
        <w:spacing w:after="80" w:line="300" w:lineRule="auto"/>
      </w:pPr>
      <w:r>
        <w:rPr>
          <w:rFonts w:ascii="Calibri" w:hAnsi="Calibri"/>
          <w:color w:val="222222"/>
        </w:rPr>
        <w:t>A shared label is a hypothesis of equivalence, not proof.</w:t>
      </w:r>
    </w:p>
    <w:p>
      <w:pPr>
        <w:numPr>
          <w:ilvl w:val="0"/>
          <w:numId w:val="35"/>
        </w:numPr>
        <w:spacing w:after="80" w:line="300" w:lineRule="auto"/>
      </w:pPr>
      <w:r>
        <w:rPr>
          <w:rFonts w:ascii="Calibri" w:hAnsi="Calibri"/>
          <w:color w:val="222222"/>
        </w:rPr>
        <w:t>Missing metadata does not mean the protocols were identical.</w:t>
      </w:r>
    </w:p>
    <w:p>
      <w:pPr>
        <w:numPr>
          <w:ilvl w:val="0"/>
          <w:numId w:val="35"/>
        </w:numPr>
        <w:spacing w:after="80" w:line="300" w:lineRule="auto"/>
      </w:pPr>
      <w:r>
        <w:rPr>
          <w:rFonts w:ascii="Calibri" w:hAnsi="Calibri"/>
          <w:color w:val="222222"/>
        </w:rPr>
        <w:t>Recoding to a broader category trades detail for compatibility; document the loss.</w:t>
      </w:r>
    </w:p>
    <w:p>
      <w:pPr>
        <w:numPr>
          <w:ilvl w:val="0"/>
          <w:numId w:val="35"/>
        </w:numPr>
        <w:spacing w:after="80" w:line="300" w:lineRule="auto"/>
      </w:pPr>
      <w:r>
        <w:rPr>
          <w:rFonts w:ascii="Calibri" w:hAnsi="Calibri"/>
          <w:color w:val="222222"/>
        </w:rPr>
        <w:t>A crossover period, repeated sample, or technical replicate is not an independent participant.</w:t>
      </w:r>
    </w:p>
    <w:p>
      <w:pPr>
        <w:numPr>
          <w:ilvl w:val="0"/>
          <w:numId w:val="35"/>
        </w:numPr>
        <w:spacing w:after="80" w:line="300" w:lineRule="auto"/>
      </w:pPr>
      <w:r>
        <w:rPr>
          <w:rFonts w:ascii="Calibri" w:hAnsi="Calibri"/>
          <w:color w:val="222222"/>
        </w:rPr>
        <w:t>Do not use consortium documentation to fill gaps in a different MW study.</w:t>
      </w:r>
    </w:p>
    <w:p>
      <w:pPr>
        <w:numPr>
          <w:ilvl w:val="0"/>
          <w:numId w:val="35"/>
        </w:numPr>
        <w:spacing w:after="80" w:line="300" w:lineRule="auto"/>
      </w:pPr>
      <w:r>
        <w:rPr>
          <w:rFonts w:ascii="Calibri" w:hAnsi="Calibri"/>
          <w:color w:val="222222"/>
        </w:rPr>
        <w:t>Do not select only the metadata that support a desired integration.</w:t>
      </w:r>
    </w:p>
    <w:p>
      <w:pPr>
        <w:numPr>
          <w:ilvl w:val="0"/>
          <w:numId w:val="35"/>
        </w:numPr>
        <w:spacing w:after="80" w:line="300" w:lineRule="auto"/>
      </w:pPr>
      <w:r>
        <w:rPr>
          <w:rFonts w:ascii="Calibri" w:hAnsi="Calibri"/>
          <w:color w:val="222222"/>
        </w:rPr>
        <w:t>Record the analysis identifier because one accession may contain multiple assays.</w:t>
      </w:r>
    </w:p>
    <w:p>
      <w:pPr>
        <w:pStyle w:val="Heading2"/>
      </w:pPr>
      <w:r>
        <w:rPr>
          <w:rFonts w:ascii="Calibri" w:hAnsi="Calibri"/>
          <w:color w:val="222222"/>
        </w:rPr>
        <w:t>8. Knowledge check</w:t>
      </w:r>
    </w:p>
    <w:p>
      <w:pPr>
        <w:keepNext/>
        <w:keepLines/>
      </w:pPr>
      <w:r>
        <w:rPr>
          <w:rFonts w:ascii="Calibri" w:hAnsi="Calibri"/>
          <w:b/>
          <w:color w:val="222222"/>
        </w:rPr>
        <w:t>KC2-01.</w:t>
      </w:r>
      <w:r>
        <w:rPr>
          <w:rFonts w:ascii="Calibri" w:hAnsi="Calibri"/>
          <w:color w:val="222222"/>
        </w:rPr>
        <w:t xml:space="preserve"> One study records fasting duration in hours and another records only yes/no fasting status. For a binary fasted-versus-not-fasted description, how should the fields be classified?</w:t>
      </w:r>
    </w:p>
    <w:p>
      <w:pPr>
        <w:keepNext/>
        <w:keepLines/>
      </w:pPr>
      <w:r>
        <w:rPr>
          <w:rFonts w:ascii="Calibri" w:hAnsi="Calibri"/>
          <w:color w:val="222222"/>
        </w:rPr>
        <w:t>A. Directly comparable with no documentation.</w:t>
      </w:r>
    </w:p>
    <w:p>
      <w:pPr>
        <w:keepNext/>
        <w:keepLines/>
      </w:pPr>
      <w:r>
        <w:rPr>
          <w:rFonts w:ascii="Calibri" w:hAnsi="Calibri"/>
          <w:color w:val="222222"/>
        </w:rPr>
        <w:t>B. Partially comparable after a documented derivation and loss of detail.</w:t>
      </w:r>
    </w:p>
    <w:p>
      <w:pPr>
        <w:keepNext/>
        <w:keepLines/>
      </w:pPr>
      <w:r>
        <w:rPr>
          <w:rFonts w:ascii="Calibri" w:hAnsi="Calibri"/>
          <w:color w:val="222222"/>
        </w:rPr>
        <w:t>C. Not comparable for any purpose.</w:t>
      </w:r>
    </w:p>
    <w:p>
      <w:pPr>
        <w:keepNext w:val="0"/>
        <w:keepLines/>
      </w:pPr>
      <w:r>
        <w:rPr>
          <w:rFonts w:ascii="Calibri" w:hAnsi="Calibri"/>
          <w:color w:val="222222"/>
        </w:rPr>
        <w:t>D. Directly comparable for modeling fasting duration.</w:t>
      </w:r>
    </w:p>
    <w:p>
      <w:pPr>
        <w:keepNext/>
        <w:keepLines/>
      </w:pPr>
      <w:r>
        <w:rPr>
          <w:rFonts w:ascii="Calibri" w:hAnsi="Calibri"/>
          <w:b/>
          <w:color w:val="222222"/>
        </w:rPr>
        <w:t>KC2-02.</w:t>
      </w:r>
      <w:r>
        <w:rPr>
          <w:rFonts w:ascii="Calibri" w:hAnsi="Calibri"/>
          <w:color w:val="222222"/>
        </w:rPr>
        <w:t xml:space="preserve"> What is the best evidence that two rows at three timepoints come from the same participant?</w:t>
      </w:r>
    </w:p>
    <w:p>
      <w:pPr>
        <w:keepNext/>
        <w:keepLines/>
      </w:pPr>
      <w:r>
        <w:rPr>
          <w:rFonts w:ascii="Calibri" w:hAnsi="Calibri"/>
          <w:color w:val="222222"/>
        </w:rPr>
        <w:t>A. Similar metabolite profiles.</w:t>
      </w:r>
    </w:p>
    <w:p>
      <w:pPr>
        <w:keepNext/>
        <w:keepLines/>
      </w:pPr>
      <w:r>
        <w:rPr>
          <w:rFonts w:ascii="Calibri" w:hAnsi="Calibri"/>
          <w:color w:val="222222"/>
        </w:rPr>
        <w:t>B. Adjacent sample identifiers.</w:t>
      </w:r>
    </w:p>
    <w:p>
      <w:pPr>
        <w:keepNext/>
        <w:keepLines/>
      </w:pPr>
      <w:r>
        <w:rPr>
          <w:rFonts w:ascii="Calibri" w:hAnsi="Calibri"/>
          <w:color w:val="222222"/>
        </w:rPr>
        <w:t>C. A documented subject-sample relationship in the deposited metadata.</w:t>
      </w:r>
    </w:p>
    <w:p>
      <w:pPr>
        <w:keepNext w:val="0"/>
        <w:keepLines/>
      </w:pPr>
      <w:r>
        <w:rPr>
          <w:rFonts w:ascii="Calibri" w:hAnsi="Calibri"/>
          <w:color w:val="222222"/>
        </w:rPr>
        <w:t xml:space="preserve">D. The word </w:t>
      </w:r>
      <w:r>
        <w:rPr>
          <w:rFonts w:ascii="Consolas" w:hAnsi="Consolas"/>
          <w:color w:val="1F4D78"/>
          <w:sz w:val="21"/>
          <w:shd w:fill="EEF1F4"/>
        </w:rPr>
        <w:t>longitudinal</w:t>
      </w:r>
      <w:r>
        <w:rPr>
          <w:rFonts w:ascii="Calibri" w:hAnsi="Calibri"/>
          <w:color w:val="222222"/>
        </w:rPr>
        <w:t xml:space="preserve"> in the publication title.</w:t>
      </w:r>
    </w:p>
    <w:p>
      <w:pPr>
        <w:keepNext/>
        <w:keepLines/>
      </w:pPr>
      <w:r>
        <w:rPr>
          <w:rFonts w:ascii="Calibri" w:hAnsi="Calibri"/>
          <w:b/>
          <w:color w:val="222222"/>
        </w:rPr>
        <w:t>KC2-03.</w:t>
      </w:r>
      <w:r>
        <w:rPr>
          <w:rFonts w:ascii="Calibri" w:hAnsi="Calibri"/>
          <w:color w:val="222222"/>
        </w:rPr>
        <w:t xml:space="preserve"> Why is </w:t>
      </w:r>
      <w:r>
        <w:rPr>
          <w:rFonts w:ascii="Consolas" w:hAnsi="Consolas"/>
          <w:color w:val="1F4D78"/>
          <w:sz w:val="21"/>
          <w:shd w:fill="EEF1F4"/>
        </w:rPr>
        <w:t>post</w:t>
      </w:r>
      <w:r>
        <w:rPr>
          <w:rFonts w:ascii="Calibri" w:hAnsi="Calibri"/>
          <w:color w:val="222222"/>
        </w:rPr>
        <w:t xml:space="preserve"> insufficient as a harmonized timepoint?</w:t>
      </w:r>
    </w:p>
    <w:p>
      <w:pPr>
        <w:keepNext/>
        <w:keepLines/>
      </w:pPr>
      <w:r>
        <w:rPr>
          <w:rFonts w:ascii="Calibri" w:hAnsi="Calibri"/>
          <w:color w:val="222222"/>
        </w:rPr>
        <w:t>A. Post-intervention samples are never useful.</w:t>
      </w:r>
    </w:p>
    <w:p>
      <w:pPr>
        <w:keepNext/>
        <w:keepLines/>
      </w:pPr>
      <w:r>
        <w:rPr>
          <w:rFonts w:ascii="Calibri" w:hAnsi="Calibri"/>
          <w:color w:val="222222"/>
        </w:rPr>
        <w:t>B. It lacks an intervention anchor, offset, and physiological state.</w:t>
      </w:r>
    </w:p>
    <w:p>
      <w:pPr>
        <w:keepNext/>
        <w:keepLines/>
      </w:pPr>
      <w:r>
        <w:rPr>
          <w:rFonts w:ascii="Calibri" w:hAnsi="Calibri"/>
          <w:color w:val="222222"/>
        </w:rPr>
        <w:t>C. It cannot appear in mwTab.</w:t>
      </w:r>
    </w:p>
    <w:p>
      <w:pPr>
        <w:keepNext w:val="0"/>
        <w:keepLines/>
      </w:pPr>
      <w:r>
        <w:rPr>
          <w:rFonts w:ascii="Calibri" w:hAnsi="Calibri"/>
          <w:color w:val="222222"/>
        </w:rPr>
        <w:t>D. It always means immediate recovery.</w:t>
      </w:r>
    </w:p>
    <w:p>
      <w:pPr>
        <w:pStyle w:val="Heading2"/>
      </w:pPr>
      <w:r>
        <w:rPr>
          <w:rFonts w:ascii="Calibri" w:hAnsi="Calibri"/>
          <w:color w:val="222222"/>
        </w:rPr>
        <w:t>Before you start the crosswalk</w:t>
      </w:r>
    </w:p>
    <w:p>
      <w:r>
        <w:rPr>
          <w:rFonts w:ascii="Calibri" w:hAnsi="Calibri"/>
          <w:color w:val="222222"/>
        </w:rPr>
        <w:t>Decide what you want to compare first. Then extract each record on its own terms and explain why each field is or is not suitable for that purpose. Lesson 3 applies those decisions to the metabolite crosswalk.</w:t>
      </w:r>
    </w:p>
    <w:p>
      <w:pPr>
        <w:pStyle w:val="Heading2"/>
      </w:pPr>
      <w:r>
        <w:rPr>
          <w:rFonts w:ascii="Calibri" w:hAnsi="Calibri"/>
          <w:color w:val="222222"/>
        </w:rPr>
        <w:t>Primary sources and first-party documentation</w:t>
      </w:r>
    </w:p>
    <w:p>
      <w:pPr>
        <w:numPr>
          <w:ilvl w:val="0"/>
          <w:numId w:val="36"/>
        </w:numPr>
        <w:spacing w:after="40" w:line="264" w:lineRule="auto"/>
      </w:pPr>
      <w:r>
        <w:rPr>
          <w:rFonts w:ascii="Calibri" w:hAnsi="Calibri"/>
          <w:color w:val="222222"/>
        </w:rPr>
        <w:t xml:space="preserve">Metabolomics Workbench. </w:t>
      </w:r>
      <w:hyperlink r:id="rId17">
        <w:r>
          <w:rPr>
            <w:rFonts w:ascii="Calibri" w:hAnsi="Calibri"/>
            <w:color w:val="2E74B5"/>
            <w:u w:val="single"/>
            <w:sz w:val="22"/>
          </w:rPr>
          <w:t>mwTab file specification, version 1.7, and tutorials</w:t>
        </w:r>
      </w:hyperlink>
      <w:r>
        <w:rPr>
          <w:rFonts w:ascii="Calibri" w:hAnsi="Calibri"/>
          <w:color w:val="222222"/>
        </w:rPr>
        <w:t>. Accessed August 10, 2026.</w:t>
      </w:r>
    </w:p>
    <w:p>
      <w:pPr>
        <w:numPr>
          <w:ilvl w:val="0"/>
          <w:numId w:val="36"/>
        </w:numPr>
        <w:spacing w:after="40" w:line="264" w:lineRule="auto"/>
      </w:pPr>
      <w:r>
        <w:rPr>
          <w:rFonts w:ascii="Calibri" w:hAnsi="Calibri"/>
          <w:color w:val="222222"/>
        </w:rPr>
        <w:t xml:space="preserve">Metabolomics Workbench. </w:t>
      </w:r>
      <w:hyperlink r:id="rId16">
        <w:r>
          <w:rPr>
            <w:rFonts w:ascii="Calibri" w:hAnsi="Calibri"/>
            <w:color w:val="2E74B5"/>
            <w:u w:val="single"/>
            <w:sz w:val="22"/>
          </w:rPr>
          <w:t>REST study-context endpoints</w:t>
        </w:r>
      </w:hyperlink>
      <w:r>
        <w:rPr>
          <w:rFonts w:ascii="Calibri" w:hAnsi="Calibri"/>
          <w:color w:val="222222"/>
        </w:rPr>
        <w:t>. Accessed August 10, 2026.</w:t>
      </w:r>
    </w:p>
    <w:p>
      <w:pPr>
        <w:numPr>
          <w:ilvl w:val="0"/>
          <w:numId w:val="36"/>
        </w:numPr>
        <w:spacing w:after="40" w:line="264" w:lineRule="auto"/>
      </w:pPr>
      <w:r>
        <w:rPr>
          <w:rFonts w:ascii="Calibri" w:hAnsi="Calibri"/>
          <w:color w:val="222222"/>
        </w:rPr>
        <w:t xml:space="preserve">MoTrPAC Study Group, Jakicic JM, Kohrt WM, et al. </w:t>
      </w:r>
      <w:hyperlink r:id="rId24">
        <w:r>
          <w:rPr>
            <w:rFonts w:ascii="Calibri" w:hAnsi="Calibri"/>
            <w:color w:val="2E74B5"/>
            <w:u w:val="single"/>
            <w:sz w:val="22"/>
          </w:rPr>
          <w:t>Molecular Transducers of Physical Activity Consortium (MoTrPAC): human studies design and protocol</w:t>
        </w:r>
      </w:hyperlink>
      <w:r>
        <w:rPr>
          <w:rFonts w:ascii="Calibri" w:hAnsi="Calibri"/>
          <w:color w:val="222222"/>
        </w:rPr>
        <w:t xml:space="preserve">. </w:t>
      </w:r>
      <w:r>
        <w:rPr>
          <w:rFonts w:ascii="Calibri" w:hAnsi="Calibri"/>
          <w:i/>
          <w:color w:val="222222"/>
        </w:rPr>
        <w:t>Journal of Applied Physiology</w:t>
      </w:r>
      <w:r>
        <w:rPr>
          <w:rFonts w:ascii="Calibri" w:hAnsi="Calibri"/>
          <w:color w:val="222222"/>
        </w:rPr>
        <w:t>. 2024;137(3):473-493.</w:t>
      </w:r>
    </w:p>
    <w:p>
      <w:pPr>
        <w:numPr>
          <w:ilvl w:val="0"/>
          <w:numId w:val="36"/>
        </w:numPr>
        <w:spacing w:after="40" w:line="264" w:lineRule="auto"/>
      </w:pPr>
      <w:r>
        <w:rPr>
          <w:rFonts w:ascii="Calibri" w:hAnsi="Calibri"/>
          <w:color w:val="222222"/>
        </w:rPr>
        <w:t xml:space="preserve">MoTrPAC. </w:t>
      </w:r>
      <w:hyperlink r:id="rId25">
        <w:r>
          <w:rPr>
            <w:rFonts w:ascii="Calibri" w:hAnsi="Calibri"/>
            <w:color w:val="2E74B5"/>
            <w:u w:val="single"/>
            <w:sz w:val="22"/>
          </w:rPr>
          <w:t>Adult Study Protocol, version 3.0</w:t>
        </w:r>
      </w:hyperlink>
      <w:r>
        <w:rPr>
          <w:rFonts w:ascii="Calibri" w:hAnsi="Calibri"/>
          <w:color w:val="222222"/>
        </w:rPr>
        <w:t>. August 22, 2023.</w:t>
      </w:r>
    </w:p>
    <w:p>
      <w:pPr>
        <w:numPr>
          <w:ilvl w:val="0"/>
          <w:numId w:val="36"/>
        </w:numPr>
        <w:spacing w:after="40" w:line="264" w:lineRule="auto"/>
      </w:pPr>
      <w:r>
        <w:rPr>
          <w:rFonts w:ascii="Calibri" w:hAnsi="Calibri"/>
          <w:color w:val="222222"/>
        </w:rPr>
        <w:t xml:space="preserve">NIH Common Fund. </w:t>
      </w:r>
      <w:hyperlink r:id="rId26">
        <w:r>
          <w:rPr>
            <w:rFonts w:ascii="Calibri" w:hAnsi="Calibri"/>
            <w:color w:val="2E74B5"/>
            <w:u w:val="single"/>
            <w:sz w:val="22"/>
          </w:rPr>
          <w:t>Nutrition for Precision Health</w:t>
        </w:r>
      </w:hyperlink>
      <w:r>
        <w:rPr>
          <w:rFonts w:ascii="Calibri" w:hAnsi="Calibri"/>
          <w:color w:val="222222"/>
        </w:rPr>
        <w:t xml:space="preserve"> and </w:t>
      </w:r>
      <w:hyperlink r:id="rId22">
        <w:r>
          <w:rPr>
            <w:rFonts w:ascii="Calibri" w:hAnsi="Calibri"/>
            <w:color w:val="2E74B5"/>
            <w:u w:val="single"/>
            <w:sz w:val="22"/>
          </w:rPr>
          <w:t>program FAQ</w:t>
        </w:r>
      </w:hyperlink>
      <w:r>
        <w:rPr>
          <w:rFonts w:ascii="Calibri" w:hAnsi="Calibri"/>
          <w:color w:val="222222"/>
        </w:rPr>
        <w:t>. Accessed August 10, 2026.</w:t>
      </w:r>
    </w:p>
    <w:p>
      <w:pPr>
        <w:numPr>
          <w:ilvl w:val="0"/>
          <w:numId w:val="36"/>
        </w:numPr>
        <w:spacing w:after="40" w:line="264" w:lineRule="auto"/>
      </w:pPr>
      <w:r>
        <w:rPr>
          <w:rFonts w:ascii="Calibri" w:hAnsi="Calibri"/>
          <w:color w:val="222222"/>
        </w:rPr>
        <w:t xml:space="preserve">All of Us Research Program. </w:t>
      </w:r>
      <w:hyperlink r:id="rId27">
        <w:r>
          <w:rPr>
            <w:rFonts w:ascii="Calibri" w:hAnsi="Calibri"/>
            <w:color w:val="2E74B5"/>
            <w:u w:val="single"/>
            <w:sz w:val="22"/>
          </w:rPr>
          <w:t>Researcher Workbench</w:t>
        </w:r>
      </w:hyperlink>
      <w:r>
        <w:rPr>
          <w:rFonts w:ascii="Calibri" w:hAnsi="Calibri"/>
          <w:color w:val="222222"/>
        </w:rPr>
        <w:t>. Accessed August 10, 2026.</w:t>
      </w:r>
    </w:p>
    <w:p>
      <w:r>
        <w:br w:type="page"/>
      </w:r>
    </w:p>
    <w:p>
      <w:pPr>
        <w:pStyle w:val="Heading1"/>
      </w:pPr>
      <w:r>
        <w:rPr>
          <w:rFonts w:ascii="Calibri" w:hAnsi="Calibri"/>
          <w:color w:val="222222"/>
        </w:rPr>
        <w:t>Lesson 3 - Harmonizing metabolomics and metadata</w:t>
      </w:r>
    </w:p>
    <w:p>
      <w:r>
        <w:rPr>
          <w:rFonts w:ascii="Calibri" w:hAnsi="Calibri"/>
          <w:b/>
          <w:color w:val="222222"/>
        </w:rPr>
        <w:t>Estimated time:</w:t>
      </w:r>
      <w:r>
        <w:rPr>
          <w:rFonts w:ascii="Calibri" w:hAnsi="Calibri"/>
          <w:color w:val="222222"/>
        </w:rPr>
        <w:t xml:space="preserve"> 35 minutes</w:t>
      </w:r>
    </w:p>
    <w:p>
      <w:r>
        <w:rPr>
          <w:rFonts w:ascii="Calibri" w:hAnsi="Calibri"/>
          <w:b/>
          <w:color w:val="222222"/>
        </w:rPr>
        <w:t>Bloom level:</w:t>
      </w:r>
      <w:r>
        <w:rPr>
          <w:rFonts w:ascii="Calibri" w:hAnsi="Calibri"/>
          <w:color w:val="222222"/>
        </w:rPr>
        <w:t xml:space="preserve"> Apply</w:t>
      </w:r>
    </w:p>
    <w:p>
      <w:r>
        <w:rPr>
          <w:rFonts w:ascii="Calibri" w:hAnsi="Calibri"/>
          <w:b/>
          <w:color w:val="222222"/>
        </w:rPr>
        <w:t>Module objectives addressed:</w:t>
      </w:r>
      <w:r>
        <w:rPr>
          <w:rFonts w:ascii="Calibri" w:hAnsi="Calibri"/>
          <w:color w:val="222222"/>
        </w:rPr>
        <w:t xml:space="preserve"> LO2, LO3</w:t>
      </w:r>
    </w:p>
    <w:p>
      <w:pPr>
        <w:pStyle w:val="Heading2"/>
      </w:pPr>
      <w:r>
        <w:rPr>
          <w:rFonts w:ascii="Calibri" w:hAnsi="Calibri"/>
          <w:color w:val="222222"/>
        </w:rPr>
        <w:t>Learning objectives</w:t>
      </w:r>
    </w:p>
    <w:p>
      <w:r>
        <w:rPr>
          <w:rFonts w:ascii="Calibri" w:hAnsi="Calibri"/>
          <w:color w:val="222222"/>
        </w:rPr>
        <w:t>By the end of this lesson, you will be able to:</w:t>
      </w:r>
    </w:p>
    <w:p>
      <w:pPr>
        <w:numPr>
          <w:ilvl w:val="0"/>
          <w:numId w:val="37"/>
        </w:numPr>
        <w:spacing w:after="80" w:line="300" w:lineRule="auto"/>
      </w:pPr>
      <w:r>
        <w:rPr>
          <w:rFonts w:ascii="Calibri" w:hAnsi="Calibri"/>
          <w:color w:val="222222"/>
        </w:rPr>
        <w:t>Build a provenance-preserving crosswalk from submitted metabolite labels to RefMet candidates.</w:t>
      </w:r>
    </w:p>
    <w:p>
      <w:pPr>
        <w:numPr>
          <w:ilvl w:val="0"/>
          <w:numId w:val="37"/>
        </w:numPr>
        <w:spacing w:after="80" w:line="300" w:lineRule="auto"/>
      </w:pPr>
      <w:r>
        <w:rPr>
          <w:rFonts w:ascii="Calibri" w:hAnsi="Calibri"/>
          <w:color w:val="222222"/>
        </w:rPr>
        <w:t>Distinguish a naming match from evidence of chemical identification and analytical equivalence.</w:t>
      </w:r>
    </w:p>
    <w:p>
      <w:pPr>
        <w:numPr>
          <w:ilvl w:val="0"/>
          <w:numId w:val="37"/>
        </w:numPr>
        <w:spacing w:after="80" w:line="300" w:lineRule="auto"/>
      </w:pPr>
      <w:r>
        <w:rPr>
          <w:rFonts w:ascii="Calibri" w:hAnsi="Calibri"/>
          <w:color w:val="222222"/>
        </w:rPr>
        <w:t>Align specimen, timepoint, variable, and unit metadata without concealing information loss.</w:t>
      </w:r>
    </w:p>
    <w:p>
      <w:pPr>
        <w:numPr>
          <w:ilvl w:val="0"/>
          <w:numId w:val="37"/>
        </w:numPr>
        <w:spacing w:after="80" w:line="300" w:lineRule="auto"/>
      </w:pPr>
      <w:r>
        <w:rPr>
          <w:rFonts w:ascii="Calibri" w:hAnsi="Calibri"/>
          <w:color w:val="222222"/>
        </w:rPr>
        <w:t>Flag ambiguous or unresolved mappings instead of forcing a one-to-one result.</w:t>
      </w:r>
    </w:p>
    <w:p>
      <w:pPr>
        <w:numPr>
          <w:ilvl w:val="0"/>
          <w:numId w:val="37"/>
        </w:numPr>
        <w:spacing w:after="80" w:line="300" w:lineRule="auto"/>
      </w:pPr>
      <w:r>
        <w:rPr>
          <w:rFonts w:ascii="Calibri" w:hAnsi="Calibri"/>
          <w:color w:val="222222"/>
        </w:rPr>
        <w:t>Evaluate whether a crosswalk is reproducible enough for downstream use.</w:t>
      </w:r>
    </w:p>
    <w:p>
      <w:r>
        <w:rPr>
          <w:rFonts w:ascii="Calibri" w:hAnsi="Calibri"/>
          <w:color w:val="222222"/>
        </w:rPr>
        <w:t xml:space="preserve">The locked configuration is </w:t>
      </w:r>
      <w:r>
        <w:rPr>
          <w:rFonts w:ascii="Consolas" w:hAnsi="Consolas"/>
          <w:color w:val="1F4D78"/>
          <w:sz w:val="21"/>
          <w:shd w:fill="EEF1F4"/>
        </w:rPr>
        <w:t>DIET_ACCESSION = ST001521</w:t>
      </w:r>
      <w:r>
        <w:rPr>
          <w:rFonts w:ascii="Calibri" w:hAnsi="Calibri"/>
          <w:color w:val="222222"/>
        </w:rPr>
        <w:t xml:space="preserve"> and </w:t>
      </w:r>
      <w:r>
        <w:rPr>
          <w:rFonts w:ascii="Consolas" w:hAnsi="Consolas"/>
          <w:color w:val="1F4D78"/>
          <w:sz w:val="21"/>
          <w:shd w:fill="EEF1F4"/>
        </w:rPr>
        <w:t>EXERCISE_ACCESSION = ST003348</w:t>
      </w:r>
      <w:r>
        <w:rPr>
          <w:rFonts w:ascii="Calibri" w:hAnsi="Calibri"/>
          <w:color w:val="222222"/>
        </w:rPr>
        <w:t>. Continue using the variable names in the crosswalk so the source accession remains explicit and a fallback pair can be substituted transparently.</w:t>
      </w:r>
    </w:p>
    <w:p>
      <w:pPr>
        <w:pStyle w:val="Heading2"/>
      </w:pPr>
      <w:r>
        <w:rPr>
          <w:rFonts w:ascii="Calibri" w:hAnsi="Calibri"/>
          <w:color w:val="222222"/>
        </w:rPr>
        <w:t>Lesson map</w:t>
      </w:r>
    </w:p>
    <w:tbl>
      <w:tblPr>
        <w:tblStyle w:val="TableGrid"/>
        <w:tblW w:type="dxa" w:w="9360"/>
        <w:jc w:val="left"/>
        <w:tblLayout w:type="fixed"/>
        <w:tblLook w:firstColumn="1" w:firstRow="1" w:lastColumn="0" w:lastRow="0" w:noHBand="0" w:noVBand="1" w:val="04A0"/>
        <w:tblInd w:w="120" w:type="dxa"/>
      </w:tblPr>
      <w:tblGrid>
        <w:gridCol w:w="6622"/>
        <w:gridCol w:w="2738"/>
      </w:tblGrid>
      <w:tr>
        <w:trPr>
          <w:cantSplit w:val="true"/>
          <w:tblHeader w:val="true"/>
        </w:trPr>
        <w:tc>
          <w:tcPr>
            <w:tcW w:type="dxa" w:w="6622"/>
            <w:tcMar>
              <w:top w:w="80" w:type="dxa"/>
              <w:bottom w:w="80" w:type="dxa"/>
              <w:start w:w="120" w:type="dxa"/>
              <w:end w:w="120" w:type="dxa"/>
            </w:tcMar>
            <w:vAlign w:val="center"/>
            <w:shd w:fill="E8EEF5"/>
          </w:tcPr>
          <w:p>
            <w:pPr>
              <w:spacing w:before="0" w:after="0" w:line="269" w:lineRule="auto"/>
              <w:jc w:val="left"/>
            </w:pPr>
            <w:r>
              <w:rPr>
                <w:b/>
                <w:color w:val="203748"/>
              </w:rPr>
            </w:r>
            <w:r>
              <w:rPr>
                <w:rFonts w:ascii="Calibri" w:hAnsi="Calibri"/>
                <w:b/>
                <w:color w:val="203748"/>
                <w:sz w:val="18"/>
              </w:rPr>
              <w:t>Activity</w:t>
            </w:r>
          </w:p>
        </w:tc>
        <w:tc>
          <w:tcPr>
            <w:tcW w:type="dxa" w:w="2738"/>
            <w:tcMar>
              <w:top w:w="80" w:type="dxa"/>
              <w:bottom w:w="80" w:type="dxa"/>
              <w:start w:w="120" w:type="dxa"/>
              <w:end w:w="120" w:type="dxa"/>
            </w:tcMar>
            <w:vAlign w:val="center"/>
            <w:shd w:fill="E8EEF5"/>
          </w:tcPr>
          <w:p>
            <w:pPr>
              <w:spacing w:before="0" w:after="0" w:line="269" w:lineRule="auto"/>
              <w:jc w:val="center"/>
            </w:pPr>
            <w:r>
              <w:rPr>
                <w:b/>
                <w:color w:val="203748"/>
              </w:rPr>
            </w:r>
            <w:r>
              <w:rPr>
                <w:rFonts w:ascii="Calibri" w:hAnsi="Calibri"/>
                <w:b/>
                <w:color w:val="203748"/>
                <w:sz w:val="18"/>
              </w:rPr>
              <w:t>Minutes</w:t>
            </w:r>
          </w:p>
        </w:tc>
      </w:tr>
      <w:tr>
        <w:trPr>
          <w:cantSplit w:val="true"/>
        </w:trPr>
        <w:tc>
          <w:tcPr>
            <w:tcW w:type="dxa" w:w="6622"/>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Identifier problem and RefMet</w:t>
            </w:r>
          </w:p>
        </w:tc>
        <w:tc>
          <w:tcPr>
            <w:tcW w:type="dxa" w:w="2738"/>
            <w:tcMar>
              <w:top w:w="80" w:type="dxa"/>
              <w:bottom w:w="80" w:type="dxa"/>
              <w:start w:w="120" w:type="dxa"/>
              <w:end w:w="120" w:type="dxa"/>
            </w:tcMar>
            <w:vAlign w:val="center"/>
          </w:tcPr>
          <w:p>
            <w:pPr>
              <w:spacing w:before="0" w:after="0" w:line="269" w:lineRule="auto"/>
              <w:jc w:val="center"/>
            </w:pPr>
            <w:r/>
            <w:r>
              <w:rPr>
                <w:rFonts w:ascii="Calibri" w:hAnsi="Calibri"/>
                <w:color w:val="222222"/>
                <w:sz w:val="18"/>
              </w:rPr>
              <w:t>8</w:t>
            </w:r>
          </w:p>
        </w:tc>
      </w:tr>
      <w:tr>
        <w:trPr>
          <w:cantSplit w:val="true"/>
        </w:trPr>
        <w:tc>
          <w:tcPr>
            <w:tcW w:type="dxa" w:w="6622"/>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mwTab and provenance</w:t>
            </w:r>
          </w:p>
        </w:tc>
        <w:tc>
          <w:tcPr>
            <w:tcW w:type="dxa" w:w="2738"/>
            <w:tcMar>
              <w:top w:w="80" w:type="dxa"/>
              <w:bottom w:w="80" w:type="dxa"/>
              <w:start w:w="120" w:type="dxa"/>
              <w:end w:w="120" w:type="dxa"/>
            </w:tcMar>
            <w:vAlign w:val="center"/>
          </w:tcPr>
          <w:p>
            <w:pPr>
              <w:spacing w:before="0" w:after="0" w:line="269" w:lineRule="auto"/>
              <w:jc w:val="center"/>
            </w:pPr>
            <w:r/>
            <w:r>
              <w:rPr>
                <w:rFonts w:ascii="Calibri" w:hAnsi="Calibri"/>
                <w:color w:val="222222"/>
                <w:sz w:val="18"/>
              </w:rPr>
              <w:t>5</w:t>
            </w:r>
          </w:p>
        </w:tc>
      </w:tr>
      <w:tr>
        <w:trPr>
          <w:cantSplit w:val="true"/>
        </w:trPr>
        <w:tc>
          <w:tcPr>
            <w:tcW w:type="dxa" w:w="6622"/>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Specimen, time, variables, and units</w:t>
            </w:r>
          </w:p>
        </w:tc>
        <w:tc>
          <w:tcPr>
            <w:tcW w:type="dxa" w:w="2738"/>
            <w:tcMar>
              <w:top w:w="80" w:type="dxa"/>
              <w:bottom w:w="80" w:type="dxa"/>
              <w:start w:w="120" w:type="dxa"/>
              <w:end w:w="120" w:type="dxa"/>
            </w:tcMar>
            <w:vAlign w:val="center"/>
          </w:tcPr>
          <w:p>
            <w:pPr>
              <w:spacing w:before="0" w:after="0" w:line="269" w:lineRule="auto"/>
              <w:jc w:val="center"/>
            </w:pPr>
            <w:r/>
            <w:r>
              <w:rPr>
                <w:rFonts w:ascii="Calibri" w:hAnsi="Calibri"/>
                <w:color w:val="222222"/>
                <w:sz w:val="18"/>
              </w:rPr>
              <w:t>7</w:t>
            </w:r>
          </w:p>
        </w:tc>
      </w:tr>
      <w:tr>
        <w:trPr>
          <w:cantSplit w:val="true"/>
        </w:trPr>
        <w:tc>
          <w:tcPr>
            <w:tcW w:type="dxa" w:w="6622"/>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Crosswalk activity</w:t>
            </w:r>
          </w:p>
        </w:tc>
        <w:tc>
          <w:tcPr>
            <w:tcW w:type="dxa" w:w="2738"/>
            <w:tcMar>
              <w:top w:w="80" w:type="dxa"/>
              <w:bottom w:w="80" w:type="dxa"/>
              <w:start w:w="120" w:type="dxa"/>
              <w:end w:w="120" w:type="dxa"/>
            </w:tcMar>
            <w:vAlign w:val="center"/>
          </w:tcPr>
          <w:p>
            <w:pPr>
              <w:spacing w:before="0" w:after="0" w:line="269" w:lineRule="auto"/>
              <w:jc w:val="center"/>
            </w:pPr>
            <w:r/>
            <w:r>
              <w:rPr>
                <w:rFonts w:ascii="Calibri" w:hAnsi="Calibri"/>
                <w:color w:val="222222"/>
                <w:sz w:val="18"/>
              </w:rPr>
              <w:t>12</w:t>
            </w:r>
          </w:p>
        </w:tc>
      </w:tr>
      <w:tr>
        <w:trPr>
          <w:cantSplit w:val="true"/>
        </w:trPr>
        <w:tc>
          <w:tcPr>
            <w:tcW w:type="dxa" w:w="6622"/>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Knowledge check</w:t>
            </w:r>
          </w:p>
        </w:tc>
        <w:tc>
          <w:tcPr>
            <w:tcW w:type="dxa" w:w="2738"/>
            <w:tcMar>
              <w:top w:w="80" w:type="dxa"/>
              <w:bottom w:w="80" w:type="dxa"/>
              <w:start w:w="120" w:type="dxa"/>
              <w:end w:w="120" w:type="dxa"/>
            </w:tcMar>
            <w:vAlign w:val="center"/>
          </w:tcPr>
          <w:p>
            <w:pPr>
              <w:spacing w:before="0" w:after="0" w:line="269" w:lineRule="auto"/>
              <w:jc w:val="center"/>
            </w:pPr>
            <w:r/>
            <w:r>
              <w:rPr>
                <w:rFonts w:ascii="Calibri" w:hAnsi="Calibri"/>
                <w:color w:val="222222"/>
                <w:sz w:val="18"/>
              </w:rPr>
              <w:t>3</w:t>
            </w:r>
          </w:p>
        </w:tc>
      </w:tr>
    </w:tbl>
    <w:p>
      <w:pPr>
        <w:spacing w:before="0" w:after="40"/>
      </w:pPr>
    </w:p>
    <w:p>
      <w:pPr>
        <w:spacing w:before="100" w:after="120"/>
        <w:ind w:left="259" w:right="115"/>
        <w:shd w:fill="F4F6F9"/>
        <w:pBdr>
          <w:left w:val="single" w:sz="16" w:space="8" w:color="2E74B5"/>
        </w:pBdr>
      </w:pPr>
      <w:r>
        <w:rPr>
          <w:rFonts w:ascii="Calibri" w:hAnsi="Calibri"/>
          <w:b/>
          <w:color w:val="1F4D78"/>
        </w:rPr>
        <w:t>In the notebook (NB-L3):</w:t>
      </w:r>
      <w:r>
        <w:rPr>
          <w:rFonts w:ascii="Calibri" w:hAnsi="Calibri"/>
          <w:color w:val="1F4D78"/>
        </w:rPr>
        <w:t xml:space="preserve"> Run </w:t>
      </w:r>
      <w:r>
        <w:rPr>
          <w:rFonts w:ascii="Consolas" w:hAnsi="Consolas"/>
          <w:color w:val="1F4D78"/>
          <w:sz w:val="21"/>
          <w:shd w:fill="EEF1F4"/>
        </w:rPr>
        <w:t>NB-L3-CROSSWALK</w:t>
      </w:r>
      <w:r>
        <w:rPr>
          <w:rFonts w:ascii="Calibri" w:hAnsi="Calibri"/>
          <w:color w:val="1F4D78"/>
        </w:rPr>
        <w:t xml:space="preserve"> and inspect the labeled-standard table. Confirm the 153 raw and 145 conservative counts. Then trace one retained RefMet name and record what the match does and does not show in Tab A of the crosswalk.</w:t>
      </w:r>
    </w:p>
    <w:p>
      <w:pPr>
        <w:pStyle w:val="Heading2"/>
      </w:pPr>
      <w:r>
        <w:rPr>
          <w:rFonts w:ascii="Calibri" w:hAnsi="Calibri"/>
          <w:color w:val="222222"/>
        </w:rPr>
        <w:t>1. Identifier systems answer different questions</w:t>
      </w:r>
    </w:p>
    <w:p>
      <w:r>
        <w:rPr>
          <w:rFonts w:ascii="Calibri" w:hAnsi="Calibri"/>
          <w:color w:val="222222"/>
        </w:rPr>
        <w:t>Metabolomics records can contain common names, vendor labels, abbreviations, database identifiers, formulas, masses, or structural keys. These are not interchangeable fields.</w:t>
      </w:r>
    </w:p>
    <w:tbl>
      <w:tblPr>
        <w:tblStyle w:val="TableGrid"/>
        <w:tblW w:type="dxa" w:w="9360"/>
        <w:jc w:val="left"/>
        <w:tblLayout w:type="fixed"/>
        <w:tblLook w:firstColumn="1" w:firstRow="1" w:lastColumn="0" w:lastRow="0" w:noHBand="0" w:noVBand="1" w:val="04A0"/>
        <w:tblInd w:w="120" w:type="dxa"/>
      </w:tblPr>
      <w:tblGrid>
        <w:gridCol w:w="2291"/>
        <w:gridCol w:w="3534"/>
        <w:gridCol w:w="3535"/>
      </w:tblGrid>
      <w:tr>
        <w:trPr>
          <w:cantSplit w:val="true"/>
          <w:tblHeader w:val="true"/>
        </w:trPr>
        <w:tc>
          <w:tcPr>
            <w:tcW w:type="dxa" w:w="2291"/>
            <w:tcMar>
              <w:top w:w="80" w:type="dxa"/>
              <w:bottom w:w="80" w:type="dxa"/>
              <w:start w:w="120" w:type="dxa"/>
              <w:end w:w="120" w:type="dxa"/>
            </w:tcMar>
            <w:vAlign w:val="center"/>
            <w:shd w:fill="E8EEF5"/>
          </w:tcPr>
          <w:p>
            <w:pPr>
              <w:spacing w:before="0" w:after="0" w:line="269" w:lineRule="auto"/>
              <w:jc w:val="left"/>
            </w:pPr>
            <w:r>
              <w:rPr>
                <w:b/>
                <w:color w:val="203748"/>
              </w:rPr>
            </w:r>
            <w:r>
              <w:rPr>
                <w:rFonts w:ascii="Calibri" w:hAnsi="Calibri"/>
                <w:b/>
                <w:color w:val="203748"/>
                <w:sz w:val="18"/>
              </w:rPr>
              <w:t>Field</w:t>
            </w:r>
          </w:p>
        </w:tc>
        <w:tc>
          <w:tcPr>
            <w:tcW w:type="dxa" w:w="3534"/>
            <w:tcMar>
              <w:top w:w="80" w:type="dxa"/>
              <w:bottom w:w="80" w:type="dxa"/>
              <w:start w:w="120" w:type="dxa"/>
              <w:end w:w="120" w:type="dxa"/>
            </w:tcMar>
            <w:vAlign w:val="center"/>
            <w:shd w:fill="E8EEF5"/>
          </w:tcPr>
          <w:p>
            <w:pPr>
              <w:spacing w:before="0" w:after="0" w:line="269" w:lineRule="auto"/>
              <w:jc w:val="left"/>
            </w:pPr>
            <w:r>
              <w:rPr>
                <w:b/>
                <w:color w:val="203748"/>
              </w:rPr>
            </w:r>
            <w:r>
              <w:rPr>
                <w:rFonts w:ascii="Calibri" w:hAnsi="Calibri"/>
                <w:b/>
                <w:color w:val="203748"/>
                <w:sz w:val="18"/>
              </w:rPr>
              <w:t>What it can help represent</w:t>
            </w:r>
          </w:p>
        </w:tc>
        <w:tc>
          <w:tcPr>
            <w:tcW w:type="dxa" w:w="3535"/>
            <w:tcMar>
              <w:top w:w="80" w:type="dxa"/>
              <w:bottom w:w="80" w:type="dxa"/>
              <w:start w:w="120" w:type="dxa"/>
              <w:end w:w="120" w:type="dxa"/>
            </w:tcMar>
            <w:vAlign w:val="center"/>
            <w:shd w:fill="E8EEF5"/>
          </w:tcPr>
          <w:p>
            <w:pPr>
              <w:spacing w:before="0" w:after="0" w:line="269" w:lineRule="auto"/>
              <w:jc w:val="left"/>
            </w:pPr>
            <w:r>
              <w:rPr>
                <w:b/>
                <w:color w:val="203748"/>
              </w:rPr>
            </w:r>
            <w:r>
              <w:rPr>
                <w:rFonts w:ascii="Calibri" w:hAnsi="Calibri"/>
                <w:b/>
                <w:color w:val="203748"/>
                <w:sz w:val="18"/>
              </w:rPr>
              <w:t>Important limitation</w:t>
            </w:r>
          </w:p>
        </w:tc>
      </w:tr>
      <w:tr>
        <w:trPr>
          <w:cantSplit w:val="true"/>
        </w:trPr>
        <w:tc>
          <w:tcPr>
            <w:tcW w:type="dxa" w:w="2291"/>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Submitted name</w:t>
            </w:r>
          </w:p>
        </w:tc>
        <w:tc>
          <w:tcPr>
            <w:tcW w:type="dxa" w:w="3534"/>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What the depositor reported</w:t>
            </w:r>
          </w:p>
        </w:tc>
        <w:tc>
          <w:tcPr>
            <w:tcW w:type="dxa" w:w="3535"/>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Synonyms, punctuation, adducts, and uncertain annotation can vary</w:t>
            </w:r>
          </w:p>
        </w:tc>
      </w:tr>
      <w:tr>
        <w:trPr>
          <w:cantSplit w:val="true"/>
        </w:trPr>
        <w:tc>
          <w:tcPr>
            <w:tcW w:type="dxa" w:w="2291"/>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RefMet name</w:t>
            </w:r>
          </w:p>
        </w:tc>
        <w:tc>
          <w:tcPr>
            <w:tcW w:type="dxa" w:w="3534"/>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Standardized analytical-chemistry nomenclature for a structure or metabolite species</w:t>
            </w:r>
          </w:p>
        </w:tc>
        <w:tc>
          <w:tcPr>
            <w:tcW w:type="dxa" w:w="3535"/>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A name match does not prove the underlying feature identification or equal structural resolution</w:t>
            </w:r>
          </w:p>
        </w:tc>
      </w:tr>
      <w:tr>
        <w:trPr>
          <w:cantSplit w:val="true"/>
        </w:trPr>
        <w:tc>
          <w:tcPr>
            <w:tcW w:type="dxa" w:w="2291"/>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InChIKey</w:t>
            </w:r>
          </w:p>
        </w:tc>
        <w:tc>
          <w:tcPr>
            <w:tcW w:type="dxa" w:w="3534"/>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Hash derived from a chemical structure representation</w:t>
            </w:r>
          </w:p>
        </w:tc>
        <w:tc>
          <w:tcPr>
            <w:tcW w:type="dxa" w:w="3535"/>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Layers encode different degrees of specificity; salts, protonation, tautomer, and stereochemical representation can differ</w:t>
            </w:r>
          </w:p>
        </w:tc>
      </w:tr>
      <w:tr>
        <w:trPr>
          <w:cantSplit w:val="true"/>
        </w:trPr>
        <w:tc>
          <w:tcPr>
            <w:tcW w:type="dxa" w:w="2291"/>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PubChem CID</w:t>
            </w:r>
          </w:p>
        </w:tc>
        <w:tc>
          <w:tcPr>
            <w:tcW w:type="dxa" w:w="3534"/>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Record identifier in PubChem</w:t>
            </w:r>
          </w:p>
        </w:tc>
        <w:tc>
          <w:tcPr>
            <w:tcW w:type="dxa" w:w="3535"/>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Different records may reflect different forms or levels of structural detail</w:t>
            </w:r>
          </w:p>
        </w:tc>
      </w:tr>
      <w:tr>
        <w:trPr>
          <w:cantSplit w:val="true"/>
        </w:trPr>
        <w:tc>
          <w:tcPr>
            <w:tcW w:type="dxa" w:w="2291"/>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HMDB ID</w:t>
            </w:r>
          </w:p>
        </w:tc>
        <w:tc>
          <w:tcPr>
            <w:tcW w:type="dxa" w:w="3534"/>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Record identifier in the Human Metabolome Database</w:t>
            </w:r>
          </w:p>
        </w:tc>
        <w:tc>
          <w:tcPr>
            <w:tcW w:type="dxa" w:w="3535"/>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Coverage and record relationships differ from other resources</w:t>
            </w:r>
          </w:p>
        </w:tc>
      </w:tr>
      <w:tr>
        <w:trPr>
          <w:cantSplit w:val="true"/>
        </w:trPr>
        <w:tc>
          <w:tcPr>
            <w:tcW w:type="dxa" w:w="2291"/>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KEGG compound ID</w:t>
            </w:r>
          </w:p>
        </w:tc>
        <w:tc>
          <w:tcPr>
            <w:tcW w:type="dxa" w:w="3534"/>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Identifier in KEGG's compound representation</w:t>
            </w:r>
          </w:p>
        </w:tc>
        <w:tc>
          <w:tcPr>
            <w:tcW w:type="dxa" w:w="3535"/>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Useful for pathway linking but not a universal metabolite identity key</w:t>
            </w:r>
          </w:p>
        </w:tc>
      </w:tr>
      <w:tr>
        <w:trPr>
          <w:cantSplit w:val="true"/>
        </w:trPr>
        <w:tc>
          <w:tcPr>
            <w:tcW w:type="dxa" w:w="2291"/>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Formula or exact mass</w:t>
            </w:r>
          </w:p>
        </w:tc>
        <w:tc>
          <w:tcPr>
            <w:tcW w:type="dxa" w:w="3534"/>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Composition or mass evidence</w:t>
            </w:r>
          </w:p>
        </w:tc>
        <w:tc>
          <w:tcPr>
            <w:tcW w:type="dxa" w:w="3535"/>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Isomers can share formula or mass; mass alone is not an identification</w:t>
            </w:r>
          </w:p>
        </w:tc>
      </w:tr>
    </w:tbl>
    <w:p>
      <w:pPr>
        <w:spacing w:before="0" w:after="40"/>
      </w:pPr>
    </w:p>
    <w:p>
      <w:r>
        <w:rPr>
          <w:rFonts w:ascii="Calibri" w:hAnsi="Calibri"/>
          <w:color w:val="222222"/>
        </w:rPr>
        <w:t>RefMet provides the common naming field in this crosswalk. It covers discrete structures and analytically reported species, including lipid sum compositions. Keep the submitted labels and other identifiers beside it; a standardized name should not replace the original evidence.</w:t>
      </w:r>
    </w:p>
    <w:p>
      <w:pPr>
        <w:pStyle w:val="Heading2"/>
      </w:pPr>
      <w:r>
        <w:rPr>
          <w:rFonts w:ascii="Calibri" w:hAnsi="Calibri"/>
          <w:color w:val="222222"/>
        </w:rPr>
        <w:t>2. Annotation resolution must be preserved</w:t>
      </w:r>
    </w:p>
    <w:p>
      <w:r>
        <w:rPr>
          <w:rFonts w:ascii="Calibri" w:hAnsi="Calibri"/>
          <w:color w:val="222222"/>
        </w:rPr>
        <w:t xml:space="preserve">Suppose one study reports </w:t>
      </w:r>
      <w:r>
        <w:rPr>
          <w:rFonts w:ascii="Consolas" w:hAnsi="Consolas"/>
          <w:color w:val="1F4D78"/>
          <w:sz w:val="21"/>
          <w:shd w:fill="EEF1F4"/>
        </w:rPr>
        <w:t>PC 34:1</w:t>
      </w:r>
      <w:r>
        <w:rPr>
          <w:rFonts w:ascii="Calibri" w:hAnsi="Calibri"/>
          <w:color w:val="222222"/>
        </w:rPr>
        <w:t xml:space="preserve"> and another reports a phosphatidylcholine with two specified acyl chains. Even if a database relationship connects them, the annotations have different structural resolution. Collapsing both to the more specific structure would manufacture information. Collapsing to a broader class may be defensible for a class-level presence summary, but that is a derived analysis decision that must be recorded.</w:t>
      </w:r>
    </w:p>
    <w:p>
      <w:r>
        <w:rPr>
          <w:rFonts w:ascii="Calibri" w:hAnsi="Calibri"/>
          <w:color w:val="222222"/>
        </w:rPr>
        <w:t xml:space="preserve">For each candidate match, record an </w:t>
      </w:r>
      <w:r>
        <w:rPr>
          <w:rFonts w:ascii="Calibri" w:hAnsi="Calibri"/>
          <w:b/>
          <w:color w:val="222222"/>
        </w:rPr>
        <w:t>annotation-resolution status</w:t>
      </w:r>
      <w:r>
        <w:rPr>
          <w:rFonts w:ascii="Calibri" w:hAnsi="Calibri"/>
          <w:color w:val="222222"/>
        </w:rPr>
        <w:t xml:space="preserve"> such as:</w:t>
      </w:r>
    </w:p>
    <w:p>
      <w:pPr>
        <w:numPr>
          <w:ilvl w:val="0"/>
          <w:numId w:val="38"/>
        </w:numPr>
        <w:spacing w:after="80" w:line="300" w:lineRule="auto"/>
      </w:pPr>
      <w:r>
        <w:rPr>
          <w:rFonts w:ascii="Consolas" w:hAnsi="Consolas"/>
          <w:color w:val="1F4D78"/>
          <w:sz w:val="21"/>
          <w:shd w:fill="EEF1F4"/>
        </w:rPr>
        <w:t>discrete_structure</w:t>
      </w:r>
    </w:p>
    <w:p>
      <w:pPr>
        <w:numPr>
          <w:ilvl w:val="0"/>
          <w:numId w:val="38"/>
        </w:numPr>
        <w:spacing w:after="80" w:line="300" w:lineRule="auto"/>
      </w:pPr>
      <w:r>
        <w:rPr>
          <w:rFonts w:ascii="Consolas" w:hAnsi="Consolas"/>
          <w:color w:val="1F4D78"/>
          <w:sz w:val="21"/>
          <w:shd w:fill="EEF1F4"/>
        </w:rPr>
        <w:t>stereochemistry_unspecified</w:t>
      </w:r>
    </w:p>
    <w:p>
      <w:pPr>
        <w:numPr>
          <w:ilvl w:val="0"/>
          <w:numId w:val="38"/>
        </w:numPr>
        <w:spacing w:after="80" w:line="300" w:lineRule="auto"/>
      </w:pPr>
      <w:r>
        <w:rPr>
          <w:rFonts w:ascii="Consolas" w:hAnsi="Consolas"/>
          <w:color w:val="1F4D78"/>
          <w:sz w:val="21"/>
          <w:shd w:fill="EEF1F4"/>
        </w:rPr>
        <w:t>lipid_molecular_species</w:t>
      </w:r>
    </w:p>
    <w:p>
      <w:pPr>
        <w:numPr>
          <w:ilvl w:val="0"/>
          <w:numId w:val="38"/>
        </w:numPr>
        <w:spacing w:after="80" w:line="300" w:lineRule="auto"/>
      </w:pPr>
      <w:r>
        <w:rPr>
          <w:rFonts w:ascii="Consolas" w:hAnsi="Consolas"/>
          <w:color w:val="1F4D78"/>
          <w:sz w:val="21"/>
          <w:shd w:fill="EEF1F4"/>
        </w:rPr>
        <w:t>lipid_sum_composition</w:t>
      </w:r>
    </w:p>
    <w:p>
      <w:pPr>
        <w:numPr>
          <w:ilvl w:val="0"/>
          <w:numId w:val="38"/>
        </w:numPr>
        <w:spacing w:after="80" w:line="300" w:lineRule="auto"/>
      </w:pPr>
      <w:r>
        <w:rPr>
          <w:rFonts w:ascii="Consolas" w:hAnsi="Consolas"/>
          <w:color w:val="1F4D78"/>
          <w:sz w:val="21"/>
          <w:shd w:fill="EEF1F4"/>
        </w:rPr>
        <w:t>compound_class_only</w:t>
      </w:r>
    </w:p>
    <w:p>
      <w:pPr>
        <w:numPr>
          <w:ilvl w:val="0"/>
          <w:numId w:val="38"/>
        </w:numPr>
        <w:spacing w:after="80" w:line="300" w:lineRule="auto"/>
      </w:pPr>
      <w:r>
        <w:rPr>
          <w:rFonts w:ascii="Consolas" w:hAnsi="Consolas"/>
          <w:color w:val="1F4D78"/>
          <w:sz w:val="21"/>
          <w:shd w:fill="EEF1F4"/>
        </w:rPr>
        <w:t>unknown</w:t>
      </w:r>
    </w:p>
    <w:p>
      <w:r>
        <w:rPr>
          <w:rFonts w:ascii="Calibri" w:hAnsi="Calibri"/>
          <w:color w:val="222222"/>
        </w:rPr>
        <w:t>Also record the identification evidence reported by the study when available. The Metabolomics Standards Initiative distinguishes levels of identification confidence; a standardized label does not upgrade that confidence.</w:t>
      </w:r>
    </w:p>
    <w:p>
      <w:pPr>
        <w:spacing w:before="100" w:after="120"/>
        <w:ind w:left="259" w:right="115"/>
        <w:shd w:fill="F4F6F9"/>
        <w:pBdr>
          <w:left w:val="single" w:sz="16" w:space="8" w:color="2E74B5"/>
        </w:pBdr>
      </w:pPr>
      <w:r>
        <w:rPr>
          <w:rFonts w:ascii="Calibri" w:hAnsi="Calibri"/>
          <w:b/>
          <w:color w:val="1F4D78"/>
        </w:rPr>
        <w:t>Mapping limit:</w:t>
      </w:r>
      <w:r>
        <w:rPr>
          <w:rFonts w:ascii="Calibri" w:hAnsi="Calibri"/>
          <w:color w:val="1F4D78"/>
        </w:rPr>
        <w:t xml:space="preserve"> Normalize a label only to the level supported by the deposited analytical evidence. Never infer a specific isomer, stereoisomer, lipid chain arrangement, or identification level from a fuzzy name match.</w:t>
      </w:r>
    </w:p>
    <w:p>
      <w:pPr>
        <w:pStyle w:val="Heading2"/>
      </w:pPr>
      <w:r>
        <w:rPr>
          <w:rFonts w:ascii="Calibri" w:hAnsi="Calibri"/>
          <w:color w:val="222222"/>
        </w:rPr>
        <w:t>3. A reproducible mapping workflow</w:t>
      </w:r>
    </w:p>
    <w:p>
      <w:r>
        <w:rPr>
          <w:rFonts w:ascii="Calibri" w:hAnsi="Calibri"/>
          <w:color w:val="222222"/>
        </w:rPr>
        <w:t>Use the following sequence for every distinct submitted analyte label.</w:t>
      </w:r>
    </w:p>
    <w:p>
      <w:pPr>
        <w:pStyle w:val="Heading3"/>
      </w:pPr>
      <w:r>
        <w:rPr>
          <w:rFonts w:ascii="Calibri" w:hAnsi="Calibri"/>
          <w:color w:val="222222"/>
        </w:rPr>
        <w:t>Step 1 - Preserve source identity</w:t>
      </w:r>
    </w:p>
    <w:p>
      <w:r>
        <w:rPr>
          <w:rFonts w:ascii="Calibri" w:hAnsi="Calibri"/>
          <w:color w:val="222222"/>
        </w:rPr>
        <w:t>Record:</w:t>
      </w:r>
    </w:p>
    <w:p>
      <w:pPr>
        <w:numPr>
          <w:ilvl w:val="0"/>
          <w:numId w:val="39"/>
        </w:numPr>
        <w:spacing w:after="80" w:line="300" w:lineRule="auto"/>
      </w:pPr>
      <w:r>
        <w:rPr>
          <w:rFonts w:ascii="Calibri" w:hAnsi="Calibri"/>
          <w:color w:val="222222"/>
        </w:rPr>
        <w:t xml:space="preserve">Study accession: </w:t>
      </w:r>
      <w:r>
        <w:rPr>
          <w:rFonts w:ascii="Consolas" w:hAnsi="Consolas"/>
          <w:color w:val="1F4D78"/>
          <w:sz w:val="21"/>
          <w:shd w:fill="EEF1F4"/>
        </w:rPr>
        <w:t>DIET_ACCESSION</w:t>
      </w:r>
      <w:r>
        <w:rPr>
          <w:rFonts w:ascii="Calibri" w:hAnsi="Calibri"/>
          <w:color w:val="222222"/>
        </w:rPr>
        <w:t xml:space="preserve"> or </w:t>
      </w:r>
      <w:r>
        <w:rPr>
          <w:rFonts w:ascii="Consolas" w:hAnsi="Consolas"/>
          <w:color w:val="1F4D78"/>
          <w:sz w:val="21"/>
          <w:shd w:fill="EEF1F4"/>
        </w:rPr>
        <w:t>EXERCISE_ACCESSION</w:t>
      </w:r>
      <w:r>
        <w:rPr>
          <w:rFonts w:ascii="Calibri" w:hAnsi="Calibri"/>
          <w:color w:val="222222"/>
        </w:rPr>
        <w:t>, resolved in the release manifest.</w:t>
      </w:r>
    </w:p>
    <w:p>
      <w:pPr>
        <w:numPr>
          <w:ilvl w:val="0"/>
          <w:numId w:val="39"/>
        </w:numPr>
        <w:spacing w:after="80" w:line="300" w:lineRule="auto"/>
      </w:pPr>
      <w:r>
        <w:rPr>
          <w:rFonts w:ascii="Calibri" w:hAnsi="Calibri"/>
          <w:color w:val="222222"/>
        </w:rPr>
        <w:t>Analysis identifier.</w:t>
      </w:r>
    </w:p>
    <w:p>
      <w:pPr>
        <w:numPr>
          <w:ilvl w:val="0"/>
          <w:numId w:val="39"/>
        </w:numPr>
        <w:spacing w:after="80" w:line="300" w:lineRule="auto"/>
      </w:pPr>
      <w:r>
        <w:rPr>
          <w:rFonts w:ascii="Calibri" w:hAnsi="Calibri"/>
          <w:color w:val="222222"/>
        </w:rPr>
        <w:t>Original analyte label exactly as deposited.</w:t>
      </w:r>
    </w:p>
    <w:p>
      <w:pPr>
        <w:numPr>
          <w:ilvl w:val="0"/>
          <w:numId w:val="39"/>
        </w:numPr>
        <w:spacing w:after="80" w:line="300" w:lineRule="auto"/>
      </w:pPr>
      <w:r>
        <w:rPr>
          <w:rFonts w:ascii="Calibri" w:hAnsi="Calibri"/>
          <w:color w:val="222222"/>
        </w:rPr>
        <w:t>Original metabolite or feature identifier.</w:t>
      </w:r>
    </w:p>
    <w:p>
      <w:pPr>
        <w:numPr>
          <w:ilvl w:val="0"/>
          <w:numId w:val="39"/>
        </w:numPr>
        <w:spacing w:after="80" w:line="300" w:lineRule="auto"/>
      </w:pPr>
      <w:r>
        <w:rPr>
          <w:rFonts w:ascii="Calibri" w:hAnsi="Calibri"/>
          <w:color w:val="222222"/>
        </w:rPr>
        <w:t>Original database identifiers and units.</w:t>
      </w:r>
    </w:p>
    <w:p>
      <w:pPr>
        <w:numPr>
          <w:ilvl w:val="0"/>
          <w:numId w:val="39"/>
        </w:numPr>
        <w:spacing w:after="80" w:line="300" w:lineRule="auto"/>
      </w:pPr>
      <w:r>
        <w:rPr>
          <w:rFonts w:ascii="Calibri" w:hAnsi="Calibri"/>
          <w:color w:val="222222"/>
        </w:rPr>
        <w:t>Source endpoint, retrieval timestamp, and source-table location.</w:t>
      </w:r>
    </w:p>
    <w:p>
      <w:r>
        <w:rPr>
          <w:rFonts w:ascii="Calibri" w:hAnsi="Calibri"/>
          <w:color w:val="222222"/>
        </w:rPr>
        <w:t>Never overwrite the original label.</w:t>
      </w:r>
    </w:p>
    <w:p>
      <w:pPr>
        <w:pStyle w:val="Heading3"/>
      </w:pPr>
      <w:r>
        <w:rPr>
          <w:rFonts w:ascii="Calibri" w:hAnsi="Calibri"/>
          <w:color w:val="222222"/>
        </w:rPr>
        <w:t>Step 2 - Apply transparent normalization for lookup</w:t>
      </w:r>
    </w:p>
    <w:p>
      <w:r>
        <w:rPr>
          <w:rFonts w:ascii="Calibri" w:hAnsi="Calibri"/>
          <w:color w:val="222222"/>
        </w:rPr>
        <w:t>Create a separate lookup string. Permissible preprocessing may include trimming whitespace or standardizing obvious delimiter characters. Record each transformation. Do not remove stereochemical markers, lipid chain details, charge, adduct, isotope label, or derivatization information merely to obtain a match.</w:t>
      </w:r>
    </w:p>
    <w:p>
      <w:pPr>
        <w:pStyle w:val="Heading3"/>
      </w:pPr>
      <w:r>
        <w:rPr>
          <w:rFonts w:ascii="Calibri" w:hAnsi="Calibri"/>
          <w:color w:val="222222"/>
        </w:rPr>
        <w:t>Step 3 - Query RefMet</w:t>
      </w:r>
    </w:p>
    <w:p>
      <w:r>
        <w:rPr>
          <w:rFonts w:ascii="Calibri" w:hAnsi="Calibri"/>
          <w:color w:val="222222"/>
        </w:rPr>
        <w:t>The documented REST pattern for matching a name is:</w:t>
      </w:r>
    </w:p>
    <w:p>
      <w:pPr>
        <w:keepNext w:val="0"/>
        <w:keepLines/>
        <w:spacing w:before="0" w:after="120" w:line="240" w:lineRule="auto"/>
        <w:ind w:left="259" w:right="72"/>
        <w:shd w:fill="F3F5F7"/>
        <w:pBdr>
          <w:left w:val="single" w:sz="16" w:space="8" w:color="B8C3CC"/>
        </w:pBdr>
      </w:pPr>
      <w:r>
        <w:rPr>
          <w:rFonts w:ascii="Consolas" w:hAnsi="Consolas"/>
          <w:color w:val="24313B"/>
          <w:sz w:val="16"/>
        </w:rPr>
        <w:t>https://www.metabolomicsworkbench.org/rest/refmet/match/{URL_ENCODED_NAME}/name/</w:t>
      </w:r>
    </w:p>
    <w:p>
      <w:r>
        <w:rPr>
          <w:rFonts w:ascii="Calibri" w:hAnsi="Calibri"/>
          <w:color w:val="222222"/>
        </w:rPr>
        <w:t>The exact response must be captured by the module notebook. A manual web conversion is acceptable for a small exercise, but record the query date and string.</w:t>
      </w:r>
    </w:p>
    <w:p>
      <w:pPr>
        <w:pStyle w:val="Heading3"/>
      </w:pPr>
      <w:r>
        <w:rPr>
          <w:rFonts w:ascii="Calibri" w:hAnsi="Calibri"/>
          <w:color w:val="222222"/>
        </w:rPr>
        <w:t>Step 4 - Validate the candidate</w:t>
      </w:r>
    </w:p>
    <w:p>
      <w:r>
        <w:rPr>
          <w:rFonts w:ascii="Calibri" w:hAnsi="Calibri"/>
          <w:color w:val="222222"/>
        </w:rPr>
        <w:t>Compare all available evidence:</w:t>
      </w:r>
    </w:p>
    <w:p>
      <w:pPr>
        <w:numPr>
          <w:ilvl w:val="0"/>
          <w:numId w:val="40"/>
        </w:numPr>
        <w:spacing w:after="80" w:line="300" w:lineRule="auto"/>
      </w:pPr>
      <w:r>
        <w:rPr>
          <w:rFonts w:ascii="Calibri" w:hAnsi="Calibri"/>
          <w:color w:val="222222"/>
        </w:rPr>
        <w:t>Submitted and standardized names.</w:t>
      </w:r>
    </w:p>
    <w:p>
      <w:pPr>
        <w:numPr>
          <w:ilvl w:val="0"/>
          <w:numId w:val="40"/>
        </w:numPr>
        <w:spacing w:after="80" w:line="300" w:lineRule="auto"/>
      </w:pPr>
      <w:r>
        <w:rPr>
          <w:rFonts w:ascii="Calibri" w:hAnsi="Calibri"/>
          <w:color w:val="222222"/>
        </w:rPr>
        <w:t>Formula and mass.</w:t>
      </w:r>
    </w:p>
    <w:p>
      <w:pPr>
        <w:numPr>
          <w:ilvl w:val="0"/>
          <w:numId w:val="40"/>
        </w:numPr>
        <w:spacing w:after="80" w:line="300" w:lineRule="auto"/>
      </w:pPr>
      <w:r>
        <w:rPr>
          <w:rFonts w:ascii="Calibri" w:hAnsi="Calibri"/>
          <w:color w:val="222222"/>
        </w:rPr>
        <w:t>InChIKey or external IDs.</w:t>
      </w:r>
    </w:p>
    <w:p>
      <w:pPr>
        <w:numPr>
          <w:ilvl w:val="0"/>
          <w:numId w:val="40"/>
        </w:numPr>
        <w:spacing w:after="80" w:line="300" w:lineRule="auto"/>
      </w:pPr>
      <w:r>
        <w:rPr>
          <w:rFonts w:ascii="Calibri" w:hAnsi="Calibri"/>
          <w:color w:val="222222"/>
        </w:rPr>
        <w:t>Annotation resolution.</w:t>
      </w:r>
    </w:p>
    <w:p>
      <w:pPr>
        <w:numPr>
          <w:ilvl w:val="0"/>
          <w:numId w:val="40"/>
        </w:numPr>
        <w:spacing w:after="80" w:line="300" w:lineRule="auto"/>
      </w:pPr>
      <w:r>
        <w:rPr>
          <w:rFonts w:ascii="Calibri" w:hAnsi="Calibri"/>
          <w:color w:val="222222"/>
        </w:rPr>
        <w:t>Analytical method and identification evidence.</w:t>
      </w:r>
    </w:p>
    <w:p>
      <w:pPr>
        <w:numPr>
          <w:ilvl w:val="0"/>
          <w:numId w:val="40"/>
        </w:numPr>
        <w:spacing w:after="80" w:line="300" w:lineRule="auto"/>
      </w:pPr>
      <w:r>
        <w:rPr>
          <w:rFonts w:ascii="Calibri" w:hAnsi="Calibri"/>
          <w:color w:val="222222"/>
        </w:rPr>
        <w:t>Whether the candidate represents an adduct, derivative, isotope-labeled standard, or unresolved mixture.</w:t>
      </w:r>
    </w:p>
    <w:p>
      <w:r>
        <w:rPr>
          <w:rFonts w:ascii="Calibri" w:hAnsi="Calibri"/>
          <w:color w:val="222222"/>
        </w:rPr>
        <w:t>The absence of a contradiction is not proof of identity. Use the confidence and decision fields.</w:t>
      </w:r>
    </w:p>
    <w:p>
      <w:pPr>
        <w:pStyle w:val="Heading3"/>
      </w:pPr>
      <w:r>
        <w:rPr>
          <w:rFonts w:ascii="Calibri" w:hAnsi="Calibri"/>
          <w:color w:val="222222"/>
        </w:rPr>
        <w:t>Step 5 - Assign mapping status</w:t>
      </w:r>
    </w:p>
    <w:p>
      <w:r>
        <w:rPr>
          <w:rFonts w:ascii="Calibri" w:hAnsi="Calibri"/>
          <w:color w:val="222222"/>
        </w:rPr>
        <w:t>Recommended statuses are:</w:t>
      </w:r>
    </w:p>
    <w:p>
      <w:pPr>
        <w:numPr>
          <w:ilvl w:val="0"/>
          <w:numId w:val="41"/>
        </w:numPr>
        <w:spacing w:after="80" w:line="300" w:lineRule="auto"/>
      </w:pPr>
      <w:r>
        <w:rPr>
          <w:rFonts w:ascii="Consolas" w:hAnsi="Consolas"/>
          <w:color w:val="1F4D78"/>
          <w:sz w:val="21"/>
          <w:shd w:fill="EEF1F4"/>
        </w:rPr>
        <w:t>accepted_exact</w:t>
      </w:r>
      <w:r>
        <w:rPr>
          <w:rFonts w:ascii="Calibri" w:hAnsi="Calibri"/>
          <w:color w:val="222222"/>
        </w:rPr>
        <w:t>: evidence supports the same standardized name and resolution.</w:t>
      </w:r>
    </w:p>
    <w:p>
      <w:pPr>
        <w:numPr>
          <w:ilvl w:val="0"/>
          <w:numId w:val="41"/>
        </w:numPr>
        <w:spacing w:after="80" w:line="300" w:lineRule="auto"/>
      </w:pPr>
      <w:r>
        <w:rPr>
          <w:rFonts w:ascii="Consolas" w:hAnsi="Consolas"/>
          <w:color w:val="1F4D78"/>
          <w:sz w:val="21"/>
          <w:shd w:fill="EEF1F4"/>
        </w:rPr>
        <w:t>accepted_broader</w:t>
      </w:r>
      <w:r>
        <w:rPr>
          <w:rFonts w:ascii="Calibri" w:hAnsi="Calibri"/>
          <w:color w:val="222222"/>
        </w:rPr>
        <w:t>: a broader representation is intentionally used for a stated analysis.</w:t>
      </w:r>
    </w:p>
    <w:p>
      <w:pPr>
        <w:numPr>
          <w:ilvl w:val="0"/>
          <w:numId w:val="41"/>
        </w:numPr>
        <w:spacing w:after="80" w:line="300" w:lineRule="auto"/>
      </w:pPr>
      <w:r>
        <w:rPr>
          <w:rFonts w:ascii="Consolas" w:hAnsi="Consolas"/>
          <w:color w:val="1F4D78"/>
          <w:sz w:val="21"/>
          <w:shd w:fill="EEF1F4"/>
        </w:rPr>
        <w:t>review_required</w:t>
      </w:r>
      <w:r>
        <w:rPr>
          <w:rFonts w:ascii="Calibri" w:hAnsi="Calibri"/>
          <w:color w:val="222222"/>
        </w:rPr>
        <w:t>: more than one candidate or conflicting evidence remains.</w:t>
      </w:r>
    </w:p>
    <w:p>
      <w:pPr>
        <w:numPr>
          <w:ilvl w:val="0"/>
          <w:numId w:val="41"/>
        </w:numPr>
        <w:spacing w:after="80" w:line="300" w:lineRule="auto"/>
      </w:pPr>
      <w:r>
        <w:rPr>
          <w:rFonts w:ascii="Consolas" w:hAnsi="Consolas"/>
          <w:color w:val="1F4D78"/>
          <w:sz w:val="21"/>
          <w:shd w:fill="EEF1F4"/>
        </w:rPr>
        <w:t>unmapped</w:t>
      </w:r>
      <w:r>
        <w:rPr>
          <w:rFonts w:ascii="Calibri" w:hAnsi="Calibri"/>
          <w:color w:val="222222"/>
        </w:rPr>
        <w:t>: no supported RefMet candidate was found.</w:t>
      </w:r>
    </w:p>
    <w:p>
      <w:pPr>
        <w:numPr>
          <w:ilvl w:val="0"/>
          <w:numId w:val="41"/>
        </w:numPr>
        <w:spacing w:after="80" w:line="300" w:lineRule="auto"/>
      </w:pPr>
      <w:r>
        <w:rPr>
          <w:rFonts w:ascii="Consolas" w:hAnsi="Consolas"/>
          <w:color w:val="1F4D78"/>
          <w:sz w:val="21"/>
          <w:shd w:fill="EEF1F4"/>
        </w:rPr>
        <w:t>excluded_nonbiological</w:t>
      </w:r>
      <w:r>
        <w:rPr>
          <w:rFonts w:ascii="Calibri" w:hAnsi="Calibri"/>
          <w:color w:val="222222"/>
        </w:rPr>
        <w:t>: internal standard, contaminant, adduct-only label, or other intentionally excluded feature, with a reason.</w:t>
      </w:r>
    </w:p>
    <w:p>
      <w:pPr>
        <w:numPr>
          <w:ilvl w:val="0"/>
          <w:numId w:val="41"/>
        </w:numPr>
        <w:spacing w:after="80" w:line="300" w:lineRule="auto"/>
      </w:pPr>
      <w:r>
        <w:rPr>
          <w:rFonts w:ascii="Consolas" w:hAnsi="Consolas"/>
          <w:color w:val="1F4D78"/>
          <w:sz w:val="21"/>
          <w:shd w:fill="EEF1F4"/>
        </w:rPr>
        <w:t>not_evaluated</w:t>
      </w:r>
      <w:r>
        <w:rPr>
          <w:rFonts w:ascii="Calibri" w:hAnsi="Calibri"/>
          <w:color w:val="222222"/>
        </w:rPr>
        <w:t>: mapping has not been reviewed.</w:t>
      </w:r>
    </w:p>
    <w:p>
      <w:r>
        <w:rPr>
          <w:rFonts w:ascii="Calibri" w:hAnsi="Calibri"/>
          <w:color w:val="222222"/>
        </w:rPr>
        <w:t xml:space="preserve">Automated output should begin as </w:t>
      </w:r>
      <w:r>
        <w:rPr>
          <w:rFonts w:ascii="Consolas" w:hAnsi="Consolas"/>
          <w:color w:val="1F4D78"/>
          <w:sz w:val="21"/>
          <w:shd w:fill="EEF1F4"/>
        </w:rPr>
        <w:t>not_evaluated</w:t>
      </w:r>
      <w:r>
        <w:rPr>
          <w:rFonts w:ascii="Calibri" w:hAnsi="Calibri"/>
          <w:color w:val="222222"/>
        </w:rPr>
        <w:t xml:space="preserve"> or </w:t>
      </w:r>
      <w:r>
        <w:rPr>
          <w:rFonts w:ascii="Consolas" w:hAnsi="Consolas"/>
          <w:color w:val="1F4D78"/>
          <w:sz w:val="21"/>
          <w:shd w:fill="EEF1F4"/>
        </w:rPr>
        <w:t>review_required</w:t>
      </w:r>
      <w:r>
        <w:rPr>
          <w:rFonts w:ascii="Calibri" w:hAnsi="Calibri"/>
          <w:color w:val="222222"/>
        </w:rPr>
        <w:t xml:space="preserve">, not </w:t>
      </w:r>
      <w:r>
        <w:rPr>
          <w:rFonts w:ascii="Consolas" w:hAnsi="Consolas"/>
          <w:color w:val="1F4D78"/>
          <w:sz w:val="21"/>
          <w:shd w:fill="EEF1F4"/>
        </w:rPr>
        <w:t>accepted_exact</w:t>
      </w:r>
      <w:r>
        <w:rPr>
          <w:rFonts w:ascii="Calibri" w:hAnsi="Calibri"/>
          <w:color w:val="222222"/>
        </w:rPr>
        <w:t>, unless the validation rule and evidence are explicit.</w:t>
      </w:r>
    </w:p>
    <w:p>
      <w:pPr>
        <w:pStyle w:val="Heading3"/>
      </w:pPr>
      <w:r>
        <w:rPr>
          <w:rFonts w:ascii="Calibri" w:hAnsi="Calibri"/>
          <w:color w:val="222222"/>
        </w:rPr>
        <w:t>Step 6 - Preserve the decision</w:t>
      </w:r>
    </w:p>
    <w:p>
      <w:r>
        <w:rPr>
          <w:rFonts w:ascii="Calibri" w:hAnsi="Calibri"/>
          <w:color w:val="222222"/>
        </w:rPr>
        <w:t>Record reviewer, date, rule or evidence, decision reason, and downstream eligibility. If a decision changes, append a new record or version the table; do not erase the earlier rationale.</w:t>
      </w:r>
    </w:p>
    <w:p>
      <w:pPr>
        <w:pStyle w:val="Heading3"/>
      </w:pPr>
      <w:r>
        <w:rPr>
          <w:rFonts w:ascii="Calibri" w:hAnsi="Calibri"/>
          <w:color w:val="222222"/>
        </w:rPr>
        <w:t>Text-only concept sketch: mapping workflow</w:t>
      </w:r>
    </w:p>
    <w:p>
      <w:r>
        <w:rPr>
          <w:rFonts w:ascii="Calibri" w:hAnsi="Calibri"/>
          <w:color w:val="222222"/>
        </w:rPr>
        <w:t>No separate image appears here. Imagine a six-column ledger read from left to right. The deposited feature and exact label stay fixed in the first column. A separate lookup string and RefMet response occupy the next two columns. Evidence and annotation resolution appear in the fourth column. A human or versioned rule records an accepted, broader, review-required, unmapped, or excluded decision in the fifth. The final column contains separate yes/no/review flags for exact-name overlap, class summary, within-study analysis, and cross-study analysis. Arrows never replace the first column; they add traceable decisions beside it.</w:t>
      </w:r>
    </w:p>
    <w:p>
      <w:pPr>
        <w:pStyle w:val="Heading2"/>
      </w:pPr>
      <w:r>
        <w:rPr>
          <w:rFonts w:ascii="Calibri" w:hAnsi="Calibri"/>
          <w:color w:val="222222"/>
        </w:rPr>
        <w:t>4. Worked mapping example</w:t>
      </w:r>
    </w:p>
    <w:p>
      <w:r>
        <w:rPr>
          <w:rFonts w:ascii="Calibri" w:hAnsi="Calibri"/>
          <w:color w:val="222222"/>
        </w:rPr>
        <w:t>These source and RefMet strings appear in the current public metabolite responses. The review decisions are instructional and must be regenerated if the repository record changes.</w:t>
      </w:r>
    </w:p>
    <w:tbl>
      <w:tblPr>
        <w:tblStyle w:val="TableGrid"/>
        <w:tblW w:type="dxa" w:w="9360"/>
        <w:jc w:val="left"/>
        <w:tblLayout w:type="fixed"/>
        <w:tblLook w:firstColumn="1" w:firstRow="1" w:lastColumn="0" w:lastRow="0" w:noHBand="0" w:noVBand="1" w:val="04A0"/>
        <w:tblInd w:w="120" w:type="dxa"/>
      </w:tblPr>
      <w:tblGrid>
        <w:gridCol w:w="1437"/>
        <w:gridCol w:w="1624"/>
        <w:gridCol w:w="1598"/>
        <w:gridCol w:w="2349"/>
        <w:gridCol w:w="2352"/>
      </w:tblGrid>
      <w:tr>
        <w:trPr>
          <w:cantSplit w:val="true"/>
          <w:tblHeader w:val="true"/>
        </w:trPr>
        <w:tc>
          <w:tcPr>
            <w:tcW w:type="dxa" w:w="1437"/>
            <w:tcMar>
              <w:top w:w="80" w:type="dxa"/>
              <w:bottom w:w="80" w:type="dxa"/>
              <w:start w:w="120" w:type="dxa"/>
              <w:end w:w="120" w:type="dxa"/>
            </w:tcMar>
            <w:vAlign w:val="center"/>
            <w:shd w:fill="E8EEF5"/>
          </w:tcPr>
          <w:p>
            <w:pPr>
              <w:spacing w:before="0" w:after="0" w:line="269" w:lineRule="auto"/>
              <w:jc w:val="left"/>
            </w:pPr>
            <w:r>
              <w:rPr>
                <w:b/>
                <w:color w:val="203748"/>
              </w:rPr>
            </w:r>
            <w:r>
              <w:rPr>
                <w:rFonts w:ascii="Calibri" w:hAnsi="Calibri"/>
                <w:b/>
                <w:color w:val="203748"/>
                <w:sz w:val="16"/>
              </w:rPr>
              <w:t>Source/analysis</w:t>
            </w:r>
          </w:p>
        </w:tc>
        <w:tc>
          <w:tcPr>
            <w:tcW w:type="dxa" w:w="1624"/>
            <w:tcMar>
              <w:top w:w="80" w:type="dxa"/>
              <w:bottom w:w="80" w:type="dxa"/>
              <w:start w:w="120" w:type="dxa"/>
              <w:end w:w="120" w:type="dxa"/>
            </w:tcMar>
            <w:vAlign w:val="center"/>
            <w:shd w:fill="E8EEF5"/>
          </w:tcPr>
          <w:p>
            <w:pPr>
              <w:spacing w:before="0" w:after="0" w:line="269" w:lineRule="auto"/>
              <w:jc w:val="center"/>
            </w:pPr>
            <w:r>
              <w:rPr>
                <w:b/>
                <w:color w:val="203748"/>
              </w:rPr>
            </w:r>
            <w:r>
              <w:rPr>
                <w:rFonts w:ascii="Calibri" w:hAnsi="Calibri"/>
                <w:b/>
                <w:color w:val="203748"/>
                <w:sz w:val="16"/>
              </w:rPr>
              <w:t>Deposited label</w:t>
            </w:r>
          </w:p>
        </w:tc>
        <w:tc>
          <w:tcPr>
            <w:tcW w:type="dxa" w:w="1598"/>
            <w:tcMar>
              <w:top w:w="80" w:type="dxa"/>
              <w:bottom w:w="80" w:type="dxa"/>
              <w:start w:w="120" w:type="dxa"/>
              <w:end w:w="120" w:type="dxa"/>
            </w:tcMar>
            <w:vAlign w:val="center"/>
            <w:shd w:fill="E8EEF5"/>
          </w:tcPr>
          <w:p>
            <w:pPr>
              <w:spacing w:before="0" w:after="0" w:line="269" w:lineRule="auto"/>
              <w:jc w:val="left"/>
            </w:pPr>
            <w:r>
              <w:rPr>
                <w:b/>
                <w:color w:val="203748"/>
              </w:rPr>
            </w:r>
            <w:r>
              <w:rPr>
                <w:rFonts w:ascii="Calibri" w:hAnsi="Calibri"/>
                <w:b/>
                <w:color w:val="203748"/>
                <w:sz w:val="16"/>
              </w:rPr>
              <w:t>Source RefMet string</w:t>
            </w:r>
          </w:p>
        </w:tc>
        <w:tc>
          <w:tcPr>
            <w:tcW w:type="dxa" w:w="2349"/>
            <w:tcMar>
              <w:top w:w="80" w:type="dxa"/>
              <w:bottom w:w="80" w:type="dxa"/>
              <w:start w:w="120" w:type="dxa"/>
              <w:end w:w="120" w:type="dxa"/>
            </w:tcMar>
            <w:vAlign w:val="center"/>
            <w:shd w:fill="E8EEF5"/>
          </w:tcPr>
          <w:p>
            <w:pPr>
              <w:spacing w:before="0" w:after="0" w:line="269" w:lineRule="auto"/>
              <w:jc w:val="center"/>
            </w:pPr>
            <w:r>
              <w:rPr>
                <w:b/>
                <w:color w:val="203748"/>
              </w:rPr>
            </w:r>
            <w:r>
              <w:rPr>
                <w:rFonts w:ascii="Calibri" w:hAnsi="Calibri"/>
                <w:b/>
                <w:color w:val="203748"/>
                <w:sz w:val="16"/>
              </w:rPr>
              <w:t>Evidence question</w:t>
            </w:r>
          </w:p>
        </w:tc>
        <w:tc>
          <w:tcPr>
            <w:tcW w:type="dxa" w:w="2352"/>
            <w:tcMar>
              <w:top w:w="80" w:type="dxa"/>
              <w:bottom w:w="80" w:type="dxa"/>
              <w:start w:w="120" w:type="dxa"/>
              <w:end w:w="120" w:type="dxa"/>
            </w:tcMar>
            <w:vAlign w:val="center"/>
            <w:shd w:fill="E8EEF5"/>
          </w:tcPr>
          <w:p>
            <w:pPr>
              <w:spacing w:before="0" w:after="0" w:line="269" w:lineRule="auto"/>
              <w:jc w:val="center"/>
            </w:pPr>
            <w:r>
              <w:rPr>
                <w:b/>
                <w:color w:val="203748"/>
              </w:rPr>
            </w:r>
            <w:r>
              <w:rPr>
                <w:rFonts w:ascii="Calibri" w:hAnsi="Calibri"/>
                <w:b/>
                <w:color w:val="203748"/>
                <w:sz w:val="16"/>
              </w:rPr>
              <w:t>Safe decision</w:t>
            </w:r>
          </w:p>
        </w:tc>
      </w:tr>
      <w:tr>
        <w:trPr>
          <w:cantSplit w:val="true"/>
        </w:trPr>
        <w:tc>
          <w:tcPr>
            <w:tcW w:type="dxa" w:w="1437"/>
            <w:tcMar>
              <w:top w:w="80" w:type="dxa"/>
              <w:bottom w:w="80" w:type="dxa"/>
              <w:start w:w="120" w:type="dxa"/>
              <w:end w:w="120" w:type="dxa"/>
            </w:tcMar>
            <w:vAlign w:val="center"/>
          </w:tcPr>
          <w:p>
            <w:pPr>
              <w:spacing w:before="0" w:after="0" w:line="269" w:lineRule="auto"/>
              <w:jc w:val="left"/>
            </w:pPr>
            <w:r/>
            <w:r>
              <w:rPr>
                <w:rFonts w:ascii="Consolas" w:hAnsi="Consolas"/>
                <w:color w:val="1F4D78"/>
                <w:sz w:val="15"/>
                <w:shd w:fill="EEF1F4"/>
              </w:rPr>
              <w:t>ST001521</w:t>
            </w:r>
            <w:r>
              <w:rPr>
                <w:rFonts w:ascii="Calibri" w:hAnsi="Calibri"/>
                <w:color w:val="222222"/>
                <w:sz w:val="16"/>
              </w:rPr>
              <w:t>, AN002533</w:t>
            </w:r>
          </w:p>
        </w:tc>
        <w:tc>
          <w:tcPr>
            <w:tcW w:type="dxa" w:w="1624"/>
            <w:tcMar>
              <w:top w:w="80" w:type="dxa"/>
              <w:bottom w:w="80" w:type="dxa"/>
              <w:start w:w="120" w:type="dxa"/>
              <w:end w:w="120" w:type="dxa"/>
            </w:tcMar>
            <w:vAlign w:val="center"/>
          </w:tcPr>
          <w:p>
            <w:pPr>
              <w:spacing w:before="0" w:after="0" w:line="269" w:lineRule="auto"/>
              <w:jc w:val="left"/>
            </w:pPr>
            <w:r/>
            <w:r>
              <w:rPr>
                <w:rFonts w:ascii="Consolas" w:hAnsi="Consolas"/>
                <w:color w:val="1F4D78"/>
                <w:sz w:val="15"/>
                <w:shd w:fill="EEF1F4"/>
              </w:rPr>
              <w:t>2-Aminooctanoic acid</w:t>
            </w:r>
          </w:p>
        </w:tc>
        <w:tc>
          <w:tcPr>
            <w:tcW w:type="dxa" w:w="1598"/>
            <w:tcMar>
              <w:top w:w="80" w:type="dxa"/>
              <w:bottom w:w="80" w:type="dxa"/>
              <w:start w:w="120" w:type="dxa"/>
              <w:end w:w="120" w:type="dxa"/>
            </w:tcMar>
            <w:vAlign w:val="center"/>
          </w:tcPr>
          <w:p>
            <w:pPr>
              <w:spacing w:before="0" w:after="0" w:line="269" w:lineRule="auto"/>
              <w:jc w:val="left"/>
            </w:pPr>
            <w:r/>
            <w:r>
              <w:rPr>
                <w:rFonts w:ascii="Consolas" w:hAnsi="Consolas"/>
                <w:color w:val="1F4D78"/>
                <w:sz w:val="15"/>
                <w:shd w:fill="EEF1F4"/>
              </w:rPr>
              <w:t>2-Aminocaprylic acid</w:t>
            </w:r>
          </w:p>
        </w:tc>
        <w:tc>
          <w:tcPr>
            <w:tcW w:type="dxa" w:w="2349"/>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Do synonym and identifier evidence support the same structure?</w:t>
            </w:r>
          </w:p>
        </w:tc>
        <w:tc>
          <w:tcPr>
            <w:tcW w:type="dxa" w:w="2352"/>
            <w:tcMar>
              <w:top w:w="80" w:type="dxa"/>
              <w:bottom w:w="80" w:type="dxa"/>
              <w:start w:w="120" w:type="dxa"/>
              <w:end w:w="120" w:type="dxa"/>
            </w:tcMar>
            <w:vAlign w:val="center"/>
          </w:tcPr>
          <w:p>
            <w:pPr>
              <w:spacing w:before="0" w:after="0" w:line="269" w:lineRule="auto"/>
              <w:jc w:val="left"/>
            </w:pPr>
            <w:r/>
            <w:r>
              <w:rPr>
                <w:rFonts w:ascii="Consolas" w:hAnsi="Consolas"/>
                <w:color w:val="1F4D78"/>
                <w:sz w:val="15"/>
                <w:shd w:fill="EEF1F4"/>
              </w:rPr>
              <w:t>review_required</w:t>
            </w:r>
            <w:r>
              <w:rPr>
                <w:rFonts w:ascii="Calibri" w:hAnsi="Calibri"/>
                <w:color w:val="222222"/>
                <w:sz w:val="16"/>
              </w:rPr>
              <w:t xml:space="preserve">, then potentially </w:t>
            </w:r>
            <w:r>
              <w:rPr>
                <w:rFonts w:ascii="Consolas" w:hAnsi="Consolas"/>
                <w:color w:val="1F4D78"/>
                <w:sz w:val="15"/>
                <w:shd w:fill="EEF1F4"/>
              </w:rPr>
              <w:t>accepted_exact</w:t>
            </w:r>
          </w:p>
        </w:tc>
      </w:tr>
      <w:tr>
        <w:trPr>
          <w:cantSplit w:val="true"/>
        </w:trPr>
        <w:tc>
          <w:tcPr>
            <w:tcW w:type="dxa" w:w="1437"/>
            <w:tcMar>
              <w:top w:w="80" w:type="dxa"/>
              <w:bottom w:w="80" w:type="dxa"/>
              <w:start w:w="120" w:type="dxa"/>
              <w:end w:w="120" w:type="dxa"/>
            </w:tcMar>
            <w:vAlign w:val="center"/>
          </w:tcPr>
          <w:p>
            <w:pPr>
              <w:spacing w:before="0" w:after="0" w:line="269" w:lineRule="auto"/>
              <w:jc w:val="left"/>
            </w:pPr>
            <w:r/>
            <w:r>
              <w:rPr>
                <w:rFonts w:ascii="Consolas" w:hAnsi="Consolas"/>
                <w:color w:val="1F4D78"/>
                <w:sz w:val="15"/>
                <w:shd w:fill="EEF1F4"/>
              </w:rPr>
              <w:t>ST001521</w:t>
            </w:r>
            <w:r>
              <w:rPr>
                <w:rFonts w:ascii="Calibri" w:hAnsi="Calibri"/>
                <w:color w:val="222222"/>
                <w:sz w:val="16"/>
              </w:rPr>
              <w:t>, AN002533</w:t>
            </w:r>
          </w:p>
        </w:tc>
        <w:tc>
          <w:tcPr>
            <w:tcW w:type="dxa" w:w="1624"/>
            <w:tcMar>
              <w:top w:w="80" w:type="dxa"/>
              <w:bottom w:w="80" w:type="dxa"/>
              <w:start w:w="120" w:type="dxa"/>
              <w:end w:w="120" w:type="dxa"/>
            </w:tcMar>
            <w:vAlign w:val="center"/>
          </w:tcPr>
          <w:p>
            <w:pPr>
              <w:spacing w:before="0" w:after="0" w:line="269" w:lineRule="auto"/>
              <w:jc w:val="center"/>
            </w:pPr>
            <w:r/>
            <w:r>
              <w:rPr>
                <w:rFonts w:ascii="Consolas" w:hAnsi="Consolas"/>
                <w:color w:val="1F4D78"/>
                <w:sz w:val="15"/>
                <w:shd w:fill="EEF1F4"/>
              </w:rPr>
              <w:t>LPE(18:0)_A</w:t>
            </w:r>
          </w:p>
        </w:tc>
        <w:tc>
          <w:tcPr>
            <w:tcW w:type="dxa" w:w="1598"/>
            <w:tcMar>
              <w:top w:w="80" w:type="dxa"/>
              <w:bottom w:w="80" w:type="dxa"/>
              <w:start w:w="120" w:type="dxa"/>
              <w:end w:w="120" w:type="dxa"/>
            </w:tcMar>
            <w:vAlign w:val="center"/>
          </w:tcPr>
          <w:p>
            <w:pPr>
              <w:spacing w:before="0" w:after="0" w:line="269" w:lineRule="auto"/>
              <w:jc w:val="center"/>
            </w:pPr>
            <w:r/>
            <w:r>
              <w:rPr>
                <w:rFonts w:ascii="Consolas" w:hAnsi="Consolas"/>
                <w:color w:val="1F4D78"/>
                <w:sz w:val="15"/>
                <w:shd w:fill="EEF1F4"/>
              </w:rPr>
              <w:t>LPE 18:0</w:t>
            </w:r>
          </w:p>
        </w:tc>
        <w:tc>
          <w:tcPr>
            <w:tcW w:type="dxa" w:w="2349"/>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 xml:space="preserve">Does </w:t>
            </w:r>
            <w:r>
              <w:rPr>
                <w:rFonts w:ascii="Consolas" w:hAnsi="Consolas"/>
                <w:color w:val="1F4D78"/>
                <w:sz w:val="15"/>
                <w:shd w:fill="EEF1F4"/>
              </w:rPr>
              <w:t>_A</w:t>
            </w:r>
            <w:r>
              <w:rPr>
                <w:rFonts w:ascii="Calibri" w:hAnsi="Calibri"/>
                <w:color w:val="222222"/>
                <w:sz w:val="16"/>
              </w:rPr>
              <w:t xml:space="preserve"> distinguish a separate source feature, and is sum composition the supported resolution?</w:t>
            </w:r>
          </w:p>
        </w:tc>
        <w:tc>
          <w:tcPr>
            <w:tcW w:type="dxa" w:w="2352"/>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Preserve feature; accepted set key only after review</w:t>
            </w:r>
          </w:p>
        </w:tc>
      </w:tr>
      <w:tr>
        <w:trPr>
          <w:cantSplit w:val="true"/>
        </w:trPr>
        <w:tc>
          <w:tcPr>
            <w:tcW w:type="dxa" w:w="1437"/>
            <w:tcMar>
              <w:top w:w="80" w:type="dxa"/>
              <w:bottom w:w="80" w:type="dxa"/>
              <w:start w:w="120" w:type="dxa"/>
              <w:end w:w="120" w:type="dxa"/>
            </w:tcMar>
            <w:vAlign w:val="center"/>
          </w:tcPr>
          <w:p>
            <w:pPr>
              <w:spacing w:before="0" w:after="0" w:line="269" w:lineRule="auto"/>
              <w:jc w:val="left"/>
            </w:pPr>
            <w:r/>
            <w:r>
              <w:rPr>
                <w:rFonts w:ascii="Consolas" w:hAnsi="Consolas"/>
                <w:color w:val="1F4D78"/>
                <w:sz w:val="15"/>
                <w:shd w:fill="EEF1F4"/>
              </w:rPr>
              <w:t>ST001521</w:t>
            </w:r>
            <w:r>
              <w:rPr>
                <w:rFonts w:ascii="Calibri" w:hAnsi="Calibri"/>
                <w:color w:val="222222"/>
                <w:sz w:val="16"/>
              </w:rPr>
              <w:t>, AN002533</w:t>
            </w:r>
          </w:p>
        </w:tc>
        <w:tc>
          <w:tcPr>
            <w:tcW w:type="dxa" w:w="1624"/>
            <w:tcMar>
              <w:top w:w="80" w:type="dxa"/>
              <w:bottom w:w="80" w:type="dxa"/>
              <w:start w:w="120" w:type="dxa"/>
              <w:end w:w="120" w:type="dxa"/>
            </w:tcMar>
            <w:vAlign w:val="center"/>
          </w:tcPr>
          <w:p>
            <w:pPr>
              <w:spacing w:before="0" w:after="0" w:line="269" w:lineRule="auto"/>
              <w:jc w:val="left"/>
            </w:pPr>
            <w:r/>
            <w:r>
              <w:rPr>
                <w:rFonts w:ascii="Consolas" w:hAnsi="Consolas"/>
                <w:color w:val="1F4D78"/>
                <w:sz w:val="15"/>
                <w:shd w:fill="EEF1F4"/>
              </w:rPr>
              <w:t>LPC(P-18:0)/LPC(O-18:1)_A</w:t>
            </w:r>
          </w:p>
        </w:tc>
        <w:tc>
          <w:tcPr>
            <w:tcW w:type="dxa" w:w="1598"/>
            <w:tcMar>
              <w:top w:w="80" w:type="dxa"/>
              <w:bottom w:w="80" w:type="dxa"/>
              <w:start w:w="120" w:type="dxa"/>
              <w:end w:w="120" w:type="dxa"/>
            </w:tcMar>
            <w:vAlign w:val="center"/>
          </w:tcPr>
          <w:p>
            <w:pPr>
              <w:spacing w:before="0" w:after="0" w:line="269" w:lineRule="auto"/>
              <w:jc w:val="left"/>
            </w:pPr>
            <w:r/>
            <w:r>
              <w:rPr>
                <w:rFonts w:ascii="Consolas" w:hAnsi="Consolas"/>
                <w:color w:val="1F4D78"/>
                <w:sz w:val="15"/>
                <w:shd w:fill="EEF1F4"/>
              </w:rPr>
              <w:t>LPC P-18:0 or LPC O-18:1</w:t>
            </w:r>
          </w:p>
        </w:tc>
        <w:tc>
          <w:tcPr>
            <w:tcW w:type="dxa" w:w="2349"/>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Is the unresolved ether-lipid alternative preserved?</w:t>
            </w:r>
          </w:p>
        </w:tc>
        <w:tc>
          <w:tcPr>
            <w:tcW w:type="dxa" w:w="2352"/>
            <w:tcMar>
              <w:top w:w="80" w:type="dxa"/>
              <w:bottom w:w="80" w:type="dxa"/>
              <w:start w:w="120" w:type="dxa"/>
              <w:end w:w="120" w:type="dxa"/>
            </w:tcMar>
            <w:vAlign w:val="center"/>
          </w:tcPr>
          <w:p>
            <w:pPr>
              <w:spacing w:before="0" w:after="0" w:line="269" w:lineRule="auto"/>
              <w:jc w:val="left"/>
            </w:pPr>
            <w:r/>
            <w:r>
              <w:rPr>
                <w:rFonts w:ascii="Consolas" w:hAnsi="Consolas"/>
                <w:color w:val="1F4D78"/>
                <w:sz w:val="15"/>
                <w:shd w:fill="EEF1F4"/>
              </w:rPr>
              <w:t>accepted_broader</w:t>
            </w:r>
            <w:r>
              <w:rPr>
                <w:rFonts w:ascii="Calibri" w:hAnsi="Calibri"/>
                <w:color w:val="222222"/>
                <w:sz w:val="16"/>
              </w:rPr>
              <w:t xml:space="preserve"> for class/species purposes, not a unique structure</w:t>
            </w:r>
          </w:p>
        </w:tc>
      </w:tr>
      <w:tr>
        <w:trPr>
          <w:cantSplit w:val="true"/>
        </w:trPr>
        <w:tc>
          <w:tcPr>
            <w:tcW w:type="dxa" w:w="1437"/>
            <w:tcMar>
              <w:top w:w="80" w:type="dxa"/>
              <w:bottom w:w="80" w:type="dxa"/>
              <w:start w:w="120" w:type="dxa"/>
              <w:end w:w="120" w:type="dxa"/>
            </w:tcMar>
            <w:vAlign w:val="center"/>
          </w:tcPr>
          <w:p>
            <w:pPr>
              <w:spacing w:before="0" w:after="0" w:line="269" w:lineRule="auto"/>
              <w:jc w:val="left"/>
            </w:pPr>
            <w:r/>
            <w:r>
              <w:rPr>
                <w:rFonts w:ascii="Consolas" w:hAnsi="Consolas"/>
                <w:color w:val="1F4D78"/>
                <w:sz w:val="15"/>
                <w:shd w:fill="EEF1F4"/>
              </w:rPr>
              <w:t>ST003348</w:t>
            </w:r>
            <w:r>
              <w:rPr>
                <w:rFonts w:ascii="Calibri" w:hAnsi="Calibri"/>
                <w:color w:val="222222"/>
                <w:sz w:val="16"/>
              </w:rPr>
              <w:t>, AN005484</w:t>
            </w:r>
          </w:p>
        </w:tc>
        <w:tc>
          <w:tcPr>
            <w:tcW w:type="dxa" w:w="1624"/>
            <w:tcMar>
              <w:top w:w="80" w:type="dxa"/>
              <w:bottom w:w="80" w:type="dxa"/>
              <w:start w:w="120" w:type="dxa"/>
              <w:end w:w="120" w:type="dxa"/>
            </w:tcMar>
            <w:vAlign w:val="center"/>
          </w:tcPr>
          <w:p>
            <w:pPr>
              <w:spacing w:before="0" w:after="0" w:line="269" w:lineRule="auto"/>
              <w:jc w:val="left"/>
            </w:pPr>
            <w:r/>
            <w:r>
              <w:rPr>
                <w:rFonts w:ascii="Consolas" w:hAnsi="Consolas"/>
                <w:color w:val="1F4D78"/>
                <w:sz w:val="15"/>
                <w:shd w:fill="EEF1F4"/>
              </w:rPr>
              <w:t>Mannitol+Sorbitol</w:t>
            </w:r>
          </w:p>
        </w:tc>
        <w:tc>
          <w:tcPr>
            <w:tcW w:type="dxa" w:w="1598"/>
            <w:tcMar>
              <w:top w:w="80" w:type="dxa"/>
              <w:bottom w:w="80" w:type="dxa"/>
              <w:start w:w="120" w:type="dxa"/>
              <w:end w:w="120" w:type="dxa"/>
            </w:tcMar>
            <w:vAlign w:val="center"/>
          </w:tcPr>
          <w:p>
            <w:pPr>
              <w:spacing w:before="0" w:after="0" w:line="269" w:lineRule="auto"/>
              <w:jc w:val="center"/>
            </w:pPr>
            <w:r/>
            <w:r>
              <w:rPr>
                <w:rFonts w:ascii="Consolas" w:hAnsi="Consolas"/>
                <w:color w:val="1F4D78"/>
                <w:sz w:val="15"/>
                <w:shd w:fill="EEF1F4"/>
              </w:rPr>
              <w:t>Mannitol</w:t>
            </w:r>
          </w:p>
        </w:tc>
        <w:tc>
          <w:tcPr>
            <w:tcW w:type="dxa" w:w="2349"/>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Has a composite/isomeric label been narrowed without support?</w:t>
            </w:r>
          </w:p>
        </w:tc>
        <w:tc>
          <w:tcPr>
            <w:tcW w:type="dxa" w:w="2352"/>
            <w:tcMar>
              <w:top w:w="80" w:type="dxa"/>
              <w:bottom w:w="80" w:type="dxa"/>
              <w:start w:w="120" w:type="dxa"/>
              <w:end w:w="120" w:type="dxa"/>
            </w:tcMar>
            <w:vAlign w:val="center"/>
          </w:tcPr>
          <w:p>
            <w:pPr>
              <w:spacing w:before="0" w:after="0" w:line="269" w:lineRule="auto"/>
              <w:jc w:val="center"/>
            </w:pPr>
            <w:r/>
            <w:r>
              <w:rPr>
                <w:rFonts w:ascii="Consolas" w:hAnsi="Consolas"/>
                <w:color w:val="1F4D78"/>
                <w:sz w:val="15"/>
                <w:shd w:fill="EEF1F4"/>
              </w:rPr>
              <w:t>review_required</w:t>
            </w:r>
          </w:p>
        </w:tc>
      </w:tr>
      <w:tr>
        <w:trPr>
          <w:cantSplit w:val="true"/>
        </w:trPr>
        <w:tc>
          <w:tcPr>
            <w:tcW w:type="dxa" w:w="1437"/>
            <w:tcMar>
              <w:top w:w="80" w:type="dxa"/>
              <w:bottom w:w="80" w:type="dxa"/>
              <w:start w:w="120" w:type="dxa"/>
              <w:end w:w="120" w:type="dxa"/>
            </w:tcMar>
            <w:vAlign w:val="center"/>
          </w:tcPr>
          <w:p>
            <w:pPr>
              <w:spacing w:before="0" w:after="0" w:line="269" w:lineRule="auto"/>
              <w:jc w:val="left"/>
            </w:pPr>
            <w:r/>
            <w:r>
              <w:rPr>
                <w:rFonts w:ascii="Consolas" w:hAnsi="Consolas"/>
                <w:color w:val="1F4D78"/>
                <w:sz w:val="15"/>
                <w:shd w:fill="EEF1F4"/>
              </w:rPr>
              <w:t>ST003348</w:t>
            </w:r>
            <w:r>
              <w:rPr>
                <w:rFonts w:ascii="Calibri" w:hAnsi="Calibri"/>
                <w:color w:val="222222"/>
                <w:sz w:val="16"/>
              </w:rPr>
              <w:t>, AN005484</w:t>
            </w:r>
          </w:p>
        </w:tc>
        <w:tc>
          <w:tcPr>
            <w:tcW w:type="dxa" w:w="1624"/>
            <w:tcMar>
              <w:top w:w="80" w:type="dxa"/>
              <w:bottom w:w="80" w:type="dxa"/>
              <w:start w:w="120" w:type="dxa"/>
              <w:end w:w="120" w:type="dxa"/>
            </w:tcMar>
            <w:vAlign w:val="center"/>
          </w:tcPr>
          <w:p>
            <w:pPr>
              <w:spacing w:before="0" w:after="0" w:line="269" w:lineRule="auto"/>
              <w:jc w:val="center"/>
            </w:pPr>
            <w:r/>
            <w:r>
              <w:rPr>
                <w:rFonts w:ascii="Consolas" w:hAnsi="Consolas"/>
                <w:color w:val="1F4D78"/>
                <w:sz w:val="15"/>
                <w:shd w:fill="EEF1F4"/>
              </w:rPr>
              <w:t>NegX-RT295MZ165</w:t>
            </w:r>
          </w:p>
        </w:tc>
        <w:tc>
          <w:tcPr>
            <w:tcW w:type="dxa" w:w="1598"/>
            <w:tcMar>
              <w:top w:w="80" w:type="dxa"/>
              <w:bottom w:w="80" w:type="dxa"/>
              <w:start w:w="120" w:type="dxa"/>
              <w:end w:w="120" w:type="dxa"/>
            </w:tcMar>
            <w:vAlign w:val="center"/>
          </w:tcPr>
          <w:p>
            <w:pPr>
              <w:spacing w:before="0" w:after="0" w:line="269" w:lineRule="auto"/>
              <w:jc w:val="center"/>
            </w:pPr>
            <w:r/>
            <w:r>
              <w:rPr>
                <w:rFonts w:ascii="Calibri" w:hAnsi="Calibri"/>
                <w:color w:val="222222"/>
                <w:sz w:val="16"/>
              </w:rPr>
              <w:t>blank</w:t>
            </w:r>
          </w:p>
        </w:tc>
        <w:tc>
          <w:tcPr>
            <w:tcW w:type="dxa" w:w="2349"/>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Is this an unidentified feature?</w:t>
            </w:r>
          </w:p>
        </w:tc>
        <w:tc>
          <w:tcPr>
            <w:tcW w:type="dxa" w:w="2352"/>
            <w:tcMar>
              <w:top w:w="80" w:type="dxa"/>
              <w:bottom w:w="80" w:type="dxa"/>
              <w:start w:w="120" w:type="dxa"/>
              <w:end w:w="120" w:type="dxa"/>
            </w:tcMar>
            <w:vAlign w:val="center"/>
          </w:tcPr>
          <w:p>
            <w:pPr>
              <w:spacing w:before="0" w:after="0" w:line="269" w:lineRule="auto"/>
              <w:jc w:val="left"/>
            </w:pPr>
            <w:r/>
            <w:r>
              <w:rPr>
                <w:rFonts w:ascii="Consolas" w:hAnsi="Consolas"/>
                <w:color w:val="1F4D78"/>
                <w:sz w:val="15"/>
                <w:shd w:fill="EEF1F4"/>
              </w:rPr>
              <w:t>unmapped</w:t>
            </w:r>
            <w:r>
              <w:rPr>
                <w:rFonts w:ascii="Calibri" w:hAnsi="Calibri"/>
                <w:color w:val="222222"/>
                <w:sz w:val="16"/>
              </w:rPr>
              <w:t>; do not name from mass alone</w:t>
            </w:r>
          </w:p>
        </w:tc>
      </w:tr>
      <w:tr>
        <w:trPr>
          <w:cantSplit w:val="true"/>
        </w:trPr>
        <w:tc>
          <w:tcPr>
            <w:tcW w:type="dxa" w:w="1437"/>
            <w:tcMar>
              <w:top w:w="80" w:type="dxa"/>
              <w:bottom w:w="80" w:type="dxa"/>
              <w:start w:w="120" w:type="dxa"/>
              <w:end w:w="120" w:type="dxa"/>
            </w:tcMar>
            <w:vAlign w:val="center"/>
          </w:tcPr>
          <w:p>
            <w:pPr>
              <w:spacing w:before="0" w:after="0" w:line="269" w:lineRule="auto"/>
              <w:jc w:val="left"/>
            </w:pPr>
            <w:r/>
            <w:r>
              <w:rPr>
                <w:rFonts w:ascii="Consolas" w:hAnsi="Consolas"/>
                <w:color w:val="1F4D78"/>
                <w:sz w:val="15"/>
                <w:shd w:fill="EEF1F4"/>
              </w:rPr>
              <w:t>ST003348</w:t>
            </w:r>
            <w:r>
              <w:rPr>
                <w:rFonts w:ascii="Calibri" w:hAnsi="Calibri"/>
                <w:color w:val="222222"/>
                <w:sz w:val="16"/>
              </w:rPr>
              <w:t>, AN005484</w:t>
            </w:r>
          </w:p>
        </w:tc>
        <w:tc>
          <w:tcPr>
            <w:tcW w:type="dxa" w:w="1624"/>
            <w:tcMar>
              <w:top w:w="80" w:type="dxa"/>
              <w:bottom w:w="80" w:type="dxa"/>
              <w:start w:w="120" w:type="dxa"/>
              <w:end w:w="120" w:type="dxa"/>
            </w:tcMar>
            <w:vAlign w:val="center"/>
          </w:tcPr>
          <w:p>
            <w:pPr>
              <w:spacing w:before="0" w:after="0" w:line="269" w:lineRule="auto"/>
              <w:jc w:val="left"/>
            </w:pPr>
            <w:r/>
            <w:r>
              <w:rPr>
                <w:rFonts w:ascii="Consolas" w:hAnsi="Consolas"/>
                <w:color w:val="1F4D78"/>
                <w:sz w:val="15"/>
                <w:shd w:fill="EEF1F4"/>
              </w:rPr>
              <w:t>Palmitic acid-[13C]16</w:t>
            </w:r>
          </w:p>
        </w:tc>
        <w:tc>
          <w:tcPr>
            <w:tcW w:type="dxa" w:w="1598"/>
            <w:tcMar>
              <w:top w:w="80" w:type="dxa"/>
              <w:bottom w:w="80" w:type="dxa"/>
              <w:start w:w="120" w:type="dxa"/>
              <w:end w:w="120" w:type="dxa"/>
            </w:tcMar>
            <w:vAlign w:val="center"/>
          </w:tcPr>
          <w:p>
            <w:pPr>
              <w:spacing w:before="0" w:after="0" w:line="269" w:lineRule="auto"/>
              <w:jc w:val="center"/>
            </w:pPr>
            <w:r/>
            <w:r>
              <w:rPr>
                <w:rFonts w:ascii="Consolas" w:hAnsi="Consolas"/>
                <w:color w:val="1F4D78"/>
                <w:sz w:val="15"/>
                <w:shd w:fill="EEF1F4"/>
              </w:rPr>
              <w:t>Palmitic acid</w:t>
            </w:r>
          </w:p>
        </w:tc>
        <w:tc>
          <w:tcPr>
            <w:tcW w:type="dxa" w:w="2349"/>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Is the source an isotope-labeled analytical standard rather than endogenous palmitic acid?</w:t>
            </w:r>
          </w:p>
        </w:tc>
        <w:tc>
          <w:tcPr>
            <w:tcW w:type="dxa" w:w="2352"/>
            <w:tcMar>
              <w:top w:w="80" w:type="dxa"/>
              <w:bottom w:w="80" w:type="dxa"/>
              <w:start w:w="120" w:type="dxa"/>
              <w:end w:w="120" w:type="dxa"/>
            </w:tcMar>
            <w:vAlign w:val="center"/>
          </w:tcPr>
          <w:p>
            <w:pPr>
              <w:spacing w:before="0" w:after="0" w:line="269" w:lineRule="auto"/>
              <w:jc w:val="left"/>
            </w:pPr>
            <w:r/>
            <w:r>
              <w:rPr>
                <w:rFonts w:ascii="Consolas" w:hAnsi="Consolas"/>
                <w:color w:val="1F4D78"/>
                <w:sz w:val="15"/>
                <w:shd w:fill="EEF1F4"/>
              </w:rPr>
              <w:t>excluded_nonbiological</w:t>
            </w:r>
            <w:r>
              <w:rPr>
                <w:rFonts w:ascii="Calibri" w:hAnsi="Calibri"/>
                <w:color w:val="222222"/>
                <w:sz w:val="16"/>
              </w:rPr>
              <w:t xml:space="preserve"> for biological overlap</w:t>
            </w:r>
          </w:p>
        </w:tc>
      </w:tr>
    </w:tbl>
    <w:p>
      <w:pPr>
        <w:spacing w:before="0" w:after="40"/>
      </w:pPr>
    </w:p>
    <w:p>
      <w:r>
        <w:rPr>
          <w:rFonts w:ascii="Calibri" w:hAnsi="Calibri"/>
          <w:color w:val="222222"/>
        </w:rPr>
        <w:t xml:space="preserve">The last row shows why a nonblank standardized field is not automatically eligible. In the audited build, eight </w:t>
      </w:r>
      <w:r>
        <w:rPr>
          <w:rFonts w:ascii="Consolas" w:hAnsi="Consolas"/>
          <w:color w:val="1F4D78"/>
          <w:sz w:val="21"/>
          <w:shd w:fill="EEF1F4"/>
        </w:rPr>
        <w:t>ST003348</w:t>
      </w:r>
      <w:r>
        <w:rPr>
          <w:rFonts w:ascii="Calibri" w:hAnsi="Calibri"/>
          <w:color w:val="222222"/>
        </w:rPr>
        <w:t xml:space="preserve"> isotope/internal-standard rows map to ordinary RefMet labels; excluding them reduces the raw exact-name overlap from 153 to a conservative biological overlap of 145.</w:t>
      </w:r>
    </w:p>
    <w:p>
      <w:pPr>
        <w:pStyle w:val="Heading2"/>
      </w:pPr>
      <w:r>
        <w:rPr>
          <w:rFonts w:ascii="Calibri" w:hAnsi="Calibri"/>
          <w:color w:val="222222"/>
        </w:rPr>
        <w:t>5. mwTab as an evidence map</w:t>
      </w:r>
    </w:p>
    <w:p>
      <w:r>
        <w:rPr>
          <w:rFonts w:ascii="Calibri" w:hAnsi="Calibri"/>
          <w:color w:val="222222"/>
        </w:rPr>
        <w:t>An mwTab record is sectioned rather than a single flat data frame. Typical content includes project and study descriptions; subject and sample factors; collection and sample-preparation protocols; chromatography and instrument metadata; and a metabolite-data block. Presence and completeness vary by record and analysis.</w:t>
      </w:r>
    </w:p>
    <w:p>
      <w:r>
        <w:rPr>
          <w:rFonts w:ascii="Calibri" w:hAnsi="Calibri"/>
          <w:color w:val="222222"/>
        </w:rPr>
        <w:t>For the configured studies, retrieve at least the following after substituting each variable's locked value:</w:t>
      </w:r>
    </w:p>
    <w:p>
      <w:pPr>
        <w:keepNext/>
        <w:keepLines/>
        <w:spacing w:before="0" w:after="0" w:line="240" w:lineRule="auto"/>
        <w:ind w:left="259" w:right="72"/>
        <w:shd w:fill="F3F5F7"/>
        <w:pBdr>
          <w:left w:val="single" w:sz="16" w:space="8" w:color="B8C3CC"/>
        </w:pBdr>
      </w:pPr>
      <w:r>
        <w:rPr>
          <w:rFonts w:ascii="Consolas" w:hAnsi="Consolas"/>
          <w:color w:val="24313B"/>
          <w:sz w:val="16"/>
        </w:rPr>
        <w:t>/rest/study/study_id/{DIET_ACCESSION}/summary</w:t>
      </w:r>
    </w:p>
    <w:p>
      <w:pPr>
        <w:keepNext/>
        <w:keepLines/>
        <w:spacing w:before="0" w:after="0" w:line="240" w:lineRule="auto"/>
        <w:ind w:left="259" w:right="72"/>
        <w:shd w:fill="F3F5F7"/>
        <w:pBdr>
          <w:left w:val="single" w:sz="16" w:space="8" w:color="B8C3CC"/>
        </w:pBdr>
      </w:pPr>
      <w:r>
        <w:rPr>
          <w:rFonts w:ascii="Consolas" w:hAnsi="Consolas"/>
          <w:color w:val="24313B"/>
          <w:sz w:val="16"/>
        </w:rPr>
        <w:t>/rest/study/study_id/{DIET_ACCESSION}/factors</w:t>
      </w:r>
    </w:p>
    <w:p>
      <w:pPr>
        <w:keepNext/>
        <w:keepLines/>
        <w:spacing w:before="0" w:after="0" w:line="240" w:lineRule="auto"/>
        <w:ind w:left="259" w:right="72"/>
        <w:shd w:fill="F3F5F7"/>
        <w:pBdr>
          <w:left w:val="single" w:sz="16" w:space="8" w:color="B8C3CC"/>
        </w:pBdr>
      </w:pPr>
      <w:r>
        <w:rPr>
          <w:rFonts w:ascii="Consolas" w:hAnsi="Consolas"/>
          <w:color w:val="24313B"/>
          <w:sz w:val="16"/>
        </w:rPr>
        <w:t>/rest/study/study_id/{DIET_ACCESSION}/analysis</w:t>
      </w:r>
    </w:p>
    <w:p>
      <w:pPr>
        <w:keepNext/>
        <w:keepLines/>
        <w:spacing w:before="0" w:after="0" w:line="240" w:lineRule="auto"/>
        <w:ind w:left="259" w:right="72"/>
        <w:shd w:fill="F3F5F7"/>
        <w:pBdr>
          <w:left w:val="single" w:sz="16" w:space="8" w:color="B8C3CC"/>
        </w:pBdr>
      </w:pPr>
      <w:r>
        <w:rPr>
          <w:rFonts w:ascii="Consolas" w:hAnsi="Consolas"/>
          <w:color w:val="24313B"/>
          <w:sz w:val="16"/>
        </w:rPr>
        <w:t>/rest/study/study_id/{DIET_ACCESSION}/metabolites</w:t>
      </w:r>
    </w:p>
    <w:p>
      <w:pPr>
        <w:keepNext w:val="0"/>
        <w:keepLines/>
        <w:spacing w:before="0" w:after="120" w:line="240" w:lineRule="auto"/>
        <w:ind w:left="259" w:right="72"/>
        <w:shd w:fill="F3F5F7"/>
        <w:pBdr>
          <w:left w:val="single" w:sz="16" w:space="8" w:color="B8C3CC"/>
        </w:pBdr>
      </w:pPr>
      <w:r>
        <w:rPr>
          <w:rFonts w:ascii="Consolas" w:hAnsi="Consolas"/>
          <w:color w:val="24313B"/>
          <w:sz w:val="16"/>
        </w:rPr>
        <w:t>/rest/study/study_id/{DIET_ACCESSION}/data</w:t>
      </w:r>
    </w:p>
    <w:p>
      <w:r>
        <w:rPr>
          <w:rFonts w:ascii="Calibri" w:hAnsi="Calibri"/>
          <w:color w:val="222222"/>
        </w:rPr>
        <w:t xml:space="preserve">Repeat with </w:t>
      </w:r>
      <w:r>
        <w:rPr>
          <w:rFonts w:ascii="Consolas" w:hAnsi="Consolas"/>
          <w:color w:val="1F4D78"/>
          <w:sz w:val="21"/>
          <w:shd w:fill="EEF1F4"/>
        </w:rPr>
        <w:t>{EXERCISE_ACCESSION}</w:t>
      </w:r>
      <w:r>
        <w:rPr>
          <w:rFonts w:ascii="Calibri" w:hAnsi="Calibri"/>
          <w:color w:val="222222"/>
        </w:rPr>
        <w:t>. Retrieve each selected analysis as mwTab when analysis-specific evidence is needed:</w:t>
      </w:r>
    </w:p>
    <w:p>
      <w:pPr>
        <w:keepNext w:val="0"/>
        <w:keepLines/>
        <w:spacing w:before="0" w:after="120" w:line="240" w:lineRule="auto"/>
        <w:ind w:left="259" w:right="72"/>
        <w:shd w:fill="F3F5F7"/>
        <w:pBdr>
          <w:left w:val="single" w:sz="16" w:space="8" w:color="B8C3CC"/>
        </w:pBdr>
      </w:pPr>
      <w:r>
        <w:rPr>
          <w:rFonts w:ascii="Consolas" w:hAnsi="Consolas"/>
          <w:color w:val="24313B"/>
          <w:sz w:val="16"/>
        </w:rPr>
        <w:t>/rest/study/analysis_id/{ANALYSIS_ID}/mwtab</w:t>
      </w:r>
    </w:p>
    <w:p>
      <w:r>
        <w:rPr>
          <w:rFonts w:ascii="Calibri" w:hAnsi="Calibri"/>
          <w:color w:val="222222"/>
        </w:rPr>
        <w:t>Do not assume the shape of a response from the endpoint name. Inspect the returned keys, status code, and content type. A successful HTTP response can still contain an unexpected schema or an error message encoded as text.</w:t>
      </w:r>
    </w:p>
    <w:p>
      <w:pPr>
        <w:pStyle w:val="Heading3"/>
      </w:pPr>
      <w:r>
        <w:rPr>
          <w:rFonts w:ascii="Calibri" w:hAnsi="Calibri"/>
          <w:color w:val="222222"/>
        </w:rPr>
        <w:t>Provenance minimum</w:t>
      </w:r>
    </w:p>
    <w:p>
      <w:r>
        <w:rPr>
          <w:rFonts w:ascii="Calibri" w:hAnsi="Calibri"/>
          <w:color w:val="222222"/>
        </w:rPr>
        <w:t>Every crosswalk row must be traceable to:</w:t>
      </w:r>
    </w:p>
    <w:p>
      <w:pPr>
        <w:numPr>
          <w:ilvl w:val="0"/>
          <w:numId w:val="42"/>
        </w:numPr>
        <w:spacing w:after="80" w:line="300" w:lineRule="auto"/>
      </w:pPr>
      <w:r>
        <w:rPr>
          <w:rFonts w:ascii="Calibri" w:hAnsi="Calibri"/>
          <w:color w:val="222222"/>
        </w:rPr>
        <w:t>Repository and base URL.</w:t>
      </w:r>
    </w:p>
    <w:p>
      <w:pPr>
        <w:numPr>
          <w:ilvl w:val="0"/>
          <w:numId w:val="42"/>
        </w:numPr>
        <w:spacing w:after="80" w:line="300" w:lineRule="auto"/>
      </w:pPr>
      <w:r>
        <w:rPr>
          <w:rFonts w:ascii="Calibri" w:hAnsi="Calibri"/>
          <w:color w:val="222222"/>
        </w:rPr>
        <w:t>Study accession and analysis identifier.</w:t>
      </w:r>
    </w:p>
    <w:p>
      <w:pPr>
        <w:numPr>
          <w:ilvl w:val="0"/>
          <w:numId w:val="42"/>
        </w:numPr>
        <w:spacing w:after="80" w:line="300" w:lineRule="auto"/>
      </w:pPr>
      <w:r>
        <w:rPr>
          <w:rFonts w:ascii="Calibri" w:hAnsi="Calibri"/>
          <w:color w:val="222222"/>
        </w:rPr>
        <w:t>Exact endpoint or source file.</w:t>
      </w:r>
    </w:p>
    <w:p>
      <w:pPr>
        <w:numPr>
          <w:ilvl w:val="0"/>
          <w:numId w:val="42"/>
        </w:numPr>
        <w:spacing w:after="80" w:line="300" w:lineRule="auto"/>
      </w:pPr>
      <w:r>
        <w:rPr>
          <w:rFonts w:ascii="Calibri" w:hAnsi="Calibri"/>
          <w:color w:val="222222"/>
        </w:rPr>
        <w:t>Retrieval timestamp in UTC.</w:t>
      </w:r>
    </w:p>
    <w:p>
      <w:pPr>
        <w:numPr>
          <w:ilvl w:val="0"/>
          <w:numId w:val="42"/>
        </w:numPr>
        <w:spacing w:after="80" w:line="300" w:lineRule="auto"/>
      </w:pPr>
      <w:r>
        <w:rPr>
          <w:rFonts w:ascii="Calibri" w:hAnsi="Calibri"/>
          <w:color w:val="222222"/>
        </w:rPr>
        <w:t>Original label and source identifier.</w:t>
      </w:r>
    </w:p>
    <w:p>
      <w:pPr>
        <w:numPr>
          <w:ilvl w:val="0"/>
          <w:numId w:val="42"/>
        </w:numPr>
        <w:spacing w:after="80" w:line="300" w:lineRule="auto"/>
      </w:pPr>
      <w:r>
        <w:rPr>
          <w:rFonts w:ascii="Calibri" w:hAnsi="Calibri"/>
          <w:color w:val="222222"/>
        </w:rPr>
        <w:t>Mapping service and query string.</w:t>
      </w:r>
    </w:p>
    <w:p>
      <w:pPr>
        <w:numPr>
          <w:ilvl w:val="0"/>
          <w:numId w:val="42"/>
        </w:numPr>
        <w:spacing w:after="80" w:line="300" w:lineRule="auto"/>
      </w:pPr>
      <w:r>
        <w:rPr>
          <w:rFonts w:ascii="Calibri" w:hAnsi="Calibri"/>
          <w:color w:val="222222"/>
        </w:rPr>
        <w:t>Mapping result and review decision.</w:t>
      </w:r>
    </w:p>
    <w:p>
      <w:pPr>
        <w:numPr>
          <w:ilvl w:val="0"/>
          <w:numId w:val="42"/>
        </w:numPr>
        <w:spacing w:after="80" w:line="300" w:lineRule="auto"/>
      </w:pPr>
      <w:r>
        <w:rPr>
          <w:rFonts w:ascii="Calibri" w:hAnsi="Calibri"/>
          <w:color w:val="222222"/>
        </w:rPr>
        <w:t>Reviewer or automated rule version.</w:t>
      </w:r>
    </w:p>
    <w:p>
      <w:r>
        <w:rPr>
          <w:rFonts w:ascii="Calibri" w:hAnsi="Calibri"/>
          <w:color w:val="222222"/>
        </w:rPr>
        <w:t>These fields make the crosswalk reusable and support FAIR principles of findability, interoperability, and reuse.</w:t>
      </w:r>
    </w:p>
    <w:p>
      <w:pPr>
        <w:pStyle w:val="Heading2"/>
      </w:pPr>
      <w:r>
        <w:rPr>
          <w:rFonts w:ascii="Calibri" w:hAnsi="Calibri"/>
          <w:color w:val="222222"/>
        </w:rPr>
        <w:t>6. Harmonizing specimen and time metadata</w:t>
      </w:r>
    </w:p>
    <w:p>
      <w:r>
        <w:rPr>
          <w:rFonts w:ascii="Calibri" w:hAnsi="Calibri"/>
          <w:color w:val="222222"/>
        </w:rPr>
        <w:t>Metabolite-name mapping is only one part of the crosswalk.</w:t>
      </w:r>
    </w:p>
    <w:p>
      <w:pPr>
        <w:pStyle w:val="Heading3"/>
      </w:pPr>
      <w:r>
        <w:rPr>
          <w:rFonts w:ascii="Calibri" w:hAnsi="Calibri"/>
          <w:color w:val="222222"/>
        </w:rPr>
        <w:t>Specimen crosswalk</w:t>
      </w:r>
    </w:p>
    <w:p>
      <w:r>
        <w:rPr>
          <w:rFonts w:ascii="Calibri" w:hAnsi="Calibri"/>
          <w:color w:val="222222"/>
        </w:rPr>
        <w:t>Keep at least three fields:</w:t>
      </w:r>
    </w:p>
    <w:p>
      <w:pPr>
        <w:numPr>
          <w:ilvl w:val="0"/>
          <w:numId w:val="43"/>
        </w:numPr>
        <w:spacing w:after="80" w:line="300" w:lineRule="auto"/>
      </w:pPr>
      <w:r>
        <w:rPr>
          <w:rFonts w:ascii="Consolas" w:hAnsi="Consolas"/>
          <w:color w:val="1F4D78"/>
          <w:sz w:val="21"/>
          <w:shd w:fill="EEF1F4"/>
        </w:rPr>
        <w:t>source_specimen_label</w:t>
      </w:r>
      <w:r>
        <w:rPr>
          <w:rFonts w:ascii="Calibri" w:hAnsi="Calibri"/>
          <w:color w:val="222222"/>
        </w:rPr>
        <w:t>: exact deposited value.</w:t>
      </w:r>
    </w:p>
    <w:p>
      <w:pPr>
        <w:numPr>
          <w:ilvl w:val="0"/>
          <w:numId w:val="43"/>
        </w:numPr>
        <w:spacing w:after="80" w:line="300" w:lineRule="auto"/>
      </w:pPr>
      <w:r>
        <w:rPr>
          <w:rFonts w:ascii="Consolas" w:hAnsi="Consolas"/>
          <w:color w:val="1F4D78"/>
          <w:sz w:val="21"/>
          <w:shd w:fill="EEF1F4"/>
        </w:rPr>
        <w:t>normalized_specimen_category</w:t>
      </w:r>
      <w:r>
        <w:rPr>
          <w:rFonts w:ascii="Calibri" w:hAnsi="Calibri"/>
          <w:color w:val="222222"/>
        </w:rPr>
        <w:t>: a controlled broader category used for a specific purpose.</w:t>
      </w:r>
    </w:p>
    <w:p>
      <w:pPr>
        <w:numPr>
          <w:ilvl w:val="0"/>
          <w:numId w:val="43"/>
        </w:numPr>
        <w:spacing w:after="80" w:line="300" w:lineRule="auto"/>
      </w:pPr>
      <w:r>
        <w:rPr>
          <w:rFonts w:ascii="Consolas" w:hAnsi="Consolas"/>
          <w:color w:val="1F4D78"/>
          <w:sz w:val="21"/>
          <w:shd w:fill="EEF1F4"/>
        </w:rPr>
        <w:t>specimen_compatibility_note</w:t>
      </w:r>
      <w:r>
        <w:rPr>
          <w:rFonts w:ascii="Calibri" w:hAnsi="Calibri"/>
          <w:color w:val="222222"/>
        </w:rPr>
        <w:t>: pre-analytical differences and any information loss.</w:t>
      </w:r>
    </w:p>
    <w:p>
      <w:r>
        <w:rPr>
          <w:rFonts w:ascii="Calibri" w:hAnsi="Calibri"/>
          <w:color w:val="222222"/>
        </w:rPr>
        <w:t xml:space="preserve">For example, plasma and serum could both receive a broad </w:t>
      </w:r>
      <w:r>
        <w:rPr>
          <w:rFonts w:ascii="Consolas" w:hAnsi="Consolas"/>
          <w:color w:val="1F4D78"/>
          <w:sz w:val="21"/>
          <w:shd w:fill="EEF1F4"/>
        </w:rPr>
        <w:t>blood_derived_fluid</w:t>
      </w:r>
      <w:r>
        <w:rPr>
          <w:rFonts w:ascii="Calibri" w:hAnsi="Calibri"/>
          <w:color w:val="222222"/>
        </w:rPr>
        <w:t xml:space="preserve"> category for discovery, while remaining distinct in the exact matrix field. That category does not authorize quantitative pooling.</w:t>
      </w:r>
    </w:p>
    <w:p>
      <w:pPr>
        <w:pStyle w:val="Heading3"/>
      </w:pPr>
      <w:r>
        <w:rPr>
          <w:rFonts w:ascii="Calibri" w:hAnsi="Calibri"/>
          <w:color w:val="222222"/>
        </w:rPr>
        <w:t>Timepoint crosswalk</w:t>
      </w:r>
    </w:p>
    <w:p>
      <w:r>
        <w:rPr>
          <w:rFonts w:ascii="Calibri" w:hAnsi="Calibri"/>
          <w:color w:val="222222"/>
        </w:rPr>
        <w:t>Keep the source label and derive structured fields only when evidence supports them:</w:t>
      </w:r>
    </w:p>
    <w:p>
      <w:pPr>
        <w:numPr>
          <w:ilvl w:val="0"/>
          <w:numId w:val="44"/>
        </w:numPr>
        <w:spacing w:after="80" w:line="300" w:lineRule="auto"/>
      </w:pPr>
      <w:r>
        <w:rPr>
          <w:rFonts w:ascii="Consolas" w:hAnsi="Consolas"/>
          <w:color w:val="1F4D78"/>
          <w:sz w:val="21"/>
          <w:shd w:fill="EEF1F4"/>
        </w:rPr>
        <w:t>anchor_event</w:t>
      </w:r>
    </w:p>
    <w:p>
      <w:pPr>
        <w:numPr>
          <w:ilvl w:val="0"/>
          <w:numId w:val="44"/>
        </w:numPr>
        <w:spacing w:after="80" w:line="300" w:lineRule="auto"/>
      </w:pPr>
      <w:r>
        <w:rPr>
          <w:rFonts w:ascii="Consolas" w:hAnsi="Consolas"/>
          <w:color w:val="1F4D78"/>
          <w:sz w:val="21"/>
          <w:shd w:fill="EEF1F4"/>
        </w:rPr>
        <w:t>offset_value</w:t>
      </w:r>
    </w:p>
    <w:p>
      <w:pPr>
        <w:numPr>
          <w:ilvl w:val="0"/>
          <w:numId w:val="44"/>
        </w:numPr>
        <w:spacing w:after="80" w:line="300" w:lineRule="auto"/>
      </w:pPr>
      <w:r>
        <w:rPr>
          <w:rFonts w:ascii="Consolas" w:hAnsi="Consolas"/>
          <w:color w:val="1F4D78"/>
          <w:sz w:val="21"/>
          <w:shd w:fill="EEF1F4"/>
        </w:rPr>
        <w:t>offset_unit</w:t>
      </w:r>
    </w:p>
    <w:p>
      <w:pPr>
        <w:numPr>
          <w:ilvl w:val="0"/>
          <w:numId w:val="44"/>
        </w:numPr>
        <w:spacing w:after="80" w:line="300" w:lineRule="auto"/>
      </w:pPr>
      <w:r>
        <w:rPr>
          <w:rFonts w:ascii="Consolas" w:hAnsi="Consolas"/>
          <w:color w:val="1F4D78"/>
          <w:sz w:val="21"/>
          <w:shd w:fill="EEF1F4"/>
        </w:rPr>
        <w:t>physiological_state</w:t>
      </w:r>
    </w:p>
    <w:p>
      <w:pPr>
        <w:numPr>
          <w:ilvl w:val="0"/>
          <w:numId w:val="44"/>
        </w:numPr>
        <w:spacing w:after="80" w:line="300" w:lineRule="auto"/>
      </w:pPr>
      <w:r>
        <w:rPr>
          <w:rFonts w:ascii="Consolas" w:hAnsi="Consolas"/>
          <w:color w:val="1F4D78"/>
          <w:sz w:val="21"/>
          <w:shd w:fill="EEF1F4"/>
        </w:rPr>
        <w:t>visit_or_period</w:t>
      </w:r>
    </w:p>
    <w:p>
      <w:pPr>
        <w:numPr>
          <w:ilvl w:val="0"/>
          <w:numId w:val="44"/>
        </w:numPr>
        <w:spacing w:after="80" w:line="300" w:lineRule="auto"/>
      </w:pPr>
      <w:r>
        <w:rPr>
          <w:rFonts w:ascii="Consolas" w:hAnsi="Consolas"/>
          <w:color w:val="1F4D78"/>
          <w:sz w:val="21"/>
          <w:shd w:fill="EEF1F4"/>
        </w:rPr>
        <w:t>within_subject_order</w:t>
      </w:r>
    </w:p>
    <w:p>
      <w:pPr>
        <w:numPr>
          <w:ilvl w:val="0"/>
          <w:numId w:val="44"/>
        </w:numPr>
        <w:spacing w:after="80" w:line="300" w:lineRule="auto"/>
      </w:pPr>
      <w:r>
        <w:rPr>
          <w:rFonts w:ascii="Consolas" w:hAnsi="Consolas"/>
          <w:color w:val="1F4D78"/>
          <w:sz w:val="21"/>
          <w:shd w:fill="EEF1F4"/>
        </w:rPr>
        <w:t>derivation_source</w:t>
      </w:r>
    </w:p>
    <w:p>
      <w:r>
        <w:rPr>
          <w:rFonts w:ascii="Calibri" w:hAnsi="Calibri"/>
          <w:color w:val="222222"/>
        </w:rPr>
        <w:t xml:space="preserve">If the label is </w:t>
      </w:r>
      <w:r>
        <w:rPr>
          <w:rFonts w:ascii="Consolas" w:hAnsi="Consolas"/>
          <w:color w:val="1F4D78"/>
          <w:sz w:val="21"/>
          <w:shd w:fill="EEF1F4"/>
        </w:rPr>
        <w:t>T2</w:t>
      </w:r>
      <w:r>
        <w:rPr>
          <w:rFonts w:ascii="Calibri" w:hAnsi="Calibri"/>
          <w:color w:val="222222"/>
        </w:rPr>
        <w:t xml:space="preserve"> and the protocol needed to decode it is missing, use </w:t>
      </w:r>
      <w:r>
        <w:rPr>
          <w:rFonts w:ascii="Consolas" w:hAnsi="Consolas"/>
          <w:color w:val="1F4D78"/>
          <w:sz w:val="21"/>
          <w:shd w:fill="EEF1F4"/>
        </w:rPr>
        <w:t>UNRESOLVED</w:t>
      </w:r>
      <w:r>
        <w:rPr>
          <w:rFonts w:ascii="Calibri" w:hAnsi="Calibri"/>
          <w:color w:val="222222"/>
        </w:rPr>
        <w:t>; do not guess.</w:t>
      </w:r>
    </w:p>
    <w:p>
      <w:pPr>
        <w:pStyle w:val="Heading3"/>
      </w:pPr>
      <w:r>
        <w:rPr>
          <w:rFonts w:ascii="Calibri" w:hAnsi="Calibri"/>
          <w:color w:val="222222"/>
        </w:rPr>
        <w:t>Variable crosswalk</w:t>
      </w:r>
    </w:p>
    <w:p>
      <w:r>
        <w:rPr>
          <w:rFonts w:ascii="Calibri" w:hAnsi="Calibri"/>
          <w:color w:val="222222"/>
        </w:rPr>
        <w:t>Separate:</w:t>
      </w:r>
    </w:p>
    <w:p>
      <w:pPr>
        <w:numPr>
          <w:ilvl w:val="0"/>
          <w:numId w:val="45"/>
        </w:numPr>
        <w:spacing w:after="80" w:line="300" w:lineRule="auto"/>
      </w:pPr>
      <w:r>
        <w:rPr>
          <w:rFonts w:ascii="Calibri" w:hAnsi="Calibri"/>
          <w:color w:val="222222"/>
        </w:rPr>
        <w:t>Source field and coding.</w:t>
      </w:r>
    </w:p>
    <w:p>
      <w:pPr>
        <w:numPr>
          <w:ilvl w:val="0"/>
          <w:numId w:val="45"/>
        </w:numPr>
        <w:spacing w:after="80" w:line="300" w:lineRule="auto"/>
      </w:pPr>
      <w:r>
        <w:rPr>
          <w:rFonts w:ascii="Calibri" w:hAnsi="Calibri"/>
          <w:color w:val="222222"/>
        </w:rPr>
        <w:t>Construct definition.</w:t>
      </w:r>
    </w:p>
    <w:p>
      <w:pPr>
        <w:numPr>
          <w:ilvl w:val="0"/>
          <w:numId w:val="45"/>
        </w:numPr>
        <w:spacing w:after="80" w:line="300" w:lineRule="auto"/>
      </w:pPr>
      <w:r>
        <w:rPr>
          <w:rFonts w:ascii="Calibri" w:hAnsi="Calibri"/>
          <w:color w:val="222222"/>
        </w:rPr>
        <w:t>Harmonized field and coding.</w:t>
      </w:r>
    </w:p>
    <w:p>
      <w:pPr>
        <w:numPr>
          <w:ilvl w:val="0"/>
          <w:numId w:val="45"/>
        </w:numPr>
        <w:spacing w:after="80" w:line="300" w:lineRule="auto"/>
      </w:pPr>
      <w:r>
        <w:rPr>
          <w:rFonts w:ascii="Calibri" w:hAnsi="Calibri"/>
          <w:color w:val="222222"/>
        </w:rPr>
        <w:t>Transformation rule.</w:t>
      </w:r>
    </w:p>
    <w:p>
      <w:pPr>
        <w:numPr>
          <w:ilvl w:val="0"/>
          <w:numId w:val="45"/>
        </w:numPr>
        <w:spacing w:after="80" w:line="300" w:lineRule="auto"/>
      </w:pPr>
      <w:r>
        <w:rPr>
          <w:rFonts w:ascii="Calibri" w:hAnsi="Calibri"/>
          <w:color w:val="222222"/>
        </w:rPr>
        <w:t>Information lost.</w:t>
      </w:r>
    </w:p>
    <w:p>
      <w:pPr>
        <w:numPr>
          <w:ilvl w:val="0"/>
          <w:numId w:val="45"/>
        </w:numPr>
        <w:spacing w:after="80" w:line="300" w:lineRule="auto"/>
      </w:pPr>
      <w:r>
        <w:rPr>
          <w:rFonts w:ascii="Calibri" w:hAnsi="Calibri"/>
          <w:color w:val="222222"/>
        </w:rPr>
        <w:t>Eligibility by analysis purpose.</w:t>
      </w:r>
    </w:p>
    <w:p>
      <w:r>
        <w:rPr>
          <w:rFonts w:ascii="Calibri" w:hAnsi="Calibri"/>
          <w:color w:val="222222"/>
        </w:rPr>
        <w:t>For categorical variables, document reference levels and distinguish missing, unknown, not applicable, and structurally absent.</w:t>
      </w:r>
    </w:p>
    <w:p>
      <w:pPr>
        <w:pStyle w:val="Heading2"/>
      </w:pPr>
      <w:r>
        <w:rPr>
          <w:rFonts w:ascii="Calibri" w:hAnsi="Calibri"/>
          <w:color w:val="222222"/>
        </w:rPr>
        <w:t>7. Unit reconciliation</w:t>
      </w:r>
    </w:p>
    <w:p>
      <w:r>
        <w:rPr>
          <w:rFonts w:ascii="Calibri" w:hAnsi="Calibri"/>
          <w:color w:val="222222"/>
        </w:rPr>
        <w:t>Convert units only when all of the following are true:</w:t>
      </w:r>
    </w:p>
    <w:p>
      <w:pPr>
        <w:numPr>
          <w:ilvl w:val="0"/>
          <w:numId w:val="46"/>
        </w:numPr>
        <w:spacing w:after="80" w:line="300" w:lineRule="auto"/>
      </w:pPr>
      <w:r>
        <w:rPr>
          <w:rFonts w:ascii="Calibri" w:hAnsi="Calibri"/>
          <w:color w:val="222222"/>
        </w:rPr>
        <w:t>The values measure the same quantity.</w:t>
      </w:r>
    </w:p>
    <w:p>
      <w:pPr>
        <w:numPr>
          <w:ilvl w:val="0"/>
          <w:numId w:val="46"/>
        </w:numPr>
        <w:spacing w:after="80" w:line="300" w:lineRule="auto"/>
      </w:pPr>
      <w:r>
        <w:rPr>
          <w:rFonts w:ascii="Calibri" w:hAnsi="Calibri"/>
          <w:color w:val="222222"/>
        </w:rPr>
        <w:t>Units are known and convertible.</w:t>
      </w:r>
    </w:p>
    <w:p>
      <w:pPr>
        <w:numPr>
          <w:ilvl w:val="0"/>
          <w:numId w:val="46"/>
        </w:numPr>
        <w:spacing w:after="80" w:line="300" w:lineRule="auto"/>
      </w:pPr>
      <w:r>
        <w:rPr>
          <w:rFonts w:ascii="Calibri" w:hAnsi="Calibri"/>
          <w:color w:val="222222"/>
        </w:rPr>
        <w:t>Specimen basis and denominator match or can be validly transformed.</w:t>
      </w:r>
    </w:p>
    <w:p>
      <w:pPr>
        <w:numPr>
          <w:ilvl w:val="0"/>
          <w:numId w:val="46"/>
        </w:numPr>
        <w:spacing w:after="80" w:line="300" w:lineRule="auto"/>
      </w:pPr>
      <w:r>
        <w:rPr>
          <w:rFonts w:ascii="Calibri" w:hAnsi="Calibri"/>
          <w:color w:val="222222"/>
        </w:rPr>
        <w:t>Calibration and quantification type support the intended comparison.</w:t>
      </w:r>
    </w:p>
    <w:p>
      <w:pPr>
        <w:numPr>
          <w:ilvl w:val="0"/>
          <w:numId w:val="46"/>
        </w:numPr>
        <w:spacing w:after="80" w:line="300" w:lineRule="auto"/>
      </w:pPr>
      <w:r>
        <w:rPr>
          <w:rFonts w:ascii="Calibri" w:hAnsi="Calibri"/>
          <w:color w:val="222222"/>
        </w:rPr>
        <w:t>The conversion formula is recorded and tested.</w:t>
      </w:r>
    </w:p>
    <w:p>
      <w:r>
        <w:rPr>
          <w:rFonts w:ascii="Calibri" w:hAnsi="Calibri"/>
          <w:color w:val="222222"/>
        </w:rPr>
        <w:t>Examples of different situations:</w:t>
      </w:r>
    </w:p>
    <w:p>
      <w:pPr>
        <w:numPr>
          <w:ilvl w:val="0"/>
          <w:numId w:val="47"/>
        </w:numPr>
        <w:spacing w:after="80" w:line="300" w:lineRule="auto"/>
      </w:pPr>
      <w:r>
        <w:rPr>
          <w:rFonts w:ascii="Consolas" w:hAnsi="Consolas"/>
          <w:color w:val="1F4D78"/>
          <w:sz w:val="21"/>
          <w:shd w:fill="EEF1F4"/>
        </w:rPr>
        <w:t>umol/L</w:t>
      </w:r>
      <w:r>
        <w:rPr>
          <w:rFonts w:ascii="Calibri" w:hAnsi="Calibri"/>
          <w:color w:val="222222"/>
        </w:rPr>
        <w:t xml:space="preserve"> and </w:t>
      </w:r>
      <w:r>
        <w:rPr>
          <w:rFonts w:ascii="Consolas" w:hAnsi="Consolas"/>
          <w:color w:val="1F4D78"/>
          <w:sz w:val="21"/>
          <w:shd w:fill="EEF1F4"/>
        </w:rPr>
        <w:t>mmol/L</w:t>
      </w:r>
      <w:r>
        <w:rPr>
          <w:rFonts w:ascii="Calibri" w:hAnsi="Calibri"/>
          <w:color w:val="222222"/>
        </w:rPr>
        <w:t xml:space="preserve"> are dimensionally convertible for the same quantified analyte and compatible matrix, subject to the remaining checks.</w:t>
      </w:r>
    </w:p>
    <w:p>
      <w:pPr>
        <w:numPr>
          <w:ilvl w:val="0"/>
          <w:numId w:val="47"/>
        </w:numPr>
        <w:spacing w:after="80" w:line="300" w:lineRule="auto"/>
      </w:pPr>
      <w:r>
        <w:rPr>
          <w:rFonts w:ascii="Calibri" w:hAnsi="Calibri"/>
          <w:color w:val="222222"/>
        </w:rPr>
        <w:t xml:space="preserve">Peak area and </w:t>
      </w:r>
      <w:r>
        <w:rPr>
          <w:rFonts w:ascii="Consolas" w:hAnsi="Consolas"/>
          <w:color w:val="1F4D78"/>
          <w:sz w:val="21"/>
          <w:shd w:fill="EEF1F4"/>
        </w:rPr>
        <w:t>umol/L</w:t>
      </w:r>
      <w:r>
        <w:rPr>
          <w:rFonts w:ascii="Calibri" w:hAnsi="Calibri"/>
          <w:color w:val="222222"/>
        </w:rPr>
        <w:t xml:space="preserve"> are not made comparable by rescaling.</w:t>
      </w:r>
    </w:p>
    <w:p>
      <w:pPr>
        <w:numPr>
          <w:ilvl w:val="0"/>
          <w:numId w:val="47"/>
        </w:numPr>
        <w:spacing w:after="80" w:line="300" w:lineRule="auto"/>
      </w:pPr>
      <w:r>
        <w:rPr>
          <w:rFonts w:ascii="Calibri" w:hAnsi="Calibri"/>
          <w:color w:val="222222"/>
        </w:rPr>
        <w:t>Relative abundance normalized within one study and raw area in another are not a common measurement scale.</w:t>
      </w:r>
    </w:p>
    <w:p>
      <w:pPr>
        <w:numPr>
          <w:ilvl w:val="0"/>
          <w:numId w:val="47"/>
        </w:numPr>
        <w:spacing w:after="80" w:line="300" w:lineRule="auto"/>
      </w:pPr>
      <w:r>
        <w:rPr>
          <w:rFonts w:ascii="Calibri" w:hAnsi="Calibri"/>
          <w:color w:val="222222"/>
        </w:rPr>
        <w:t>Log-transformed and untransformed measurements can be reconciled only if the transform base, offset, and original scale are known and the comparison is otherwise valid.</w:t>
      </w:r>
    </w:p>
    <w:p>
      <w:r>
        <w:rPr>
          <w:rFonts w:ascii="Calibri" w:hAnsi="Calibri"/>
          <w:color w:val="222222"/>
        </w:rPr>
        <w:t xml:space="preserve">Keep </w:t>
      </w:r>
      <w:r>
        <w:rPr>
          <w:rFonts w:ascii="Consolas" w:hAnsi="Consolas"/>
          <w:color w:val="1F4D78"/>
          <w:sz w:val="21"/>
          <w:shd w:fill="EEF1F4"/>
        </w:rPr>
        <w:t>source_value</w:t>
      </w:r>
      <w:r>
        <w:rPr>
          <w:rFonts w:ascii="Calibri" w:hAnsi="Calibri"/>
          <w:color w:val="222222"/>
        </w:rPr>
        <w:t xml:space="preserve"> and </w:t>
      </w:r>
      <w:r>
        <w:rPr>
          <w:rFonts w:ascii="Consolas" w:hAnsi="Consolas"/>
          <w:color w:val="1F4D78"/>
          <w:sz w:val="21"/>
          <w:shd w:fill="EEF1F4"/>
        </w:rPr>
        <w:t>source_unit</w:t>
      </w:r>
      <w:r>
        <w:rPr>
          <w:rFonts w:ascii="Calibri" w:hAnsi="Calibri"/>
          <w:color w:val="222222"/>
        </w:rPr>
        <w:t xml:space="preserve"> even after a justified conversion. Store the converted field separately.</w:t>
      </w:r>
    </w:p>
    <w:p>
      <w:pPr>
        <w:pStyle w:val="Heading2"/>
      </w:pPr>
      <w:r>
        <w:rPr>
          <w:rFonts w:ascii="Calibri" w:hAnsi="Calibri"/>
          <w:color w:val="222222"/>
        </w:rPr>
        <w:t>8. Hands-on activity: build and audit the crosswalk</w:t>
      </w:r>
    </w:p>
    <w:p>
      <w:r>
        <w:rPr>
          <w:rFonts w:ascii="Calibri" w:hAnsi="Calibri"/>
          <w:color w:val="222222"/>
        </w:rPr>
        <w:t xml:space="preserve">Use </w:t>
      </w:r>
      <w:r>
        <w:rPr>
          <w:rFonts w:ascii="Consolas" w:hAnsi="Consolas"/>
          <w:color w:val="1F4D78"/>
          <w:sz w:val="21"/>
          <w:shd w:fill="EEF1F4"/>
        </w:rPr>
        <w:t>module/templates/metabolite_metadata_crosswalk_learner.md</w:t>
      </w:r>
      <w:r>
        <w:rPr>
          <w:rFonts w:ascii="Calibri" w:hAnsi="Calibri"/>
          <w:color w:val="222222"/>
        </w:rPr>
        <w:t>.</w:t>
      </w:r>
    </w:p>
    <w:p>
      <w:r>
        <w:rPr>
          <w:rFonts w:ascii="Calibri" w:hAnsi="Calibri"/>
          <w:color w:val="222222"/>
        </w:rPr>
        <w:t>For the timed course, complete three worked rows: one retained shared RefMet name, one isotope-labeled or internal-standard exclusion, and one ambiguous or unmapped example. The 12-row metabolite table and full metadata audit are a project extension. This smaller path lets a first-time learner practice each decision type before scaling up.</w:t>
      </w:r>
    </w:p>
    <w:p>
      <w:pPr>
        <w:pStyle w:val="Heading3"/>
      </w:pPr>
      <w:r>
        <w:rPr>
          <w:rFonts w:ascii="Calibri" w:hAnsi="Calibri"/>
          <w:color w:val="222222"/>
        </w:rPr>
        <w:t>Part A - Metabolites</w:t>
      </w:r>
    </w:p>
    <w:p>
      <w:pPr>
        <w:numPr>
          <w:ilvl w:val="0"/>
          <w:numId w:val="48"/>
        </w:numPr>
        <w:spacing w:after="80" w:line="300" w:lineRule="auto"/>
      </w:pPr>
      <w:r>
        <w:rPr>
          <w:rFonts w:ascii="Calibri" w:hAnsi="Calibri"/>
          <w:color w:val="222222"/>
        </w:rPr>
        <w:t>For the course path, select one retained shared name, one excluded standard, and one ambiguous or unmapped label. For the project extension, select at least six labels from each study.</w:t>
      </w:r>
    </w:p>
    <w:p>
      <w:pPr>
        <w:numPr>
          <w:ilvl w:val="0"/>
          <w:numId w:val="48"/>
        </w:numPr>
        <w:spacing w:after="80" w:line="300" w:lineRule="auto"/>
      </w:pPr>
      <w:r>
        <w:rPr>
          <w:rFonts w:ascii="Calibri" w:hAnsi="Calibri"/>
          <w:color w:val="222222"/>
        </w:rPr>
        <w:t>Include at least one apparent overlap, one lipid label if present, one unmapped or unidentified feature if present, and one label requiring manual review. If a requested case does not occur, document that rather than fabricating it.</w:t>
      </w:r>
    </w:p>
    <w:p>
      <w:pPr>
        <w:numPr>
          <w:ilvl w:val="0"/>
          <w:numId w:val="48"/>
        </w:numPr>
        <w:spacing w:after="80" w:line="300" w:lineRule="auto"/>
      </w:pPr>
      <w:r>
        <w:rPr>
          <w:rFonts w:ascii="Calibri" w:hAnsi="Calibri"/>
          <w:color w:val="222222"/>
        </w:rPr>
        <w:t>Preserve original labels and identifiers.</w:t>
      </w:r>
    </w:p>
    <w:p>
      <w:pPr>
        <w:numPr>
          <w:ilvl w:val="0"/>
          <w:numId w:val="48"/>
        </w:numPr>
        <w:spacing w:after="80" w:line="300" w:lineRule="auto"/>
      </w:pPr>
      <w:r>
        <w:rPr>
          <w:rFonts w:ascii="Calibri" w:hAnsi="Calibri"/>
          <w:color w:val="222222"/>
        </w:rPr>
        <w:t>Run or inspect the RefMet query for each distinct label.</w:t>
      </w:r>
    </w:p>
    <w:p>
      <w:pPr>
        <w:numPr>
          <w:ilvl w:val="0"/>
          <w:numId w:val="48"/>
        </w:numPr>
        <w:spacing w:after="80" w:line="300" w:lineRule="auto"/>
      </w:pPr>
      <w:r>
        <w:rPr>
          <w:rFonts w:ascii="Calibri" w:hAnsi="Calibri"/>
          <w:color w:val="222222"/>
        </w:rPr>
        <w:t>Assign mapping and annotation-resolution statuses.</w:t>
      </w:r>
    </w:p>
    <w:p>
      <w:pPr>
        <w:numPr>
          <w:ilvl w:val="0"/>
          <w:numId w:val="48"/>
        </w:numPr>
        <w:spacing w:after="80" w:line="300" w:lineRule="auto"/>
      </w:pPr>
      <w:r>
        <w:rPr>
          <w:rFonts w:ascii="Calibri" w:hAnsi="Calibri"/>
          <w:color w:val="222222"/>
        </w:rPr>
        <w:t>Mark eligibility separately for exact-name overlap, broad-class summary, and quantitative comparison.</w:t>
      </w:r>
    </w:p>
    <w:p>
      <w:pPr>
        <w:pStyle w:val="Heading3"/>
      </w:pPr>
      <w:r>
        <w:rPr>
          <w:rFonts w:ascii="Calibri" w:hAnsi="Calibri"/>
          <w:color w:val="222222"/>
        </w:rPr>
        <w:t>Part B - Metadata</w:t>
      </w:r>
    </w:p>
    <w:p>
      <w:r>
        <w:rPr>
          <w:rFonts w:ascii="Calibri" w:hAnsi="Calibri"/>
          <w:color w:val="222222"/>
        </w:rPr>
        <w:t>Add at least:</w:t>
      </w:r>
    </w:p>
    <w:p>
      <w:pPr>
        <w:numPr>
          <w:ilvl w:val="0"/>
          <w:numId w:val="49"/>
        </w:numPr>
        <w:spacing w:after="80" w:line="300" w:lineRule="auto"/>
      </w:pPr>
      <w:r>
        <w:rPr>
          <w:rFonts w:ascii="Calibri" w:hAnsi="Calibri"/>
          <w:color w:val="222222"/>
        </w:rPr>
        <w:t>Two specimen fields.</w:t>
      </w:r>
    </w:p>
    <w:p>
      <w:pPr>
        <w:numPr>
          <w:ilvl w:val="0"/>
          <w:numId w:val="49"/>
        </w:numPr>
        <w:spacing w:after="80" w:line="300" w:lineRule="auto"/>
      </w:pPr>
      <w:r>
        <w:rPr>
          <w:rFonts w:ascii="Calibri" w:hAnsi="Calibri"/>
          <w:color w:val="222222"/>
        </w:rPr>
        <w:t>Three timepoint values.</w:t>
      </w:r>
    </w:p>
    <w:p>
      <w:pPr>
        <w:numPr>
          <w:ilvl w:val="0"/>
          <w:numId w:val="49"/>
        </w:numPr>
        <w:spacing w:after="80" w:line="300" w:lineRule="auto"/>
      </w:pPr>
      <w:r>
        <w:rPr>
          <w:rFonts w:ascii="Calibri" w:hAnsi="Calibri"/>
          <w:color w:val="222222"/>
        </w:rPr>
        <w:t>One participant or sample identifier relationship.</w:t>
      </w:r>
    </w:p>
    <w:p>
      <w:pPr>
        <w:numPr>
          <w:ilvl w:val="0"/>
          <w:numId w:val="49"/>
        </w:numPr>
        <w:spacing w:after="80" w:line="300" w:lineRule="auto"/>
      </w:pPr>
      <w:r>
        <w:rPr>
          <w:rFonts w:ascii="Calibri" w:hAnsi="Calibri"/>
          <w:color w:val="222222"/>
        </w:rPr>
        <w:t>One phenotype field.</w:t>
      </w:r>
    </w:p>
    <w:p>
      <w:pPr>
        <w:numPr>
          <w:ilvl w:val="0"/>
          <w:numId w:val="49"/>
        </w:numPr>
        <w:spacing w:after="80" w:line="300" w:lineRule="auto"/>
      </w:pPr>
      <w:r>
        <w:rPr>
          <w:rFonts w:ascii="Calibri" w:hAnsi="Calibri"/>
          <w:color w:val="222222"/>
        </w:rPr>
        <w:t>One unit or scale field.</w:t>
      </w:r>
    </w:p>
    <w:p>
      <w:pPr>
        <w:pStyle w:val="Heading3"/>
      </w:pPr>
      <w:r>
        <w:rPr>
          <w:rFonts w:ascii="Calibri" w:hAnsi="Calibri"/>
          <w:color w:val="222222"/>
        </w:rPr>
        <w:t>Part C - Reproducibility audit</w:t>
      </w:r>
    </w:p>
    <w:p>
      <w:r>
        <w:rPr>
          <w:rFonts w:ascii="Calibri" w:hAnsi="Calibri"/>
          <w:color w:val="222222"/>
        </w:rPr>
        <w:t>Exchange the crosswalk with a partner or use the self-audit prompts:</w:t>
      </w:r>
    </w:p>
    <w:p>
      <w:pPr>
        <w:numPr>
          <w:ilvl w:val="0"/>
          <w:numId w:val="50"/>
        </w:numPr>
        <w:spacing w:after="80" w:line="300" w:lineRule="auto"/>
      </w:pPr>
      <w:r>
        <w:rPr>
          <w:rFonts w:ascii="Calibri" w:hAnsi="Calibri"/>
          <w:color w:val="222222"/>
        </w:rPr>
        <w:t>Can another analyst find the exact source row?</w:t>
      </w:r>
    </w:p>
    <w:p>
      <w:pPr>
        <w:numPr>
          <w:ilvl w:val="0"/>
          <w:numId w:val="50"/>
        </w:numPr>
        <w:spacing w:after="80" w:line="300" w:lineRule="auto"/>
      </w:pPr>
      <w:r>
        <w:rPr>
          <w:rFonts w:ascii="Calibri" w:hAnsi="Calibri"/>
          <w:color w:val="222222"/>
        </w:rPr>
        <w:t>Can they reproduce the lookup string?</w:t>
      </w:r>
    </w:p>
    <w:p>
      <w:pPr>
        <w:numPr>
          <w:ilvl w:val="0"/>
          <w:numId w:val="50"/>
        </w:numPr>
        <w:spacing w:after="80" w:line="300" w:lineRule="auto"/>
      </w:pPr>
      <w:r>
        <w:rPr>
          <w:rFonts w:ascii="Calibri" w:hAnsi="Calibri"/>
          <w:color w:val="222222"/>
        </w:rPr>
        <w:t>Can they tell which output was automated and which was reviewed?</w:t>
      </w:r>
    </w:p>
    <w:p>
      <w:pPr>
        <w:numPr>
          <w:ilvl w:val="0"/>
          <w:numId w:val="50"/>
        </w:numPr>
        <w:spacing w:after="80" w:line="300" w:lineRule="auto"/>
      </w:pPr>
      <w:r>
        <w:rPr>
          <w:rFonts w:ascii="Calibri" w:hAnsi="Calibri"/>
          <w:color w:val="222222"/>
        </w:rPr>
        <w:t>Is information loss stated?</w:t>
      </w:r>
    </w:p>
    <w:p>
      <w:pPr>
        <w:numPr>
          <w:ilvl w:val="0"/>
          <w:numId w:val="50"/>
        </w:numPr>
        <w:spacing w:after="80" w:line="300" w:lineRule="auto"/>
      </w:pPr>
      <w:r>
        <w:rPr>
          <w:rFonts w:ascii="Calibri" w:hAnsi="Calibri"/>
          <w:color w:val="222222"/>
        </w:rPr>
        <w:t>Are unresolved cases preserved?</w:t>
      </w:r>
    </w:p>
    <w:p>
      <w:pPr>
        <w:numPr>
          <w:ilvl w:val="0"/>
          <w:numId w:val="50"/>
        </w:numPr>
        <w:spacing w:after="80" w:line="300" w:lineRule="auto"/>
      </w:pPr>
      <w:r>
        <w:rPr>
          <w:rFonts w:ascii="Calibri" w:hAnsi="Calibri"/>
          <w:color w:val="222222"/>
        </w:rPr>
        <w:t>Is downstream eligibility purpose-specific?</w:t>
      </w:r>
    </w:p>
    <w:p>
      <w:pPr>
        <w:numPr>
          <w:ilvl w:val="0"/>
          <w:numId w:val="50"/>
        </w:numPr>
        <w:spacing w:after="80" w:line="300" w:lineRule="auto"/>
      </w:pPr>
      <w:r>
        <w:rPr>
          <w:rFonts w:ascii="Calibri" w:hAnsi="Calibri"/>
          <w:color w:val="222222"/>
        </w:rPr>
        <w:t>Could the table be regenerated after a study update?</w:t>
      </w:r>
    </w:p>
    <w:p>
      <w:r>
        <w:rPr>
          <w:rFonts w:ascii="Calibri" w:hAnsi="Calibri"/>
          <w:color w:val="222222"/>
        </w:rPr>
        <w:t>Flag any row that fails one of these checks. The goal is an auditable table, not a maximum mapping rate.</w:t>
      </w:r>
    </w:p>
    <w:p>
      <w:pPr>
        <w:pStyle w:val="Heading2"/>
      </w:pPr>
      <w:r>
        <w:rPr>
          <w:rFonts w:ascii="Calibri" w:hAnsi="Calibri"/>
          <w:color w:val="222222"/>
        </w:rPr>
        <w:t>9. Mapping rules</w:t>
      </w:r>
    </w:p>
    <w:p>
      <w:pPr>
        <w:numPr>
          <w:ilvl w:val="0"/>
          <w:numId w:val="51"/>
        </w:numPr>
        <w:spacing w:after="80" w:line="300" w:lineRule="auto"/>
      </w:pPr>
      <w:r>
        <w:rPr>
          <w:rFonts w:ascii="Calibri" w:hAnsi="Calibri"/>
          <w:color w:val="222222"/>
        </w:rPr>
        <w:t>RefMet standardizes nomenclature; it does not retroactively validate compound identification.</w:t>
      </w:r>
    </w:p>
    <w:p>
      <w:pPr>
        <w:numPr>
          <w:ilvl w:val="0"/>
          <w:numId w:val="51"/>
        </w:numPr>
        <w:spacing w:after="80" w:line="300" w:lineRule="auto"/>
      </w:pPr>
      <w:r>
        <w:rPr>
          <w:rFonts w:ascii="Calibri" w:hAnsi="Calibri"/>
          <w:color w:val="222222"/>
        </w:rPr>
        <w:t>A one-to-many or many-to-one mapping is not automatically an error; it may reflect different resolution.</w:t>
      </w:r>
    </w:p>
    <w:p>
      <w:pPr>
        <w:numPr>
          <w:ilvl w:val="0"/>
          <w:numId w:val="51"/>
        </w:numPr>
        <w:spacing w:after="80" w:line="300" w:lineRule="auto"/>
      </w:pPr>
      <w:r>
        <w:rPr>
          <w:rFonts w:ascii="Calibri" w:hAnsi="Calibri"/>
          <w:color w:val="222222"/>
        </w:rPr>
        <w:t>Do not choose a candidate solely because it creates more overlap.</w:t>
      </w:r>
    </w:p>
    <w:p>
      <w:pPr>
        <w:numPr>
          <w:ilvl w:val="0"/>
          <w:numId w:val="51"/>
        </w:numPr>
        <w:spacing w:after="80" w:line="300" w:lineRule="auto"/>
      </w:pPr>
      <w:r>
        <w:rPr>
          <w:rFonts w:ascii="Calibri" w:hAnsi="Calibri"/>
          <w:color w:val="222222"/>
        </w:rPr>
        <w:t>Never convert unidentified features into named metabolites using mass alone.</w:t>
      </w:r>
    </w:p>
    <w:p>
      <w:pPr>
        <w:numPr>
          <w:ilvl w:val="0"/>
          <w:numId w:val="51"/>
        </w:numPr>
        <w:spacing w:after="80" w:line="300" w:lineRule="auto"/>
      </w:pPr>
      <w:r>
        <w:rPr>
          <w:rFonts w:ascii="Calibri" w:hAnsi="Calibri"/>
          <w:color w:val="222222"/>
        </w:rPr>
        <w:t>Preserve exact specimen and time labels alongside broader categories.</w:t>
      </w:r>
    </w:p>
    <w:p>
      <w:pPr>
        <w:numPr>
          <w:ilvl w:val="0"/>
          <w:numId w:val="51"/>
        </w:numPr>
        <w:spacing w:after="80" w:line="300" w:lineRule="auto"/>
      </w:pPr>
      <w:r>
        <w:rPr>
          <w:rFonts w:ascii="Calibri" w:hAnsi="Calibri"/>
          <w:color w:val="222222"/>
        </w:rPr>
        <w:t>Do not treat unit conversion as batch correction.</w:t>
      </w:r>
    </w:p>
    <w:p>
      <w:pPr>
        <w:numPr>
          <w:ilvl w:val="0"/>
          <w:numId w:val="51"/>
        </w:numPr>
        <w:spacing w:after="80" w:line="300" w:lineRule="auto"/>
      </w:pPr>
      <w:r>
        <w:rPr>
          <w:rFonts w:ascii="Calibri" w:hAnsi="Calibri"/>
          <w:color w:val="222222"/>
        </w:rPr>
        <w:t>Exclude internal standards and nonbiological features by explicit rule, not by silently deleting inconvenient rows.</w:t>
      </w:r>
    </w:p>
    <w:p>
      <w:pPr>
        <w:numPr>
          <w:ilvl w:val="0"/>
          <w:numId w:val="51"/>
        </w:numPr>
        <w:spacing w:after="80" w:line="300" w:lineRule="auto"/>
      </w:pPr>
      <w:r>
        <w:rPr>
          <w:rFonts w:ascii="Calibri" w:hAnsi="Calibri"/>
          <w:color w:val="222222"/>
        </w:rPr>
        <w:t>Version mapping decisions because repositories and reference databases evolve.</w:t>
      </w:r>
    </w:p>
    <w:p>
      <w:pPr>
        <w:pStyle w:val="Heading2"/>
      </w:pPr>
      <w:r>
        <w:rPr>
          <w:rFonts w:ascii="Calibri" w:hAnsi="Calibri"/>
          <w:color w:val="222222"/>
        </w:rPr>
        <w:t>10. Knowledge check</w:t>
      </w:r>
    </w:p>
    <w:p>
      <w:pPr>
        <w:keepNext/>
        <w:keepLines/>
      </w:pPr>
      <w:r>
        <w:rPr>
          <w:rFonts w:ascii="Calibri" w:hAnsi="Calibri"/>
          <w:b/>
          <w:color w:val="222222"/>
        </w:rPr>
        <w:t>KC3-01.</w:t>
      </w:r>
      <w:r>
        <w:rPr>
          <w:rFonts w:ascii="Calibri" w:hAnsi="Calibri"/>
          <w:color w:val="222222"/>
        </w:rPr>
        <w:t xml:space="preserve"> A fuzzy RefMet lookup returns two plausible candidates and the deposited record has no formula or external identifier. What should you do?</w:t>
      </w:r>
    </w:p>
    <w:p>
      <w:pPr>
        <w:keepNext/>
        <w:keepLines/>
      </w:pPr>
      <w:r>
        <w:rPr>
          <w:rFonts w:ascii="Calibri" w:hAnsi="Calibri"/>
          <w:color w:val="222222"/>
        </w:rPr>
        <w:t>A. Select the first candidate.</w:t>
      </w:r>
    </w:p>
    <w:p>
      <w:pPr>
        <w:keepNext/>
        <w:keepLines/>
      </w:pPr>
      <w:r>
        <w:rPr>
          <w:rFonts w:ascii="Calibri" w:hAnsi="Calibri"/>
          <w:color w:val="222222"/>
        </w:rPr>
        <w:t>B. Select whichever candidate appears in the other study.</w:t>
      </w:r>
    </w:p>
    <w:p>
      <w:pPr>
        <w:keepNext/>
        <w:keepLines/>
      </w:pPr>
      <w:r>
        <w:rPr>
          <w:rFonts w:ascii="Calibri" w:hAnsi="Calibri"/>
          <w:color w:val="222222"/>
        </w:rPr>
        <w:t xml:space="preserve">C. Mark the row </w:t>
      </w:r>
      <w:r>
        <w:rPr>
          <w:rFonts w:ascii="Consolas" w:hAnsi="Consolas"/>
          <w:color w:val="1F4D78"/>
          <w:sz w:val="21"/>
          <w:shd w:fill="EEF1F4"/>
        </w:rPr>
        <w:t>review_required</w:t>
      </w:r>
      <w:r>
        <w:rPr>
          <w:rFonts w:ascii="Calibri" w:hAnsi="Calibri"/>
          <w:color w:val="222222"/>
        </w:rPr>
        <w:t xml:space="preserve"> or </w:t>
      </w:r>
      <w:r>
        <w:rPr>
          <w:rFonts w:ascii="Consolas" w:hAnsi="Consolas"/>
          <w:color w:val="1F4D78"/>
          <w:sz w:val="21"/>
          <w:shd w:fill="EEF1F4"/>
        </w:rPr>
        <w:t>unmapped</w:t>
      </w:r>
      <w:r>
        <w:rPr>
          <w:rFonts w:ascii="Calibri" w:hAnsi="Calibri"/>
          <w:color w:val="222222"/>
        </w:rPr>
        <w:t>, preserve both candidates, and exclude it from exact overlap until resolved.</w:t>
      </w:r>
    </w:p>
    <w:p>
      <w:pPr>
        <w:keepNext w:val="0"/>
        <w:keepLines/>
      </w:pPr>
      <w:r>
        <w:rPr>
          <w:rFonts w:ascii="Calibri" w:hAnsi="Calibri"/>
          <w:color w:val="222222"/>
        </w:rPr>
        <w:t>D. Replace it with a chemical class label and call it exact.</w:t>
      </w:r>
    </w:p>
    <w:p>
      <w:pPr>
        <w:keepNext/>
        <w:keepLines/>
      </w:pPr>
      <w:r>
        <w:rPr>
          <w:rFonts w:ascii="Calibri" w:hAnsi="Calibri"/>
          <w:b/>
          <w:color w:val="222222"/>
        </w:rPr>
        <w:t>KC3-02.</w:t>
      </w:r>
      <w:r>
        <w:rPr>
          <w:rFonts w:ascii="Calibri" w:hAnsi="Calibri"/>
          <w:color w:val="222222"/>
        </w:rPr>
        <w:t xml:space="preserve"> When can </w:t>
      </w:r>
      <w:r>
        <w:rPr>
          <w:rFonts w:ascii="Consolas" w:hAnsi="Consolas"/>
          <w:color w:val="1F4D78"/>
          <w:sz w:val="21"/>
          <w:shd w:fill="EEF1F4"/>
        </w:rPr>
        <w:t>umol/L</w:t>
      </w:r>
      <w:r>
        <w:rPr>
          <w:rFonts w:ascii="Calibri" w:hAnsi="Calibri"/>
          <w:color w:val="222222"/>
        </w:rPr>
        <w:t xml:space="preserve"> be converted to </w:t>
      </w:r>
      <w:r>
        <w:rPr>
          <w:rFonts w:ascii="Consolas" w:hAnsi="Consolas"/>
          <w:color w:val="1F4D78"/>
          <w:sz w:val="21"/>
          <w:shd w:fill="EEF1F4"/>
        </w:rPr>
        <w:t>mmol/L</w:t>
      </w:r>
      <w:r>
        <w:rPr>
          <w:rFonts w:ascii="Calibri" w:hAnsi="Calibri"/>
          <w:color w:val="222222"/>
        </w:rPr>
        <w:t xml:space="preserve"> for cross-study comparison?</w:t>
      </w:r>
    </w:p>
    <w:p>
      <w:pPr>
        <w:keepNext/>
        <w:keepLines/>
      </w:pPr>
      <w:r>
        <w:rPr>
          <w:rFonts w:ascii="Calibri" w:hAnsi="Calibri"/>
          <w:color w:val="222222"/>
        </w:rPr>
        <w:t>A. Whenever both unit strings are present.</w:t>
      </w:r>
    </w:p>
    <w:p>
      <w:pPr>
        <w:keepNext/>
        <w:keepLines/>
      </w:pPr>
      <w:r>
        <w:rPr>
          <w:rFonts w:ascii="Calibri" w:hAnsi="Calibri"/>
          <w:color w:val="222222"/>
        </w:rPr>
        <w:t>B. Only after confirming the same quantity, compatible matrix and denominator, quantification basis, and a recorded conversion.</w:t>
      </w:r>
    </w:p>
    <w:p>
      <w:pPr>
        <w:keepNext/>
        <w:keepLines/>
      </w:pPr>
      <w:r>
        <w:rPr>
          <w:rFonts w:ascii="Calibri" w:hAnsi="Calibri"/>
          <w:color w:val="222222"/>
        </w:rPr>
        <w:t>C. Only for lipids.</w:t>
      </w:r>
    </w:p>
    <w:p>
      <w:pPr>
        <w:keepNext w:val="0"/>
        <w:keepLines/>
      </w:pPr>
      <w:r>
        <w:rPr>
          <w:rFonts w:ascii="Calibri" w:hAnsi="Calibri"/>
          <w:color w:val="222222"/>
        </w:rPr>
        <w:t>D. Never.</w:t>
      </w:r>
    </w:p>
    <w:p>
      <w:pPr>
        <w:keepNext/>
        <w:keepLines/>
      </w:pPr>
      <w:r>
        <w:rPr>
          <w:rFonts w:ascii="Calibri" w:hAnsi="Calibri"/>
          <w:b/>
          <w:color w:val="222222"/>
        </w:rPr>
        <w:t>KC3-03.</w:t>
      </w:r>
      <w:r>
        <w:rPr>
          <w:rFonts w:ascii="Calibri" w:hAnsi="Calibri"/>
          <w:color w:val="222222"/>
        </w:rPr>
        <w:t xml:space="preserve"> Which crosswalk design is most reproducible?</w:t>
      </w:r>
    </w:p>
    <w:p>
      <w:pPr>
        <w:keepNext/>
        <w:keepLines/>
      </w:pPr>
      <w:r>
        <w:rPr>
          <w:rFonts w:ascii="Calibri" w:hAnsi="Calibri"/>
          <w:color w:val="222222"/>
        </w:rPr>
        <w:t>A. One column containing the final clean name.</w:t>
      </w:r>
    </w:p>
    <w:p>
      <w:pPr>
        <w:keepNext/>
        <w:keepLines/>
      </w:pPr>
      <w:r>
        <w:rPr>
          <w:rFonts w:ascii="Calibri" w:hAnsi="Calibri"/>
          <w:color w:val="222222"/>
        </w:rPr>
        <w:t>B. Original and standardized names, source and query provenance, mapping status, evidence, reviewer, decision reason, and purpose-specific eligibility.</w:t>
      </w:r>
    </w:p>
    <w:p>
      <w:pPr>
        <w:keepNext/>
        <w:keepLines/>
      </w:pPr>
      <w:r>
        <w:rPr>
          <w:rFonts w:ascii="Calibri" w:hAnsi="Calibri"/>
          <w:color w:val="222222"/>
        </w:rPr>
        <w:t>C. A list containing only mapped analytes.</w:t>
      </w:r>
    </w:p>
    <w:p>
      <w:pPr>
        <w:keepNext w:val="0"/>
        <w:keepLines/>
      </w:pPr>
      <w:r>
        <w:rPr>
          <w:rFonts w:ascii="Calibri" w:hAnsi="Calibri"/>
          <w:color w:val="222222"/>
        </w:rPr>
        <w:t>D. A table in which all ambiguities are manually forced to one value.</w:t>
      </w:r>
    </w:p>
    <w:p>
      <w:pPr>
        <w:pStyle w:val="Heading2"/>
      </w:pPr>
      <w:r>
        <w:rPr>
          <w:rFonts w:ascii="Calibri" w:hAnsi="Calibri"/>
          <w:color w:val="222222"/>
        </w:rPr>
        <w:t>What the crosswalk should preserve</w:t>
      </w:r>
    </w:p>
    <w:p>
      <w:r>
        <w:rPr>
          <w:rFonts w:ascii="Calibri" w:hAnsi="Calibri"/>
          <w:color w:val="222222"/>
        </w:rPr>
        <w:t>A good crosswalk preserves the source label, the proposed standardized name, the supporting record, and the decision. Keep unresolved rows marked as unresolved so later analyses do not treat them as confirmed matches.</w:t>
      </w:r>
    </w:p>
    <w:p>
      <w:pPr>
        <w:pStyle w:val="Heading2"/>
      </w:pPr>
      <w:r>
        <w:rPr>
          <w:rFonts w:ascii="Calibri" w:hAnsi="Calibri"/>
          <w:color w:val="222222"/>
        </w:rPr>
        <w:t>Primary sources and first-party documentation</w:t>
      </w:r>
    </w:p>
    <w:p>
      <w:pPr>
        <w:numPr>
          <w:ilvl w:val="0"/>
          <w:numId w:val="52"/>
        </w:numPr>
        <w:spacing w:after="80" w:line="300" w:lineRule="auto"/>
      </w:pPr>
      <w:r>
        <w:rPr>
          <w:rFonts w:ascii="Calibri" w:hAnsi="Calibri"/>
          <w:color w:val="222222"/>
        </w:rPr>
        <w:t xml:space="preserve">Metabolomics Workbench. </w:t>
      </w:r>
      <w:hyperlink r:id="rId28">
        <w:r>
          <w:rPr>
            <w:rFonts w:ascii="Calibri" w:hAnsi="Calibri"/>
            <w:color w:val="2E74B5"/>
            <w:u w:val="single"/>
            <w:sz w:val="22"/>
          </w:rPr>
          <w:t>RefMet database and name-conversion resources</w:t>
        </w:r>
      </w:hyperlink>
      <w:r>
        <w:rPr>
          <w:rFonts w:ascii="Calibri" w:hAnsi="Calibri"/>
          <w:color w:val="222222"/>
        </w:rPr>
        <w:t>. Accessed August 10, 2026.</w:t>
      </w:r>
    </w:p>
    <w:p>
      <w:pPr>
        <w:numPr>
          <w:ilvl w:val="0"/>
          <w:numId w:val="52"/>
        </w:numPr>
        <w:spacing w:after="80" w:line="300" w:lineRule="auto"/>
      </w:pPr>
      <w:r>
        <w:rPr>
          <w:rFonts w:ascii="Calibri" w:hAnsi="Calibri"/>
          <w:color w:val="222222"/>
        </w:rPr>
        <w:t xml:space="preserve">Metabolomics Workbench. </w:t>
      </w:r>
      <w:hyperlink r:id="rId29">
        <w:r>
          <w:rPr>
            <w:rFonts w:ascii="Calibri" w:hAnsi="Calibri"/>
            <w:color w:val="2E74B5"/>
            <w:u w:val="single"/>
            <w:sz w:val="22"/>
          </w:rPr>
          <w:t>RefMet naming conventions</w:t>
        </w:r>
      </w:hyperlink>
      <w:r>
        <w:rPr>
          <w:rFonts w:ascii="Calibri" w:hAnsi="Calibri"/>
          <w:color w:val="222222"/>
        </w:rPr>
        <w:t>. Accessed August 10, 2026.</w:t>
      </w:r>
    </w:p>
    <w:p>
      <w:pPr>
        <w:numPr>
          <w:ilvl w:val="0"/>
          <w:numId w:val="52"/>
        </w:numPr>
        <w:spacing w:after="80" w:line="300" w:lineRule="auto"/>
      </w:pPr>
      <w:r>
        <w:rPr>
          <w:rFonts w:ascii="Calibri" w:hAnsi="Calibri"/>
          <w:color w:val="222222"/>
        </w:rPr>
        <w:t xml:space="preserve">Fahy E, Subramaniam S. </w:t>
      </w:r>
      <w:hyperlink r:id="rId19">
        <w:r>
          <w:rPr>
            <w:rFonts w:ascii="Calibri" w:hAnsi="Calibri"/>
            <w:color w:val="2E74B5"/>
            <w:u w:val="single"/>
            <w:sz w:val="22"/>
          </w:rPr>
          <w:t>RefMet: a reference nomenclature for metabolomics</w:t>
        </w:r>
      </w:hyperlink>
      <w:r>
        <w:rPr>
          <w:rFonts w:ascii="Calibri" w:hAnsi="Calibri"/>
          <w:color w:val="222222"/>
        </w:rPr>
        <w:t xml:space="preserve">. </w:t>
      </w:r>
      <w:r>
        <w:rPr>
          <w:rFonts w:ascii="Calibri" w:hAnsi="Calibri"/>
          <w:i/>
          <w:color w:val="222222"/>
        </w:rPr>
        <w:t>Nature Methods</w:t>
      </w:r>
      <w:r>
        <w:rPr>
          <w:rFonts w:ascii="Calibri" w:hAnsi="Calibri"/>
          <w:color w:val="222222"/>
        </w:rPr>
        <w:t>. 2020;17:1173-1174.</w:t>
      </w:r>
    </w:p>
    <w:p>
      <w:pPr>
        <w:numPr>
          <w:ilvl w:val="0"/>
          <w:numId w:val="52"/>
        </w:numPr>
        <w:spacing w:after="80" w:line="300" w:lineRule="auto"/>
      </w:pPr>
      <w:r>
        <w:rPr>
          <w:rFonts w:ascii="Calibri" w:hAnsi="Calibri"/>
          <w:color w:val="222222"/>
        </w:rPr>
        <w:t xml:space="preserve">Metabolomics Workbench. </w:t>
      </w:r>
      <w:hyperlink r:id="rId16">
        <w:r>
          <w:rPr>
            <w:rFonts w:ascii="Calibri" w:hAnsi="Calibri"/>
            <w:color w:val="2E74B5"/>
            <w:u w:val="single"/>
            <w:sz w:val="22"/>
          </w:rPr>
          <w:t>REST Service, version 1.2</w:t>
        </w:r>
      </w:hyperlink>
      <w:r>
        <w:rPr>
          <w:rFonts w:ascii="Calibri" w:hAnsi="Calibri"/>
          <w:color w:val="222222"/>
        </w:rPr>
        <w:t>. Updated July 22, 2025; accessed August 10, 2026.</w:t>
      </w:r>
    </w:p>
    <w:p>
      <w:pPr>
        <w:numPr>
          <w:ilvl w:val="0"/>
          <w:numId w:val="52"/>
        </w:numPr>
        <w:spacing w:after="80" w:line="300" w:lineRule="auto"/>
      </w:pPr>
      <w:r>
        <w:rPr>
          <w:rFonts w:ascii="Calibri" w:hAnsi="Calibri"/>
          <w:color w:val="222222"/>
        </w:rPr>
        <w:t xml:space="preserve">Metabolomics Workbench. </w:t>
      </w:r>
      <w:hyperlink r:id="rId17">
        <w:r>
          <w:rPr>
            <w:rFonts w:ascii="Calibri" w:hAnsi="Calibri"/>
            <w:color w:val="2E74B5"/>
            <w:u w:val="single"/>
            <w:sz w:val="22"/>
          </w:rPr>
          <w:t>mwTab file specification and tutorials</w:t>
        </w:r>
      </w:hyperlink>
      <w:r>
        <w:rPr>
          <w:rFonts w:ascii="Calibri" w:hAnsi="Calibri"/>
          <w:color w:val="222222"/>
        </w:rPr>
        <w:t>. Accessed August 10, 2026.</w:t>
      </w:r>
    </w:p>
    <w:p>
      <w:pPr>
        <w:numPr>
          <w:ilvl w:val="0"/>
          <w:numId w:val="52"/>
        </w:numPr>
        <w:spacing w:after="80" w:line="300" w:lineRule="auto"/>
      </w:pPr>
      <w:r>
        <w:rPr>
          <w:rFonts w:ascii="Calibri" w:hAnsi="Calibri"/>
          <w:color w:val="222222"/>
        </w:rPr>
        <w:t xml:space="preserve">Powell CD, Moseley HNB. </w:t>
      </w:r>
      <w:hyperlink r:id="rId30">
        <w:r>
          <w:rPr>
            <w:rFonts w:ascii="Calibri" w:hAnsi="Calibri"/>
            <w:color w:val="2E74B5"/>
            <w:u w:val="single"/>
            <w:sz w:val="22"/>
          </w:rPr>
          <w:t>The mwtab Python Library for RESTful access and enhanced quality control, deposition, and curation of the Metabolomics Workbench Data Repository</w:t>
        </w:r>
      </w:hyperlink>
      <w:r>
        <w:rPr>
          <w:rFonts w:ascii="Calibri" w:hAnsi="Calibri"/>
          <w:color w:val="222222"/>
        </w:rPr>
        <w:t xml:space="preserve">. </w:t>
      </w:r>
      <w:r>
        <w:rPr>
          <w:rFonts w:ascii="Calibri" w:hAnsi="Calibri"/>
          <w:i/>
          <w:color w:val="222222"/>
        </w:rPr>
        <w:t>Metabolites</w:t>
      </w:r>
      <w:r>
        <w:rPr>
          <w:rFonts w:ascii="Calibri" w:hAnsi="Calibri"/>
          <w:color w:val="222222"/>
        </w:rPr>
        <w:t>. 2021;11(3):163.</w:t>
      </w:r>
    </w:p>
    <w:p>
      <w:pPr>
        <w:numPr>
          <w:ilvl w:val="0"/>
          <w:numId w:val="52"/>
        </w:numPr>
        <w:spacing w:after="80" w:line="300" w:lineRule="auto"/>
      </w:pPr>
      <w:r>
        <w:rPr>
          <w:rFonts w:ascii="Calibri" w:hAnsi="Calibri"/>
          <w:color w:val="222222"/>
        </w:rPr>
        <w:t xml:space="preserve">Sumner LW, Amberg A, Barrett D, et al. </w:t>
      </w:r>
      <w:hyperlink r:id="rId31">
        <w:r>
          <w:rPr>
            <w:rFonts w:ascii="Calibri" w:hAnsi="Calibri"/>
            <w:color w:val="2E74B5"/>
            <w:u w:val="single"/>
            <w:sz w:val="22"/>
          </w:rPr>
          <w:t>Proposed minimum reporting standards for chemical analysis</w:t>
        </w:r>
      </w:hyperlink>
      <w:r>
        <w:rPr>
          <w:rFonts w:ascii="Calibri" w:hAnsi="Calibri"/>
          <w:color w:val="222222"/>
        </w:rPr>
        <w:t xml:space="preserve">. </w:t>
      </w:r>
      <w:r>
        <w:rPr>
          <w:rFonts w:ascii="Calibri" w:hAnsi="Calibri"/>
          <w:i/>
          <w:color w:val="222222"/>
        </w:rPr>
        <w:t>Metabolomics</w:t>
      </w:r>
      <w:r>
        <w:rPr>
          <w:rFonts w:ascii="Calibri" w:hAnsi="Calibri"/>
          <w:color w:val="222222"/>
        </w:rPr>
        <w:t>. 2007;3:211-221.</w:t>
      </w:r>
    </w:p>
    <w:p>
      <w:r>
        <w:br w:type="page"/>
      </w:r>
    </w:p>
    <w:p>
      <w:pPr>
        <w:pStyle w:val="Heading1"/>
      </w:pPr>
      <w:r>
        <w:rPr>
          <w:rFonts w:ascii="Calibri" w:hAnsi="Calibri"/>
          <w:color w:val="222222"/>
        </w:rPr>
        <w:t>Lesson 4 - Guided analysis and biological interpretation</w:t>
      </w:r>
    </w:p>
    <w:p>
      <w:r>
        <w:rPr>
          <w:rFonts w:ascii="Calibri" w:hAnsi="Calibri"/>
          <w:b/>
          <w:color w:val="222222"/>
        </w:rPr>
        <w:t>Estimated time:</w:t>
      </w:r>
      <w:r>
        <w:rPr>
          <w:rFonts w:ascii="Calibri" w:hAnsi="Calibri"/>
          <w:color w:val="222222"/>
        </w:rPr>
        <w:t xml:space="preserve"> 40 minutes</w:t>
      </w:r>
    </w:p>
    <w:p>
      <w:r>
        <w:rPr>
          <w:rFonts w:ascii="Calibri" w:hAnsi="Calibri"/>
          <w:b/>
          <w:color w:val="222222"/>
        </w:rPr>
        <w:t>Bloom levels:</w:t>
      </w:r>
      <w:r>
        <w:rPr>
          <w:rFonts w:ascii="Calibri" w:hAnsi="Calibri"/>
          <w:color w:val="222222"/>
        </w:rPr>
        <w:t xml:space="preserve"> Apply, analyze, evaluate</w:t>
      </w:r>
    </w:p>
    <w:p>
      <w:r>
        <w:rPr>
          <w:rFonts w:ascii="Calibri" w:hAnsi="Calibri"/>
          <w:b/>
          <w:color w:val="222222"/>
        </w:rPr>
        <w:t>Module objectives addressed:</w:t>
      </w:r>
      <w:r>
        <w:rPr>
          <w:rFonts w:ascii="Calibri" w:hAnsi="Calibri"/>
          <w:color w:val="222222"/>
        </w:rPr>
        <w:t xml:space="preserve"> LO2, LO4</w:t>
      </w:r>
    </w:p>
    <w:p>
      <w:pPr>
        <w:pStyle w:val="Heading2"/>
      </w:pPr>
      <w:r>
        <w:rPr>
          <w:rFonts w:ascii="Calibri" w:hAnsi="Calibri"/>
          <w:color w:val="222222"/>
        </w:rPr>
        <w:t>Learning objectives</w:t>
      </w:r>
    </w:p>
    <w:p>
      <w:r>
        <w:rPr>
          <w:rFonts w:ascii="Calibri" w:hAnsi="Calibri"/>
          <w:color w:val="222222"/>
        </w:rPr>
        <w:t>By the end of this lesson, you will be able to:</w:t>
      </w:r>
    </w:p>
    <w:p>
      <w:pPr>
        <w:numPr>
          <w:ilvl w:val="0"/>
          <w:numId w:val="53"/>
        </w:numPr>
        <w:spacing w:after="80" w:line="300" w:lineRule="auto"/>
      </w:pPr>
      <w:r>
        <w:rPr>
          <w:rFonts w:ascii="Calibri" w:hAnsi="Calibri"/>
          <w:color w:val="222222"/>
        </w:rPr>
        <w:t>Retrieve and validate study summaries, factors, analyses, metabolites, and data through the Metabolomics Workbench REST API.</w:t>
      </w:r>
    </w:p>
    <w:p>
      <w:pPr>
        <w:numPr>
          <w:ilvl w:val="0"/>
          <w:numId w:val="53"/>
        </w:numPr>
        <w:spacing w:after="80" w:line="300" w:lineRule="auto"/>
      </w:pPr>
      <w:r>
        <w:rPr>
          <w:rFonts w:ascii="Calibri" w:hAnsi="Calibri"/>
          <w:color w:val="222222"/>
        </w:rPr>
        <w:t>Apply the reviewed crosswalk without losing study, analysis, sample, specimen, or timepoint provenance.</w:t>
      </w:r>
    </w:p>
    <w:p>
      <w:pPr>
        <w:numPr>
          <w:ilvl w:val="0"/>
          <w:numId w:val="53"/>
        </w:numPr>
        <w:spacing w:after="80" w:line="300" w:lineRule="auto"/>
      </w:pPr>
      <w:r>
        <w:rPr>
          <w:rFonts w:ascii="Calibri" w:hAnsi="Calibri"/>
          <w:color w:val="222222"/>
        </w:rPr>
        <w:t>Quantify name-level overlap and summarize chemical classes with explicit eligibility rules.</w:t>
      </w:r>
    </w:p>
    <w:p>
      <w:pPr>
        <w:numPr>
          <w:ilvl w:val="0"/>
          <w:numId w:val="53"/>
        </w:numPr>
        <w:spacing w:after="80" w:line="300" w:lineRule="auto"/>
      </w:pPr>
      <w:r>
        <w:rPr>
          <w:rFonts w:ascii="Calibri" w:hAnsi="Calibri"/>
          <w:color w:val="222222"/>
        </w:rPr>
        <w:t>Run and interpret principal component analysis within each study as an exploratory diagnostic.</w:t>
      </w:r>
    </w:p>
    <w:p>
      <w:pPr>
        <w:numPr>
          <w:ilvl w:val="0"/>
          <w:numId w:val="53"/>
        </w:numPr>
        <w:spacing w:after="80" w:line="300" w:lineRule="auto"/>
      </w:pPr>
      <w:r>
        <w:rPr>
          <w:rFonts w:ascii="Calibri" w:hAnsi="Calibri"/>
          <w:color w:val="222222"/>
        </w:rPr>
        <w:t>Separate observations supported by the output from explanations that remain biologically or technically ambiguous.</w:t>
      </w:r>
    </w:p>
    <w:p>
      <w:pPr>
        <w:pStyle w:val="Heading2"/>
      </w:pPr>
      <w:r>
        <w:rPr>
          <w:rFonts w:ascii="Calibri" w:hAnsi="Calibri"/>
          <w:color w:val="222222"/>
        </w:rPr>
        <w:t>Lesson map</w:t>
      </w:r>
    </w:p>
    <w:tbl>
      <w:tblPr>
        <w:tblStyle w:val="TableGrid"/>
        <w:tblW w:type="dxa" w:w="9360"/>
        <w:jc w:val="left"/>
        <w:tblLayout w:type="fixed"/>
        <w:tblLook w:firstColumn="1" w:firstRow="1" w:lastColumn="0" w:lastRow="0" w:noHBand="0" w:noVBand="1" w:val="04A0"/>
        <w:tblInd w:w="120" w:type="dxa"/>
      </w:tblPr>
      <w:tblGrid>
        <w:gridCol w:w="6552"/>
        <w:gridCol w:w="2808"/>
      </w:tblGrid>
      <w:tr>
        <w:trPr>
          <w:cantSplit w:val="true"/>
          <w:tblHeader w:val="true"/>
        </w:trPr>
        <w:tc>
          <w:tcPr>
            <w:tcW w:type="dxa" w:w="6552"/>
            <w:tcMar>
              <w:top w:w="80" w:type="dxa"/>
              <w:bottom w:w="80" w:type="dxa"/>
              <w:start w:w="120" w:type="dxa"/>
              <w:end w:w="120" w:type="dxa"/>
            </w:tcMar>
            <w:vAlign w:val="center"/>
            <w:shd w:fill="E8EEF5"/>
          </w:tcPr>
          <w:p>
            <w:pPr>
              <w:spacing w:before="0" w:after="0" w:line="269" w:lineRule="auto"/>
              <w:jc w:val="left"/>
            </w:pPr>
            <w:r>
              <w:rPr>
                <w:b/>
                <w:color w:val="203748"/>
              </w:rPr>
            </w:r>
            <w:r>
              <w:rPr>
                <w:rFonts w:ascii="Calibri" w:hAnsi="Calibri"/>
                <w:b/>
                <w:color w:val="203748"/>
                <w:sz w:val="18"/>
              </w:rPr>
              <w:t>Activity</w:t>
            </w:r>
          </w:p>
        </w:tc>
        <w:tc>
          <w:tcPr>
            <w:tcW w:type="dxa" w:w="2808"/>
            <w:tcMar>
              <w:top w:w="80" w:type="dxa"/>
              <w:bottom w:w="80" w:type="dxa"/>
              <w:start w:w="120" w:type="dxa"/>
              <w:end w:w="120" w:type="dxa"/>
            </w:tcMar>
            <w:vAlign w:val="center"/>
            <w:shd w:fill="E8EEF5"/>
          </w:tcPr>
          <w:p>
            <w:pPr>
              <w:spacing w:before="0" w:after="0" w:line="269" w:lineRule="auto"/>
              <w:jc w:val="center"/>
            </w:pPr>
            <w:r>
              <w:rPr>
                <w:b/>
                <w:color w:val="203748"/>
              </w:rPr>
            </w:r>
            <w:r>
              <w:rPr>
                <w:rFonts w:ascii="Calibri" w:hAnsi="Calibri"/>
                <w:b/>
                <w:color w:val="203748"/>
                <w:sz w:val="18"/>
              </w:rPr>
              <w:t>Minutes</w:t>
            </w:r>
          </w:p>
        </w:tc>
      </w:tr>
      <w:tr>
        <w:trPr>
          <w:cantSplit w:val="true"/>
        </w:trPr>
        <w:tc>
          <w:tcPr>
            <w:tcW w:type="dxa" w:w="6552"/>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Configure, retrieve, and validate</w:t>
            </w:r>
          </w:p>
        </w:tc>
        <w:tc>
          <w:tcPr>
            <w:tcW w:type="dxa" w:w="2808"/>
            <w:tcMar>
              <w:top w:w="80" w:type="dxa"/>
              <w:bottom w:w="80" w:type="dxa"/>
              <w:start w:w="120" w:type="dxa"/>
              <w:end w:w="120" w:type="dxa"/>
            </w:tcMar>
            <w:vAlign w:val="center"/>
          </w:tcPr>
          <w:p>
            <w:pPr>
              <w:spacing w:before="0" w:after="0" w:line="269" w:lineRule="auto"/>
              <w:jc w:val="center"/>
            </w:pPr>
            <w:r/>
            <w:r>
              <w:rPr>
                <w:rFonts w:ascii="Calibri" w:hAnsi="Calibri"/>
                <w:color w:val="222222"/>
                <w:sz w:val="18"/>
              </w:rPr>
              <w:t>8</w:t>
            </w:r>
          </w:p>
        </w:tc>
      </w:tr>
      <w:tr>
        <w:trPr>
          <w:cantSplit w:val="true"/>
        </w:trPr>
        <w:tc>
          <w:tcPr>
            <w:tcW w:type="dxa" w:w="6552"/>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Join and audit the crosswalk</w:t>
            </w:r>
          </w:p>
        </w:tc>
        <w:tc>
          <w:tcPr>
            <w:tcW w:type="dxa" w:w="2808"/>
            <w:tcMar>
              <w:top w:w="80" w:type="dxa"/>
              <w:bottom w:w="80" w:type="dxa"/>
              <w:start w:w="120" w:type="dxa"/>
              <w:end w:w="120" w:type="dxa"/>
            </w:tcMar>
            <w:vAlign w:val="center"/>
          </w:tcPr>
          <w:p>
            <w:pPr>
              <w:spacing w:before="0" w:after="0" w:line="269" w:lineRule="auto"/>
              <w:jc w:val="center"/>
            </w:pPr>
            <w:r/>
            <w:r>
              <w:rPr>
                <w:rFonts w:ascii="Calibri" w:hAnsi="Calibri"/>
                <w:color w:val="222222"/>
                <w:sz w:val="18"/>
              </w:rPr>
              <w:t>6</w:t>
            </w:r>
          </w:p>
        </w:tc>
      </w:tr>
      <w:tr>
        <w:trPr>
          <w:cantSplit w:val="true"/>
        </w:trPr>
        <w:tc>
          <w:tcPr>
            <w:tcW w:type="dxa" w:w="6552"/>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Overlap and class summaries</w:t>
            </w:r>
          </w:p>
        </w:tc>
        <w:tc>
          <w:tcPr>
            <w:tcW w:type="dxa" w:w="2808"/>
            <w:tcMar>
              <w:top w:w="80" w:type="dxa"/>
              <w:bottom w:w="80" w:type="dxa"/>
              <w:start w:w="120" w:type="dxa"/>
              <w:end w:w="120" w:type="dxa"/>
            </w:tcMar>
            <w:vAlign w:val="center"/>
          </w:tcPr>
          <w:p>
            <w:pPr>
              <w:spacing w:before="0" w:after="0" w:line="269" w:lineRule="auto"/>
              <w:jc w:val="center"/>
            </w:pPr>
            <w:r/>
            <w:r>
              <w:rPr>
                <w:rFonts w:ascii="Calibri" w:hAnsi="Calibri"/>
                <w:color w:val="222222"/>
                <w:sz w:val="18"/>
              </w:rPr>
              <w:t>7</w:t>
            </w:r>
          </w:p>
        </w:tc>
      </w:tr>
      <w:tr>
        <w:trPr>
          <w:cantSplit w:val="true"/>
        </w:trPr>
        <w:tc>
          <w:tcPr>
            <w:tcW w:type="dxa" w:w="6552"/>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Within-study PCA</w:t>
            </w:r>
          </w:p>
        </w:tc>
        <w:tc>
          <w:tcPr>
            <w:tcW w:type="dxa" w:w="2808"/>
            <w:tcMar>
              <w:top w:w="80" w:type="dxa"/>
              <w:bottom w:w="80" w:type="dxa"/>
              <w:start w:w="120" w:type="dxa"/>
              <w:end w:w="120" w:type="dxa"/>
            </w:tcMar>
            <w:vAlign w:val="center"/>
          </w:tcPr>
          <w:p>
            <w:pPr>
              <w:spacing w:before="0" w:after="0" w:line="269" w:lineRule="auto"/>
              <w:jc w:val="center"/>
            </w:pPr>
            <w:r/>
            <w:r>
              <w:rPr>
                <w:rFonts w:ascii="Calibri" w:hAnsi="Calibri"/>
                <w:color w:val="222222"/>
                <w:sz w:val="18"/>
              </w:rPr>
              <w:t>9</w:t>
            </w:r>
          </w:p>
        </w:tc>
      </w:tr>
      <w:tr>
        <w:trPr>
          <w:cantSplit w:val="true"/>
        </w:trPr>
        <w:tc>
          <w:tcPr>
            <w:tcW w:type="dxa" w:w="6552"/>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Interpretation challenge</w:t>
            </w:r>
          </w:p>
        </w:tc>
        <w:tc>
          <w:tcPr>
            <w:tcW w:type="dxa" w:w="2808"/>
            <w:tcMar>
              <w:top w:w="80" w:type="dxa"/>
              <w:bottom w:w="80" w:type="dxa"/>
              <w:start w:w="120" w:type="dxa"/>
              <w:end w:w="120" w:type="dxa"/>
            </w:tcMar>
            <w:vAlign w:val="center"/>
          </w:tcPr>
          <w:p>
            <w:pPr>
              <w:spacing w:before="0" w:after="0" w:line="269" w:lineRule="auto"/>
              <w:jc w:val="center"/>
            </w:pPr>
            <w:r/>
            <w:r>
              <w:rPr>
                <w:rFonts w:ascii="Calibri" w:hAnsi="Calibri"/>
                <w:color w:val="222222"/>
                <w:sz w:val="18"/>
              </w:rPr>
              <w:t>7</w:t>
            </w:r>
          </w:p>
        </w:tc>
      </w:tr>
      <w:tr>
        <w:trPr>
          <w:cantSplit w:val="true"/>
        </w:trPr>
        <w:tc>
          <w:tcPr>
            <w:tcW w:type="dxa" w:w="6552"/>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Knowledge check</w:t>
            </w:r>
          </w:p>
        </w:tc>
        <w:tc>
          <w:tcPr>
            <w:tcW w:type="dxa" w:w="2808"/>
            <w:tcMar>
              <w:top w:w="80" w:type="dxa"/>
              <w:bottom w:w="80" w:type="dxa"/>
              <w:start w:w="120" w:type="dxa"/>
              <w:end w:w="120" w:type="dxa"/>
            </w:tcMar>
            <w:vAlign w:val="center"/>
          </w:tcPr>
          <w:p>
            <w:pPr>
              <w:spacing w:before="0" w:after="0" w:line="269" w:lineRule="auto"/>
              <w:jc w:val="center"/>
            </w:pPr>
            <w:r/>
            <w:r>
              <w:rPr>
                <w:rFonts w:ascii="Calibri" w:hAnsi="Calibri"/>
                <w:color w:val="222222"/>
                <w:sz w:val="18"/>
              </w:rPr>
              <w:t>3</w:t>
            </w:r>
          </w:p>
        </w:tc>
      </w:tr>
    </w:tbl>
    <w:p>
      <w:pPr>
        <w:spacing w:before="0" w:after="40"/>
      </w:pPr>
    </w:p>
    <w:p>
      <w:pPr>
        <w:spacing w:before="100" w:after="120"/>
        <w:ind w:left="259" w:right="115"/>
        <w:shd w:fill="F4F6F9"/>
        <w:pBdr>
          <w:left w:val="single" w:sz="16" w:space="8" w:color="2E74B5"/>
        </w:pBdr>
      </w:pPr>
      <w:r>
        <w:rPr>
          <w:rFonts w:ascii="Calibri" w:hAnsi="Calibri"/>
          <w:b/>
          <w:color w:val="1F4D78"/>
        </w:rPr>
        <w:t>In the notebook (NB-L4):</w:t>
      </w:r>
      <w:r>
        <w:rPr>
          <w:rFonts w:ascii="Calibri" w:hAnsi="Calibri"/>
          <w:color w:val="1F4D78"/>
        </w:rPr>
        <w:t xml:space="preserve"> Run </w:t>
      </w:r>
      <w:r>
        <w:rPr>
          <w:rFonts w:ascii="Consolas" w:hAnsi="Consolas"/>
          <w:color w:val="1F4D78"/>
          <w:sz w:val="21"/>
          <w:shd w:fill="EEF1F4"/>
        </w:rPr>
        <w:t>NB-L4-CLASS</w:t>
      </w:r>
      <w:r>
        <w:rPr>
          <w:rFonts w:ascii="Calibri" w:hAnsi="Calibri"/>
          <w:color w:val="1F4D78"/>
        </w:rPr>
        <w:t xml:space="preserve">, </w:t>
      </w:r>
      <w:r>
        <w:rPr>
          <w:rFonts w:ascii="Consolas" w:hAnsi="Consolas"/>
          <w:color w:val="1F4D78"/>
          <w:sz w:val="21"/>
          <w:shd w:fill="EEF1F4"/>
        </w:rPr>
        <w:t>NB-L4-PCA-DIET</w:t>
      </w:r>
      <w:r>
        <w:rPr>
          <w:rFonts w:ascii="Calibri" w:hAnsi="Calibri"/>
          <w:color w:val="1F4D78"/>
        </w:rPr>
        <w:t xml:space="preserve">, and </w:t>
      </w:r>
      <w:r>
        <w:rPr>
          <w:rFonts w:ascii="Consolas" w:hAnsi="Consolas"/>
          <w:color w:val="1F4D78"/>
          <w:sz w:val="21"/>
          <w:shd w:fill="EEF1F4"/>
        </w:rPr>
        <w:t>NB-L4-PCA-EXERCISE</w:t>
      </w:r>
      <w:r>
        <w:rPr>
          <w:rFonts w:ascii="Calibri" w:hAnsi="Calibri"/>
          <w:color w:val="1F4D78"/>
        </w:rPr>
        <w:t xml:space="preserve"> in order. Complete both learner-edit cells and the four-sentence note before reading the sample answer. The same PCA figures appear in the appendix.</w:t>
      </w:r>
    </w:p>
    <w:p>
      <w:pPr>
        <w:pStyle w:val="Heading2"/>
      </w:pPr>
      <w:r>
        <w:rPr>
          <w:rFonts w:ascii="Calibri" w:hAnsi="Calibri"/>
          <w:color w:val="222222"/>
        </w:rPr>
        <w:t>1. Locked case-study configuration</w:t>
      </w:r>
    </w:p>
    <w:p>
      <w:r>
        <w:rPr>
          <w:rFonts w:ascii="Calibri" w:hAnsi="Calibri"/>
          <w:color w:val="222222"/>
        </w:rPr>
        <w:t>The release configuration is:</w:t>
      </w:r>
    </w:p>
    <w:p>
      <w:pPr>
        <w:keepNext/>
        <w:keepLines/>
        <w:spacing w:before="0" w:after="0" w:line="240" w:lineRule="auto"/>
        <w:ind w:left="259" w:right="72"/>
        <w:shd w:fill="F3F5F7"/>
        <w:pBdr>
          <w:left w:val="single" w:sz="16" w:space="8" w:color="B8C3CC"/>
        </w:pBdr>
      </w:pPr>
      <w:r>
        <w:rPr>
          <w:rFonts w:ascii="Consolas" w:hAnsi="Consolas"/>
          <w:color w:val="24313B"/>
          <w:sz w:val="16"/>
        </w:rPr>
        <w:t>DIET_ACCESSION = ST001521</w:t>
      </w:r>
    </w:p>
    <w:p>
      <w:pPr>
        <w:keepNext w:val="0"/>
        <w:keepLines/>
        <w:spacing w:before="0" w:after="120" w:line="240" w:lineRule="auto"/>
        <w:ind w:left="259" w:right="72"/>
        <w:shd w:fill="F3F5F7"/>
        <w:pBdr>
          <w:left w:val="single" w:sz="16" w:space="8" w:color="B8C3CC"/>
        </w:pBdr>
      </w:pPr>
      <w:r>
        <w:rPr>
          <w:rFonts w:ascii="Consolas" w:hAnsi="Consolas"/>
          <w:color w:val="24313B"/>
          <w:sz w:val="16"/>
        </w:rPr>
        <w:t>EXERCISE_ACCESSION = ST003348</w:t>
      </w:r>
    </w:p>
    <w:p>
      <w:r>
        <w:rPr>
          <w:rFonts w:ascii="Calibri" w:hAnsi="Calibri"/>
          <w:color w:val="222222"/>
        </w:rPr>
        <w:t>Keep the variable names in code and prose even though the accessions are now locked. This preserves the proposal's one-cell substitution design and makes a fallback pair possible.</w:t>
      </w:r>
    </w:p>
    <w:p>
      <w:pPr>
        <w:pStyle w:val="Heading3"/>
      </w:pPr>
      <w:r>
        <w:rPr>
          <w:rFonts w:ascii="Calibri" w:hAnsi="Calibri"/>
          <w:color w:val="222222"/>
        </w:rPr>
        <w:t xml:space="preserve">Diet case: </w:t>
      </w:r>
      <w:r>
        <w:rPr>
          <w:rFonts w:ascii="Consolas" w:hAnsi="Consolas"/>
          <w:color w:val="1F4D78"/>
          <w:sz w:val="21"/>
          <w:shd w:fill="EEF1F4"/>
        </w:rPr>
        <w:t>ST001521</w:t>
      </w:r>
    </w:p>
    <w:p>
      <w:r>
        <w:rPr>
          <w:rFonts w:ascii="Calibri" w:hAnsi="Calibri"/>
          <w:color w:val="222222"/>
        </w:rPr>
        <w:t xml:space="preserve">Metabolomics Workbench describes this FARMM study as a longitudinal human feeding study with three diet groups and plasma metabolomics. The study record reports 30 volunteers and five biological collection times. The factor response contains 160 rows: 150 participant-timepoint rows plus 10 pooled quality-control rows labeled </w:t>
      </w:r>
      <w:r>
        <w:rPr>
          <w:rFonts w:ascii="Consolas" w:hAnsi="Consolas"/>
          <w:color w:val="1F4D78"/>
          <w:sz w:val="21"/>
          <w:shd w:fill="EEF1F4"/>
        </w:rPr>
        <w:t>QPP...</w:t>
      </w:r>
      <w:r>
        <w:rPr>
          <w:rFonts w:ascii="Calibri" w:hAnsi="Calibri"/>
          <w:color w:val="222222"/>
        </w:rPr>
        <w:t xml:space="preserve"> with diet, sex, and time recorded as </w:t>
      </w:r>
      <w:r>
        <w:rPr>
          <w:rFonts w:ascii="Consolas" w:hAnsi="Consolas"/>
          <w:color w:val="1F4D78"/>
          <w:sz w:val="21"/>
          <w:shd w:fill="EEF1F4"/>
        </w:rPr>
        <w:t>NA</w:t>
      </w:r>
      <w:r>
        <w:rPr>
          <w:rFonts w:ascii="Calibri" w:hAnsi="Calibri"/>
          <w:color w:val="222222"/>
        </w:rPr>
        <w:t>. Four analysis records cover different chromatography and ion-mode combinations and report unitless peak areas.</w:t>
      </w:r>
    </w:p>
    <w:p>
      <w:r>
        <w:rPr>
          <w:rFonts w:ascii="Consolas" w:hAnsi="Consolas"/>
          <w:color w:val="1F4D78"/>
          <w:sz w:val="21"/>
          <w:shd w:fill="EEF1F4"/>
        </w:rPr>
        <w:t>ST001521</w:t>
      </w:r>
      <w:r>
        <w:rPr>
          <w:rFonts w:ascii="Calibri" w:hAnsi="Calibri"/>
          <w:color w:val="222222"/>
        </w:rPr>
        <w:t xml:space="preserve"> is not a simple three-arm diet trial. Participants also underwent antibiotic and polyethylene glycol procedures during the time course; the vegan group continued its usual diet as outpatients, while 20 omnivores were randomized to an omnivore diet or exclusive enteral nutrition in an inpatient unit. Changes across days therefore cannot be attributed to diet alone without a design-appropriate model and assumptions.</w:t>
      </w:r>
    </w:p>
    <w:p>
      <w:pPr>
        <w:pStyle w:val="Heading3"/>
      </w:pPr>
      <w:r>
        <w:rPr>
          <w:rFonts w:ascii="Calibri" w:hAnsi="Calibri"/>
          <w:color w:val="222222"/>
        </w:rPr>
        <w:t xml:space="preserve">Exercise case: </w:t>
      </w:r>
      <w:r>
        <w:rPr>
          <w:rFonts w:ascii="Consolas" w:hAnsi="Consolas"/>
          <w:color w:val="1F4D78"/>
          <w:sz w:val="21"/>
          <w:shd w:fill="EEF1F4"/>
        </w:rPr>
        <w:t>ST003348</w:t>
      </w:r>
    </w:p>
    <w:p>
      <w:r>
        <w:rPr>
          <w:rFonts w:ascii="Calibri" w:hAnsi="Calibri"/>
          <w:color w:val="222222"/>
        </w:rPr>
        <w:t xml:space="preserve">Metabolomics Workbench describes an endurance exercise study of race walkers with 76 samples: 19 athletes at four timepoints. The project record defines </w:t>
      </w:r>
      <w:r>
        <w:rPr>
          <w:rFonts w:ascii="Consolas" w:hAnsi="Consolas"/>
          <w:color w:val="1F4D78"/>
          <w:sz w:val="21"/>
          <w:shd w:fill="EEF1F4"/>
        </w:rPr>
        <w:t>REST</w:t>
      </w:r>
      <w:r>
        <w:rPr>
          <w:rFonts w:ascii="Calibri" w:hAnsi="Calibri"/>
          <w:color w:val="222222"/>
        </w:rPr>
        <w:t xml:space="preserve"> as pre-exercise, </w:t>
      </w:r>
      <w:r>
        <w:rPr>
          <w:rFonts w:ascii="Consolas" w:hAnsi="Consolas"/>
          <w:color w:val="1F4D78"/>
          <w:sz w:val="21"/>
          <w:shd w:fill="EEF1F4"/>
        </w:rPr>
        <w:t>STAT</w:t>
      </w:r>
      <w:r>
        <w:rPr>
          <w:rFonts w:ascii="Calibri" w:hAnsi="Calibri"/>
          <w:color w:val="222222"/>
        </w:rPr>
        <w:t xml:space="preserve"> as immediately post-exercise, </w:t>
      </w:r>
      <w:r>
        <w:rPr>
          <w:rFonts w:ascii="Consolas" w:hAnsi="Consolas"/>
          <w:color w:val="1F4D78"/>
          <w:sz w:val="21"/>
          <w:shd w:fill="EEF1F4"/>
        </w:rPr>
        <w:t>REC3</w:t>
      </w:r>
      <w:r>
        <w:rPr>
          <w:rFonts w:ascii="Calibri" w:hAnsi="Calibri"/>
          <w:color w:val="222222"/>
        </w:rPr>
        <w:t xml:space="preserve"> as 3 hours into recovery, and </w:t>
      </w:r>
      <w:r>
        <w:rPr>
          <w:rFonts w:ascii="Consolas" w:hAnsi="Consolas"/>
          <w:color w:val="1F4D78"/>
          <w:sz w:val="21"/>
          <w:shd w:fill="EEF1F4"/>
        </w:rPr>
        <w:t>REC22</w:t>
      </w:r>
      <w:r>
        <w:rPr>
          <w:rFonts w:ascii="Calibri" w:hAnsi="Calibri"/>
          <w:color w:val="222222"/>
        </w:rPr>
        <w:t xml:space="preserve"> as 22 hours post-exercise. Two analysis records cover reversed-phase positive- and negative-ion modes and report peak area.</w:t>
      </w:r>
    </w:p>
    <w:p>
      <w:r>
        <w:rPr>
          <w:rFonts w:ascii="Calibri" w:hAnsi="Calibri"/>
          <w:color w:val="222222"/>
        </w:rPr>
        <w:t xml:space="preserve">The factors endpoint uses the broad sample-source label </w:t>
      </w:r>
      <w:r>
        <w:rPr>
          <w:rFonts w:ascii="Consolas" w:hAnsi="Consolas"/>
          <w:color w:val="1F4D78"/>
          <w:sz w:val="21"/>
          <w:shd w:fill="EEF1F4"/>
        </w:rPr>
        <w:t>blood</w:t>
      </w:r>
      <w:r>
        <w:rPr>
          <w:rFonts w:ascii="Calibri" w:hAnsi="Calibri"/>
          <w:color w:val="222222"/>
        </w:rPr>
        <w:t xml:space="preserve">, while the collection record specifies </w:t>
      </w:r>
      <w:r>
        <w:rPr>
          <w:rFonts w:ascii="Consolas" w:hAnsi="Consolas"/>
          <w:color w:val="1F4D78"/>
          <w:sz w:val="21"/>
          <w:shd w:fill="EEF1F4"/>
        </w:rPr>
        <w:t>Blood (serum)</w:t>
      </w:r>
      <w:r>
        <w:rPr>
          <w:rFonts w:ascii="Calibri" w:hAnsi="Calibri"/>
          <w:color w:val="222222"/>
        </w:rPr>
        <w:t xml:space="preserve"> and describes clotting and serum preparation. Keep </w:t>
      </w:r>
      <w:r>
        <w:rPr>
          <w:rFonts w:ascii="Consolas" w:hAnsi="Consolas"/>
          <w:color w:val="1F4D78"/>
          <w:sz w:val="21"/>
          <w:shd w:fill="EEF1F4"/>
        </w:rPr>
        <w:t>blood</w:t>
      </w:r>
      <w:r>
        <w:rPr>
          <w:rFonts w:ascii="Calibri" w:hAnsi="Calibri"/>
          <w:color w:val="222222"/>
        </w:rPr>
        <w:t xml:space="preserve"> as the submitted factor value, use serum as the more specific matrix supported by the collection record, and cite both sources.</w:t>
      </w:r>
    </w:p>
    <w:p>
      <w:pPr>
        <w:pStyle w:val="Heading3"/>
      </w:pPr>
      <w:r>
        <w:rPr>
          <w:rFonts w:ascii="Calibri" w:hAnsi="Calibri"/>
          <w:color w:val="222222"/>
        </w:rPr>
        <w:t>Cross-study compatibility decision</w:t>
      </w:r>
    </w:p>
    <w:p>
      <w:r>
        <w:rPr>
          <w:rFonts w:ascii="Calibri" w:hAnsi="Calibri"/>
          <w:color w:val="222222"/>
        </w:rPr>
        <w:t>The diet study uses plasma; the exercise study uses serum. Their time axes also represent different processes: study days spanning feeding and microbiota-depletion procedures versus minutes to hours after an endurance exercise bout. Treat both domains as partially comparable for broad discovery and not directly comparable for a pooled quantitative effect.</w:t>
      </w:r>
    </w:p>
    <w:p>
      <w:pPr>
        <w:pStyle w:val="Heading2"/>
      </w:pPr>
      <w:r>
        <w:rPr>
          <w:rFonts w:ascii="Calibri" w:hAnsi="Calibri"/>
          <w:color w:val="222222"/>
        </w:rPr>
        <w:t>2. Open the notebook safely</w:t>
      </w:r>
    </w:p>
    <w:p>
      <w:r>
        <w:rPr>
          <w:rFonts w:ascii="Calibri" w:hAnsi="Calibri"/>
          <w:color w:val="222222"/>
        </w:rPr>
        <w:t xml:space="preserve">Open </w:t>
      </w:r>
      <w:r>
        <w:rPr>
          <w:rFonts w:ascii="Consolas" w:hAnsi="Consolas"/>
          <w:color w:val="1F4D78"/>
          <w:sz w:val="21"/>
          <w:shd w:fill="EEF1F4"/>
        </w:rPr>
        <w:t>module/notebooks/metabo_diet_harmonization.ipynb</w:t>
      </w:r>
      <w:r>
        <w:rPr>
          <w:rFonts w:ascii="Calibri" w:hAnsi="Calibri"/>
          <w:color w:val="222222"/>
        </w:rPr>
        <w:t xml:space="preserve"> in the </w:t>
      </w:r>
      <w:r>
        <w:rPr>
          <w:rFonts w:ascii="Calibri" w:hAnsi="Calibri"/>
          <w:b/>
          <w:color w:val="222222"/>
        </w:rPr>
        <w:t>Python 3 (ipykernel)</w:t>
      </w:r>
      <w:r>
        <w:rPr>
          <w:rFonts w:ascii="Calibri" w:hAnsi="Calibri"/>
          <w:color w:val="222222"/>
        </w:rPr>
        <w:t xml:space="preserve"> kernel launched from </w:t>
      </w:r>
      <w:r>
        <w:rPr>
          <w:rFonts w:ascii="Consolas" w:hAnsi="Consolas"/>
          <w:color w:val="1F4D78"/>
          <w:sz w:val="21"/>
          <w:shd w:fill="EEF1F4"/>
        </w:rPr>
        <w:t>.venv</w:t>
      </w:r>
      <w:r>
        <w:rPr>
          <w:rFonts w:ascii="Calibri" w:hAnsi="Calibri"/>
          <w:color w:val="222222"/>
        </w:rPr>
        <w:t xml:space="preserve">. Complete </w:t>
      </w:r>
      <w:r>
        <w:rPr>
          <w:rFonts w:ascii="Consolas" w:hAnsi="Consolas"/>
          <w:color w:val="1F4D78"/>
          <w:sz w:val="21"/>
          <w:shd w:fill="EEF1F4"/>
        </w:rPr>
        <w:t>NB-SETUP</w:t>
      </w:r>
      <w:r>
        <w:rPr>
          <w:rFonts w:ascii="Calibri" w:hAnsi="Calibri"/>
          <w:color w:val="222222"/>
        </w:rPr>
        <w:t xml:space="preserve"> and run </w:t>
      </w:r>
      <w:r>
        <w:rPr>
          <w:rFonts w:ascii="Consolas" w:hAnsi="Consolas"/>
          <w:color w:val="1F4D78"/>
          <w:sz w:val="21"/>
          <w:shd w:fill="EEF1F4"/>
        </w:rPr>
        <w:t>NB-L1</w:t>
      </w:r>
      <w:r>
        <w:rPr>
          <w:rFonts w:ascii="Calibri" w:hAnsi="Calibri"/>
          <w:color w:val="222222"/>
        </w:rPr>
        <w:t xml:space="preserve"> through </w:t>
      </w:r>
      <w:r>
        <w:rPr>
          <w:rFonts w:ascii="Consolas" w:hAnsi="Consolas"/>
          <w:color w:val="1F4D78"/>
          <w:sz w:val="21"/>
          <w:shd w:fill="EEF1F4"/>
        </w:rPr>
        <w:t>NB-L3</w:t>
      </w:r>
      <w:r>
        <w:rPr>
          <w:rFonts w:ascii="Calibri" w:hAnsi="Calibri"/>
          <w:color w:val="222222"/>
        </w:rPr>
        <w:t xml:space="preserve"> before starting this lesson; the Lesson 4 cells depend on those validated objects. Then follow this order:</w:t>
      </w:r>
    </w:p>
    <w:p>
      <w:pPr>
        <w:numPr>
          <w:ilvl w:val="0"/>
          <w:numId w:val="54"/>
        </w:numPr>
        <w:spacing w:after="80" w:line="300" w:lineRule="auto"/>
      </w:pPr>
      <w:r>
        <w:rPr>
          <w:rFonts w:ascii="Calibri" w:hAnsi="Calibri"/>
          <w:color w:val="222222"/>
        </w:rPr>
        <w:t xml:space="preserve">Run </w:t>
      </w:r>
      <w:r>
        <w:rPr>
          <w:rFonts w:ascii="Consolas" w:hAnsi="Consolas"/>
          <w:color w:val="1F4D78"/>
          <w:sz w:val="21"/>
          <w:shd w:fill="EEF1F4"/>
        </w:rPr>
        <w:t>NB-L4-CLASS</w:t>
      </w:r>
      <w:r>
        <w:rPr>
          <w:rFonts w:ascii="Calibri" w:hAnsi="Calibri"/>
          <w:color w:val="222222"/>
        </w:rPr>
        <w:t xml:space="preserve"> and confirm that the class counts sum to 145.</w:t>
      </w:r>
    </w:p>
    <w:p>
      <w:pPr>
        <w:numPr>
          <w:ilvl w:val="0"/>
          <w:numId w:val="54"/>
        </w:numPr>
        <w:spacing w:after="80" w:line="300" w:lineRule="auto"/>
      </w:pPr>
      <w:r>
        <w:rPr>
          <w:rFonts w:ascii="Calibri" w:hAnsi="Calibri"/>
          <w:color w:val="222222"/>
        </w:rPr>
        <w:t xml:space="preserve">Run </w:t>
      </w:r>
      <w:r>
        <w:rPr>
          <w:rFonts w:ascii="Consolas" w:hAnsi="Consolas"/>
          <w:color w:val="1F4D78"/>
          <w:sz w:val="21"/>
          <w:shd w:fill="EEF1F4"/>
        </w:rPr>
        <w:t>NB-L4-PCA-DIET</w:t>
      </w:r>
      <w:r>
        <w:rPr>
          <w:rFonts w:ascii="Calibri" w:hAnsi="Calibri"/>
          <w:color w:val="222222"/>
        </w:rPr>
        <w:t xml:space="preserve"> and record its sample/feature counts and explained variance.</w:t>
      </w:r>
    </w:p>
    <w:p>
      <w:pPr>
        <w:numPr>
          <w:ilvl w:val="0"/>
          <w:numId w:val="54"/>
        </w:numPr>
        <w:spacing w:after="80" w:line="300" w:lineRule="auto"/>
      </w:pPr>
      <w:r>
        <w:rPr>
          <w:rFonts w:ascii="Calibri" w:hAnsi="Calibri"/>
          <w:color w:val="222222"/>
        </w:rPr>
        <w:t xml:space="preserve">Run </w:t>
      </w:r>
      <w:r>
        <w:rPr>
          <w:rFonts w:ascii="Consolas" w:hAnsi="Consolas"/>
          <w:color w:val="1F4D78"/>
          <w:sz w:val="21"/>
          <w:shd w:fill="EEF1F4"/>
        </w:rPr>
        <w:t>NB-L4-PCA-EXERCISE</w:t>
      </w:r>
      <w:r>
        <w:rPr>
          <w:rFonts w:ascii="Calibri" w:hAnsi="Calibri"/>
          <w:color w:val="222222"/>
        </w:rPr>
        <w:t xml:space="preserve"> and record the same fields without comparing coordinate values across models.</w:t>
      </w:r>
    </w:p>
    <w:p>
      <w:pPr>
        <w:numPr>
          <w:ilvl w:val="0"/>
          <w:numId w:val="54"/>
        </w:numPr>
        <w:spacing w:after="80" w:line="300" w:lineRule="auto"/>
      </w:pPr>
      <w:r>
        <w:rPr>
          <w:rFonts w:ascii="Calibri" w:hAnsi="Calibri"/>
          <w:color w:val="222222"/>
        </w:rPr>
        <w:t>Complete the shared-class and sensitivity learner-edit cells.</w:t>
      </w:r>
    </w:p>
    <w:p>
      <w:pPr>
        <w:numPr>
          <w:ilvl w:val="0"/>
          <w:numId w:val="54"/>
        </w:numPr>
        <w:spacing w:after="80" w:line="300" w:lineRule="auto"/>
      </w:pPr>
      <w:r>
        <w:rPr>
          <w:rFonts w:ascii="Calibri" w:hAnsi="Calibri"/>
          <w:color w:val="222222"/>
        </w:rPr>
        <w:t>Write the bounded interpretation before revealing the sample answer.</w:t>
      </w:r>
    </w:p>
    <w:p>
      <w:r>
        <w:rPr>
          <w:rFonts w:ascii="Calibri" w:hAnsi="Calibri"/>
          <w:color w:val="222222"/>
        </w:rPr>
        <w:t xml:space="preserve">Confirm the configuration cell shows the accessions above. The data provenance manifest at </w:t>
      </w:r>
      <w:r>
        <w:rPr>
          <w:rFonts w:ascii="Consolas" w:hAnsi="Consolas"/>
          <w:color w:val="1F4D78"/>
          <w:sz w:val="21"/>
          <w:shd w:fill="EEF1F4"/>
        </w:rPr>
        <w:t>module/data/provenance.json</w:t>
      </w:r>
      <w:r>
        <w:rPr>
          <w:rFonts w:ascii="Calibri" w:hAnsi="Calibri"/>
          <w:color w:val="222222"/>
        </w:rPr>
        <w:t xml:space="preserve"> should also provide:</w:t>
      </w:r>
    </w:p>
    <w:p>
      <w:pPr>
        <w:numPr>
          <w:ilvl w:val="0"/>
          <w:numId w:val="55"/>
        </w:numPr>
        <w:spacing w:after="80" w:line="300" w:lineRule="auto"/>
      </w:pPr>
      <w:r>
        <w:rPr>
          <w:rFonts w:ascii="Calibri" w:hAnsi="Calibri"/>
          <w:color w:val="222222"/>
        </w:rPr>
        <w:t>Selected analysis IDs or the rule used to include multiple analyses.</w:t>
      </w:r>
    </w:p>
    <w:p>
      <w:pPr>
        <w:numPr>
          <w:ilvl w:val="0"/>
          <w:numId w:val="55"/>
        </w:numPr>
        <w:spacing w:after="80" w:line="300" w:lineRule="auto"/>
      </w:pPr>
      <w:r>
        <w:rPr>
          <w:rFonts w:ascii="Calibri" w:hAnsi="Calibri"/>
          <w:color w:val="222222"/>
        </w:rPr>
        <w:t>Retrieval date and API base URL.</w:t>
      </w:r>
    </w:p>
    <w:p>
      <w:pPr>
        <w:numPr>
          <w:ilvl w:val="0"/>
          <w:numId w:val="55"/>
        </w:numPr>
        <w:spacing w:after="80" w:line="300" w:lineRule="auto"/>
      </w:pPr>
      <w:r>
        <w:rPr>
          <w:rFonts w:ascii="Calibri" w:hAnsi="Calibri"/>
          <w:color w:val="222222"/>
        </w:rPr>
        <w:t>Cached-file paths and checksums.</w:t>
      </w:r>
    </w:p>
    <w:p>
      <w:pPr>
        <w:numPr>
          <w:ilvl w:val="0"/>
          <w:numId w:val="55"/>
        </w:numPr>
        <w:spacing w:after="80" w:line="300" w:lineRule="auto"/>
      </w:pPr>
      <w:r>
        <w:rPr>
          <w:rFonts w:ascii="Calibri" w:hAnsi="Calibri"/>
          <w:color w:val="222222"/>
        </w:rPr>
        <w:t>Dependency versions.</w:t>
      </w:r>
    </w:p>
    <w:p>
      <w:pPr>
        <w:numPr>
          <w:ilvl w:val="0"/>
          <w:numId w:val="55"/>
        </w:numPr>
        <w:spacing w:after="80" w:line="300" w:lineRule="auto"/>
      </w:pPr>
      <w:r>
        <w:rPr>
          <w:rFonts w:ascii="Calibri" w:hAnsi="Calibri"/>
          <w:color w:val="222222"/>
        </w:rPr>
        <w:t>Crosswalk version.</w:t>
      </w:r>
    </w:p>
    <w:p>
      <w:r>
        <w:rPr>
          <w:rFonts w:ascii="Calibri" w:hAnsi="Calibri"/>
          <w:color w:val="222222"/>
        </w:rPr>
        <w:t xml:space="preserve">Do not continue if the displayed accession differs from </w:t>
      </w:r>
      <w:r>
        <w:rPr>
          <w:rFonts w:ascii="Consolas" w:hAnsi="Consolas"/>
          <w:color w:val="1F4D78"/>
          <w:sz w:val="21"/>
          <w:shd w:fill="EEF1F4"/>
        </w:rPr>
        <w:t>module/data/provenance.json</w:t>
      </w:r>
      <w:r>
        <w:rPr>
          <w:rFonts w:ascii="Calibri" w:hAnsi="Calibri"/>
          <w:color w:val="222222"/>
        </w:rPr>
        <w:t>.</w:t>
      </w:r>
    </w:p>
    <w:p>
      <w:pPr>
        <w:pStyle w:val="Heading3"/>
      </w:pPr>
      <w:r>
        <w:rPr>
          <w:rFonts w:ascii="Calibri" w:hAnsi="Calibri"/>
          <w:color w:val="222222"/>
        </w:rPr>
        <w:t>Live retrieval and cached fallback</w:t>
      </w:r>
    </w:p>
    <w:p>
      <w:r>
        <w:rPr>
          <w:rFonts w:ascii="Calibri" w:hAnsi="Calibri"/>
          <w:color w:val="222222"/>
        </w:rPr>
        <w:t>For each accession, the notebook requests:</w:t>
      </w:r>
    </w:p>
    <w:p>
      <w:pPr>
        <w:numPr>
          <w:ilvl w:val="0"/>
          <w:numId w:val="56"/>
        </w:numPr>
        <w:spacing w:after="80" w:line="300" w:lineRule="auto"/>
      </w:pPr>
      <w:r>
        <w:rPr>
          <w:rFonts w:ascii="Consolas" w:hAnsi="Consolas"/>
          <w:color w:val="1F4D78"/>
          <w:sz w:val="21"/>
          <w:shd w:fill="EEF1F4"/>
        </w:rPr>
        <w:t>summary</w:t>
      </w:r>
    </w:p>
    <w:p>
      <w:pPr>
        <w:numPr>
          <w:ilvl w:val="0"/>
          <w:numId w:val="56"/>
        </w:numPr>
        <w:spacing w:after="80" w:line="300" w:lineRule="auto"/>
      </w:pPr>
      <w:r>
        <w:rPr>
          <w:rFonts w:ascii="Consolas" w:hAnsi="Consolas"/>
          <w:color w:val="1F4D78"/>
          <w:sz w:val="21"/>
          <w:shd w:fill="EEF1F4"/>
        </w:rPr>
        <w:t>factors</w:t>
      </w:r>
    </w:p>
    <w:p>
      <w:pPr>
        <w:numPr>
          <w:ilvl w:val="0"/>
          <w:numId w:val="56"/>
        </w:numPr>
        <w:spacing w:after="80" w:line="300" w:lineRule="auto"/>
      </w:pPr>
      <w:r>
        <w:rPr>
          <w:rFonts w:ascii="Consolas" w:hAnsi="Consolas"/>
          <w:color w:val="1F4D78"/>
          <w:sz w:val="21"/>
          <w:shd w:fill="EEF1F4"/>
        </w:rPr>
        <w:t>analysis</w:t>
      </w:r>
    </w:p>
    <w:p>
      <w:pPr>
        <w:numPr>
          <w:ilvl w:val="0"/>
          <w:numId w:val="56"/>
        </w:numPr>
        <w:spacing w:after="80" w:line="300" w:lineRule="auto"/>
      </w:pPr>
      <w:r>
        <w:rPr>
          <w:rFonts w:ascii="Consolas" w:hAnsi="Consolas"/>
          <w:color w:val="1F4D78"/>
          <w:sz w:val="21"/>
          <w:shd w:fill="EEF1F4"/>
        </w:rPr>
        <w:t>metabolites</w:t>
      </w:r>
    </w:p>
    <w:p>
      <w:pPr>
        <w:numPr>
          <w:ilvl w:val="0"/>
          <w:numId w:val="56"/>
        </w:numPr>
        <w:spacing w:after="80" w:line="300" w:lineRule="auto"/>
      </w:pPr>
      <w:r>
        <w:rPr>
          <w:rFonts w:ascii="Consolas" w:hAnsi="Consolas"/>
          <w:color w:val="1F4D78"/>
          <w:sz w:val="21"/>
          <w:shd w:fill="EEF1F4"/>
        </w:rPr>
        <w:t>data</w:t>
      </w:r>
    </w:p>
    <w:p>
      <w:r>
        <w:rPr>
          <w:rFonts w:ascii="Calibri" w:hAnsi="Calibri"/>
          <w:color w:val="222222"/>
        </w:rPr>
        <w:t xml:space="preserve">The release notebook defaults to the validated cache so every learner receives a deterministic run. Set </w:t>
      </w:r>
      <w:r>
        <w:rPr>
          <w:rFonts w:ascii="Consolas" w:hAnsi="Consolas"/>
          <w:color w:val="1F4D78"/>
          <w:sz w:val="21"/>
          <w:shd w:fill="EEF1F4"/>
        </w:rPr>
        <w:t>METABO_DIET_LIVE=1</w:t>
      </w:r>
      <w:r>
        <w:rPr>
          <w:rFonts w:ascii="Calibri" w:hAnsi="Calibri"/>
          <w:color w:val="222222"/>
        </w:rPr>
        <w:t xml:space="preserve"> to attempt live retrieval first. The live path falls back endpoint-by-endpoint only after recording:</w:t>
      </w:r>
    </w:p>
    <w:p>
      <w:pPr>
        <w:numPr>
          <w:ilvl w:val="0"/>
          <w:numId w:val="57"/>
        </w:numPr>
        <w:spacing w:after="80" w:line="300" w:lineRule="auto"/>
      </w:pPr>
      <w:r>
        <w:rPr>
          <w:rFonts w:ascii="Calibri" w:hAnsi="Calibri"/>
          <w:color w:val="222222"/>
        </w:rPr>
        <w:t>The failed endpoint and status.</w:t>
      </w:r>
    </w:p>
    <w:p>
      <w:pPr>
        <w:numPr>
          <w:ilvl w:val="0"/>
          <w:numId w:val="57"/>
        </w:numPr>
        <w:spacing w:after="80" w:line="300" w:lineRule="auto"/>
      </w:pPr>
      <w:r>
        <w:rPr>
          <w:rFonts w:ascii="Calibri" w:hAnsi="Calibri"/>
          <w:color w:val="222222"/>
        </w:rPr>
        <w:t>The cached retrieval timestamp.</w:t>
      </w:r>
    </w:p>
    <w:p>
      <w:pPr>
        <w:numPr>
          <w:ilvl w:val="0"/>
          <w:numId w:val="57"/>
        </w:numPr>
        <w:spacing w:after="80" w:line="300" w:lineRule="auto"/>
      </w:pPr>
      <w:r>
        <w:rPr>
          <w:rFonts w:ascii="Calibri" w:hAnsi="Calibri"/>
          <w:color w:val="222222"/>
        </w:rPr>
        <w:t>A checksum match.</w:t>
      </w:r>
    </w:p>
    <w:p>
      <w:pPr>
        <w:numPr>
          <w:ilvl w:val="0"/>
          <w:numId w:val="57"/>
        </w:numPr>
        <w:spacing w:after="80" w:line="300" w:lineRule="auto"/>
      </w:pPr>
      <w:r>
        <w:rPr>
          <w:rFonts w:ascii="Calibri" w:hAnsi="Calibri"/>
          <w:color w:val="222222"/>
        </w:rPr>
        <w:t xml:space="preserve">A visible source entry of </w:t>
      </w:r>
      <w:r>
        <w:rPr>
          <w:rFonts w:ascii="Consolas" w:hAnsi="Consolas"/>
          <w:color w:val="1F4D78"/>
          <w:sz w:val="21"/>
          <w:shd w:fill="EEF1F4"/>
        </w:rPr>
        <w:t>validated cache</w:t>
      </w:r>
      <w:r>
        <w:rPr>
          <w:rFonts w:ascii="Calibri" w:hAnsi="Calibri"/>
          <w:color w:val="222222"/>
        </w:rPr>
        <w:t xml:space="preserve"> in the input source log.</w:t>
      </w:r>
    </w:p>
    <w:p>
      <w:r>
        <w:rPr>
          <w:rFonts w:ascii="Calibri" w:hAnsi="Calibri"/>
          <w:color w:val="222222"/>
        </w:rPr>
        <w:t>Cached data keep the lesson runnable; they do not establish current public availability. Record the outage and re-verify access later.</w:t>
      </w:r>
    </w:p>
    <w:p>
      <w:pPr>
        <w:pStyle w:val="Heading2"/>
      </w:pPr>
      <w:r>
        <w:rPr>
          <w:rFonts w:ascii="Calibri" w:hAnsi="Calibri"/>
          <w:color w:val="222222"/>
        </w:rPr>
        <w:t>3. Validate before analyzing</w:t>
      </w:r>
    </w:p>
    <w:p>
      <w:r>
        <w:rPr>
          <w:rFonts w:ascii="Calibri" w:hAnsi="Calibri"/>
          <w:color w:val="222222"/>
        </w:rPr>
        <w:t xml:space="preserve">An HTTP </w:t>
      </w:r>
      <w:r>
        <w:rPr>
          <w:rFonts w:ascii="Consolas" w:hAnsi="Consolas"/>
          <w:color w:val="1F4D78"/>
          <w:sz w:val="21"/>
          <w:shd w:fill="EEF1F4"/>
        </w:rPr>
        <w:t>200</w:t>
      </w:r>
      <w:r>
        <w:rPr>
          <w:rFonts w:ascii="Calibri" w:hAnsi="Calibri"/>
          <w:color w:val="222222"/>
        </w:rPr>
        <w:t xml:space="preserve"> is not sufficient validation. The notebook's audit table should answer:</w:t>
      </w:r>
    </w:p>
    <w:p>
      <w:pPr>
        <w:numPr>
          <w:ilvl w:val="0"/>
          <w:numId w:val="58"/>
        </w:numPr>
        <w:spacing w:after="80" w:line="300" w:lineRule="auto"/>
      </w:pPr>
      <w:r>
        <w:rPr>
          <w:rFonts w:ascii="Calibri" w:hAnsi="Calibri"/>
          <w:color w:val="222222"/>
        </w:rPr>
        <w:t>Did every response parse in the expected format?</w:t>
      </w:r>
    </w:p>
    <w:p>
      <w:pPr>
        <w:numPr>
          <w:ilvl w:val="0"/>
          <w:numId w:val="58"/>
        </w:numPr>
        <w:spacing w:after="80" w:line="300" w:lineRule="auto"/>
      </w:pPr>
      <w:r>
        <w:rPr>
          <w:rFonts w:ascii="Calibri" w:hAnsi="Calibri"/>
          <w:color w:val="222222"/>
        </w:rPr>
        <w:t>Does each record contain the requested study or analysis identifier?</w:t>
      </w:r>
    </w:p>
    <w:p>
      <w:pPr>
        <w:numPr>
          <w:ilvl w:val="0"/>
          <w:numId w:val="58"/>
        </w:numPr>
        <w:spacing w:after="80" w:line="300" w:lineRule="auto"/>
      </w:pPr>
      <w:r>
        <w:rPr>
          <w:rFonts w:ascii="Calibri" w:hAnsi="Calibri"/>
          <w:color w:val="222222"/>
        </w:rPr>
        <w:t>Are sample identifiers unique at the expected level?</w:t>
      </w:r>
    </w:p>
    <w:p>
      <w:pPr>
        <w:numPr>
          <w:ilvl w:val="0"/>
          <w:numId w:val="58"/>
        </w:numPr>
        <w:spacing w:after="80" w:line="300" w:lineRule="auto"/>
      </w:pPr>
      <w:r>
        <w:rPr>
          <w:rFonts w:ascii="Calibri" w:hAnsi="Calibri"/>
          <w:color w:val="222222"/>
        </w:rPr>
        <w:t>How many biological, pooled QC, blank, and unknown rows are present?</w:t>
      </w:r>
    </w:p>
    <w:p>
      <w:pPr>
        <w:numPr>
          <w:ilvl w:val="0"/>
          <w:numId w:val="58"/>
        </w:numPr>
        <w:spacing w:after="80" w:line="300" w:lineRule="auto"/>
      </w:pPr>
      <w:r>
        <w:rPr>
          <w:rFonts w:ascii="Calibri" w:hAnsi="Calibri"/>
          <w:color w:val="222222"/>
        </w:rPr>
        <w:t>Do factor counts agree with the documented repeated-measures structure?</w:t>
      </w:r>
    </w:p>
    <w:p>
      <w:pPr>
        <w:numPr>
          <w:ilvl w:val="0"/>
          <w:numId w:val="58"/>
        </w:numPr>
        <w:spacing w:after="80" w:line="300" w:lineRule="auto"/>
      </w:pPr>
      <w:r>
        <w:rPr>
          <w:rFonts w:ascii="Calibri" w:hAnsi="Calibri"/>
          <w:color w:val="222222"/>
        </w:rPr>
        <w:t>Are all matrix columns represented in the factor table?</w:t>
      </w:r>
    </w:p>
    <w:p>
      <w:pPr>
        <w:numPr>
          <w:ilvl w:val="0"/>
          <w:numId w:val="58"/>
        </w:numPr>
        <w:spacing w:after="80" w:line="300" w:lineRule="auto"/>
      </w:pPr>
      <w:r>
        <w:rPr>
          <w:rFonts w:ascii="Calibri" w:hAnsi="Calibri"/>
          <w:color w:val="222222"/>
        </w:rPr>
        <w:t>Are metabolite labels unique after applying the chosen feature key?</w:t>
      </w:r>
    </w:p>
    <w:p>
      <w:pPr>
        <w:numPr>
          <w:ilvl w:val="0"/>
          <w:numId w:val="58"/>
        </w:numPr>
        <w:spacing w:after="80" w:line="300" w:lineRule="auto"/>
      </w:pPr>
      <w:r>
        <w:rPr>
          <w:rFonts w:ascii="Calibri" w:hAnsi="Calibri"/>
          <w:color w:val="222222"/>
        </w:rPr>
        <w:t>Are units and analytical modes explicit?</w:t>
      </w:r>
    </w:p>
    <w:p>
      <w:pPr>
        <w:pStyle w:val="Heading3"/>
      </w:pPr>
      <w:r>
        <w:rPr>
          <w:rFonts w:ascii="Calibri" w:hAnsi="Calibri"/>
          <w:color w:val="222222"/>
        </w:rPr>
        <w:t>Expected structural checks for this release</w:t>
      </w:r>
    </w:p>
    <w:p>
      <w:r>
        <w:rPr>
          <w:rFonts w:ascii="Calibri" w:hAnsi="Calibri"/>
          <w:color w:val="222222"/>
        </w:rPr>
        <w:t>These are validation targets, not biological results:</w:t>
      </w:r>
    </w:p>
    <w:tbl>
      <w:tblPr>
        <w:tblStyle w:val="TableGrid"/>
        <w:tblW w:type="dxa" w:w="9360"/>
        <w:jc w:val="left"/>
        <w:tblLayout w:type="fixed"/>
        <w:tblLook w:firstColumn="1" w:firstRow="1" w:lastColumn="0" w:lastRow="0" w:noHBand="0" w:noVBand="1" w:val="04A0"/>
        <w:tblInd w:w="120" w:type="dxa"/>
      </w:tblPr>
      <w:tblGrid>
        <w:gridCol w:w="3853"/>
        <w:gridCol w:w="2011"/>
        <w:gridCol w:w="3496"/>
      </w:tblGrid>
      <w:tr>
        <w:trPr>
          <w:cantSplit w:val="true"/>
          <w:tblHeader w:val="true"/>
        </w:trPr>
        <w:tc>
          <w:tcPr>
            <w:tcW w:type="dxa" w:w="3853"/>
            <w:tcMar>
              <w:top w:w="80" w:type="dxa"/>
              <w:bottom w:w="80" w:type="dxa"/>
              <w:start w:w="120" w:type="dxa"/>
              <w:end w:w="120" w:type="dxa"/>
            </w:tcMar>
            <w:vAlign w:val="center"/>
            <w:shd w:fill="E8EEF5"/>
          </w:tcPr>
          <w:p>
            <w:pPr>
              <w:spacing w:before="0" w:after="0" w:line="269" w:lineRule="auto"/>
              <w:jc w:val="left"/>
            </w:pPr>
            <w:r>
              <w:rPr>
                <w:b/>
                <w:color w:val="203748"/>
              </w:rPr>
            </w:r>
            <w:r>
              <w:rPr>
                <w:rFonts w:ascii="Calibri" w:hAnsi="Calibri"/>
                <w:b/>
                <w:color w:val="203748"/>
                <w:sz w:val="18"/>
              </w:rPr>
              <w:t>Check</w:t>
            </w:r>
          </w:p>
        </w:tc>
        <w:tc>
          <w:tcPr>
            <w:tcW w:type="dxa" w:w="2011"/>
            <w:tcMar>
              <w:top w:w="80" w:type="dxa"/>
              <w:bottom w:w="80" w:type="dxa"/>
              <w:start w:w="120" w:type="dxa"/>
              <w:end w:w="120" w:type="dxa"/>
            </w:tcMar>
            <w:vAlign w:val="center"/>
            <w:shd w:fill="E8EEF5"/>
          </w:tcPr>
          <w:p>
            <w:pPr>
              <w:spacing w:before="0" w:after="0" w:line="269" w:lineRule="auto"/>
              <w:jc w:val="center"/>
            </w:pPr>
            <w:r>
              <w:rPr>
                <w:b/>
                <w:color w:val="203748"/>
              </w:rPr>
            </w:r>
            <w:r>
              <w:rPr>
                <w:rFonts w:ascii="Consolas" w:hAnsi="Consolas"/>
                <w:b/>
                <w:color w:val="203748"/>
                <w:sz w:val="17"/>
                <w:shd w:fill="EEF1F4"/>
              </w:rPr>
              <w:t>ST001521</w:t>
            </w:r>
          </w:p>
        </w:tc>
        <w:tc>
          <w:tcPr>
            <w:tcW w:type="dxa" w:w="3496"/>
            <w:tcMar>
              <w:top w:w="80" w:type="dxa"/>
              <w:bottom w:w="80" w:type="dxa"/>
              <w:start w:w="120" w:type="dxa"/>
              <w:end w:w="120" w:type="dxa"/>
            </w:tcMar>
            <w:vAlign w:val="center"/>
            <w:shd w:fill="E8EEF5"/>
          </w:tcPr>
          <w:p>
            <w:pPr>
              <w:spacing w:before="0" w:after="0" w:line="269" w:lineRule="auto"/>
              <w:jc w:val="center"/>
            </w:pPr>
            <w:r>
              <w:rPr>
                <w:b/>
                <w:color w:val="203748"/>
              </w:rPr>
            </w:r>
            <w:r>
              <w:rPr>
                <w:rFonts w:ascii="Consolas" w:hAnsi="Consolas"/>
                <w:b/>
                <w:color w:val="203748"/>
                <w:sz w:val="17"/>
                <w:shd w:fill="EEF1F4"/>
              </w:rPr>
              <w:t>ST003348</w:t>
            </w:r>
          </w:p>
        </w:tc>
      </w:tr>
      <w:tr>
        <w:trPr>
          <w:cantSplit w:val="true"/>
        </w:trPr>
        <w:tc>
          <w:tcPr>
            <w:tcW w:type="dxa" w:w="3853"/>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Factor rows</w:t>
            </w:r>
          </w:p>
        </w:tc>
        <w:tc>
          <w:tcPr>
            <w:tcW w:type="dxa" w:w="2011"/>
            <w:tcMar>
              <w:top w:w="80" w:type="dxa"/>
              <w:bottom w:w="80" w:type="dxa"/>
              <w:start w:w="120" w:type="dxa"/>
              <w:end w:w="120" w:type="dxa"/>
            </w:tcMar>
            <w:vAlign w:val="center"/>
          </w:tcPr>
          <w:p>
            <w:pPr>
              <w:spacing w:before="0" w:after="0" w:line="269" w:lineRule="auto"/>
              <w:jc w:val="center"/>
            </w:pPr>
            <w:r/>
            <w:r>
              <w:rPr>
                <w:rFonts w:ascii="Calibri" w:hAnsi="Calibri"/>
                <w:color w:val="222222"/>
                <w:sz w:val="18"/>
              </w:rPr>
              <w:t>160</w:t>
            </w:r>
          </w:p>
        </w:tc>
        <w:tc>
          <w:tcPr>
            <w:tcW w:type="dxa" w:w="3496"/>
            <w:tcMar>
              <w:top w:w="80" w:type="dxa"/>
              <w:bottom w:w="80" w:type="dxa"/>
              <w:start w:w="120" w:type="dxa"/>
              <w:end w:w="120" w:type="dxa"/>
            </w:tcMar>
            <w:vAlign w:val="center"/>
          </w:tcPr>
          <w:p>
            <w:pPr>
              <w:spacing w:before="0" w:after="0" w:line="269" w:lineRule="auto"/>
              <w:jc w:val="center"/>
            </w:pPr>
            <w:r/>
            <w:r>
              <w:rPr>
                <w:rFonts w:ascii="Calibri" w:hAnsi="Calibri"/>
                <w:color w:val="222222"/>
                <w:sz w:val="18"/>
              </w:rPr>
              <w:t>76</w:t>
            </w:r>
          </w:p>
        </w:tc>
      </w:tr>
      <w:tr>
        <w:trPr>
          <w:cantSplit w:val="true"/>
        </w:trPr>
        <w:tc>
          <w:tcPr>
            <w:tcW w:type="dxa" w:w="3853"/>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Biological participant-timepoint rows expected</w:t>
            </w:r>
          </w:p>
        </w:tc>
        <w:tc>
          <w:tcPr>
            <w:tcW w:type="dxa" w:w="2011"/>
            <w:tcMar>
              <w:top w:w="80" w:type="dxa"/>
              <w:bottom w:w="80" w:type="dxa"/>
              <w:start w:w="120" w:type="dxa"/>
              <w:end w:w="120" w:type="dxa"/>
            </w:tcMar>
            <w:vAlign w:val="center"/>
          </w:tcPr>
          <w:p>
            <w:pPr>
              <w:spacing w:before="0" w:after="0" w:line="269" w:lineRule="auto"/>
              <w:jc w:val="center"/>
            </w:pPr>
            <w:r/>
            <w:r>
              <w:rPr>
                <w:rFonts w:ascii="Calibri" w:hAnsi="Calibri"/>
                <w:color w:val="222222"/>
                <w:sz w:val="18"/>
              </w:rPr>
              <w:t>150</w:t>
            </w:r>
          </w:p>
        </w:tc>
        <w:tc>
          <w:tcPr>
            <w:tcW w:type="dxa" w:w="3496"/>
            <w:tcMar>
              <w:top w:w="80" w:type="dxa"/>
              <w:bottom w:w="80" w:type="dxa"/>
              <w:start w:w="120" w:type="dxa"/>
              <w:end w:w="120" w:type="dxa"/>
            </w:tcMar>
            <w:vAlign w:val="center"/>
          </w:tcPr>
          <w:p>
            <w:pPr>
              <w:spacing w:before="0" w:after="0" w:line="269" w:lineRule="auto"/>
              <w:jc w:val="center"/>
            </w:pPr>
            <w:r/>
            <w:r>
              <w:rPr>
                <w:rFonts w:ascii="Calibri" w:hAnsi="Calibri"/>
                <w:color w:val="222222"/>
                <w:sz w:val="18"/>
              </w:rPr>
              <w:t>76</w:t>
            </w:r>
          </w:p>
        </w:tc>
      </w:tr>
      <w:tr>
        <w:trPr>
          <w:cantSplit w:val="true"/>
        </w:trPr>
        <w:tc>
          <w:tcPr>
            <w:tcW w:type="dxa" w:w="3853"/>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 xml:space="preserve">Pooled </w:t>
            </w:r>
            <w:r>
              <w:rPr>
                <w:rFonts w:ascii="Consolas" w:hAnsi="Consolas"/>
                <w:color w:val="1F4D78"/>
                <w:sz w:val="17"/>
                <w:shd w:fill="EEF1F4"/>
              </w:rPr>
              <w:t>QPP...</w:t>
            </w:r>
            <w:r>
              <w:rPr>
                <w:rFonts w:ascii="Calibri" w:hAnsi="Calibri"/>
                <w:color w:val="222222"/>
                <w:sz w:val="18"/>
              </w:rPr>
              <w:t xml:space="preserve"> rows expected</w:t>
            </w:r>
          </w:p>
        </w:tc>
        <w:tc>
          <w:tcPr>
            <w:tcW w:type="dxa" w:w="2011"/>
            <w:tcMar>
              <w:top w:w="80" w:type="dxa"/>
              <w:bottom w:w="80" w:type="dxa"/>
              <w:start w:w="120" w:type="dxa"/>
              <w:end w:w="120" w:type="dxa"/>
            </w:tcMar>
            <w:vAlign w:val="center"/>
          </w:tcPr>
          <w:p>
            <w:pPr>
              <w:spacing w:before="0" w:after="0" w:line="269" w:lineRule="auto"/>
              <w:jc w:val="center"/>
            </w:pPr>
            <w:r/>
            <w:r>
              <w:rPr>
                <w:rFonts w:ascii="Calibri" w:hAnsi="Calibri"/>
                <w:color w:val="222222"/>
                <w:sz w:val="18"/>
              </w:rPr>
              <w:t>10</w:t>
            </w:r>
          </w:p>
        </w:tc>
        <w:tc>
          <w:tcPr>
            <w:tcW w:type="dxa" w:w="3496"/>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0 identified from the factor table</w:t>
            </w:r>
          </w:p>
        </w:tc>
      </w:tr>
      <w:tr>
        <w:trPr>
          <w:cantSplit w:val="true"/>
        </w:trPr>
        <w:tc>
          <w:tcPr>
            <w:tcW w:type="dxa" w:w="3853"/>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Biological participants described</w:t>
            </w:r>
          </w:p>
        </w:tc>
        <w:tc>
          <w:tcPr>
            <w:tcW w:type="dxa" w:w="2011"/>
            <w:tcMar>
              <w:top w:w="80" w:type="dxa"/>
              <w:bottom w:w="80" w:type="dxa"/>
              <w:start w:w="120" w:type="dxa"/>
              <w:end w:w="120" w:type="dxa"/>
            </w:tcMar>
            <w:vAlign w:val="center"/>
          </w:tcPr>
          <w:p>
            <w:pPr>
              <w:spacing w:before="0" w:after="0" w:line="269" w:lineRule="auto"/>
              <w:jc w:val="center"/>
            </w:pPr>
            <w:r/>
            <w:r>
              <w:rPr>
                <w:rFonts w:ascii="Calibri" w:hAnsi="Calibri"/>
                <w:color w:val="222222"/>
                <w:sz w:val="18"/>
              </w:rPr>
              <w:t>30</w:t>
            </w:r>
          </w:p>
        </w:tc>
        <w:tc>
          <w:tcPr>
            <w:tcW w:type="dxa" w:w="3496"/>
            <w:tcMar>
              <w:top w:w="80" w:type="dxa"/>
              <w:bottom w:w="80" w:type="dxa"/>
              <w:start w:w="120" w:type="dxa"/>
              <w:end w:w="120" w:type="dxa"/>
            </w:tcMar>
            <w:vAlign w:val="center"/>
          </w:tcPr>
          <w:p>
            <w:pPr>
              <w:spacing w:before="0" w:after="0" w:line="269" w:lineRule="auto"/>
              <w:jc w:val="center"/>
            </w:pPr>
            <w:r/>
            <w:r>
              <w:rPr>
                <w:rFonts w:ascii="Calibri" w:hAnsi="Calibri"/>
                <w:color w:val="222222"/>
                <w:sz w:val="18"/>
              </w:rPr>
              <w:t>19</w:t>
            </w:r>
          </w:p>
        </w:tc>
      </w:tr>
      <w:tr>
        <w:trPr>
          <w:cantSplit w:val="true"/>
        </w:trPr>
        <w:tc>
          <w:tcPr>
            <w:tcW w:type="dxa" w:w="3853"/>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Biological timepoints per participant</w:t>
            </w:r>
          </w:p>
        </w:tc>
        <w:tc>
          <w:tcPr>
            <w:tcW w:type="dxa" w:w="2011"/>
            <w:tcMar>
              <w:top w:w="80" w:type="dxa"/>
              <w:bottom w:w="80" w:type="dxa"/>
              <w:start w:w="120" w:type="dxa"/>
              <w:end w:w="120" w:type="dxa"/>
            </w:tcMar>
            <w:vAlign w:val="center"/>
          </w:tcPr>
          <w:p>
            <w:pPr>
              <w:spacing w:before="0" w:after="0" w:line="269" w:lineRule="auto"/>
              <w:jc w:val="center"/>
            </w:pPr>
            <w:r/>
            <w:r>
              <w:rPr>
                <w:rFonts w:ascii="Calibri" w:hAnsi="Calibri"/>
                <w:color w:val="222222"/>
                <w:sz w:val="18"/>
              </w:rPr>
              <w:t>5</w:t>
            </w:r>
          </w:p>
        </w:tc>
        <w:tc>
          <w:tcPr>
            <w:tcW w:type="dxa" w:w="3496"/>
            <w:tcMar>
              <w:top w:w="80" w:type="dxa"/>
              <w:bottom w:w="80" w:type="dxa"/>
              <w:start w:w="120" w:type="dxa"/>
              <w:end w:w="120" w:type="dxa"/>
            </w:tcMar>
            <w:vAlign w:val="center"/>
          </w:tcPr>
          <w:p>
            <w:pPr>
              <w:spacing w:before="0" w:after="0" w:line="269" w:lineRule="auto"/>
              <w:jc w:val="center"/>
            </w:pPr>
            <w:r/>
            <w:r>
              <w:rPr>
                <w:rFonts w:ascii="Calibri" w:hAnsi="Calibri"/>
                <w:color w:val="222222"/>
                <w:sz w:val="18"/>
              </w:rPr>
              <w:t>4</w:t>
            </w:r>
          </w:p>
        </w:tc>
      </w:tr>
      <w:tr>
        <w:trPr>
          <w:cantSplit w:val="true"/>
        </w:trPr>
        <w:tc>
          <w:tcPr>
            <w:tcW w:type="dxa" w:w="3853"/>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Analysis records</w:t>
            </w:r>
          </w:p>
        </w:tc>
        <w:tc>
          <w:tcPr>
            <w:tcW w:type="dxa" w:w="2011"/>
            <w:tcMar>
              <w:top w:w="80" w:type="dxa"/>
              <w:bottom w:w="80" w:type="dxa"/>
              <w:start w:w="120" w:type="dxa"/>
              <w:end w:w="120" w:type="dxa"/>
            </w:tcMar>
            <w:vAlign w:val="center"/>
          </w:tcPr>
          <w:p>
            <w:pPr>
              <w:spacing w:before="0" w:after="0" w:line="269" w:lineRule="auto"/>
              <w:jc w:val="center"/>
            </w:pPr>
            <w:r/>
            <w:r>
              <w:rPr>
                <w:rFonts w:ascii="Calibri" w:hAnsi="Calibri"/>
                <w:color w:val="222222"/>
                <w:sz w:val="18"/>
              </w:rPr>
              <w:t>4</w:t>
            </w:r>
          </w:p>
        </w:tc>
        <w:tc>
          <w:tcPr>
            <w:tcW w:type="dxa" w:w="3496"/>
            <w:tcMar>
              <w:top w:w="80" w:type="dxa"/>
              <w:bottom w:w="80" w:type="dxa"/>
              <w:start w:w="120" w:type="dxa"/>
              <w:end w:w="120" w:type="dxa"/>
            </w:tcMar>
            <w:vAlign w:val="center"/>
          </w:tcPr>
          <w:p>
            <w:pPr>
              <w:spacing w:before="0" w:after="0" w:line="269" w:lineRule="auto"/>
              <w:jc w:val="center"/>
            </w:pPr>
            <w:r/>
            <w:r>
              <w:rPr>
                <w:rFonts w:ascii="Calibri" w:hAnsi="Calibri"/>
                <w:color w:val="222222"/>
                <w:sz w:val="18"/>
              </w:rPr>
              <w:t>2</w:t>
            </w:r>
          </w:p>
        </w:tc>
      </w:tr>
      <w:tr>
        <w:trPr>
          <w:cantSplit w:val="true"/>
        </w:trPr>
        <w:tc>
          <w:tcPr>
            <w:tcW w:type="dxa" w:w="3853"/>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Matrix</w:t>
            </w:r>
          </w:p>
        </w:tc>
        <w:tc>
          <w:tcPr>
            <w:tcW w:type="dxa" w:w="2011"/>
            <w:tcMar>
              <w:top w:w="80" w:type="dxa"/>
              <w:bottom w:w="80" w:type="dxa"/>
              <w:start w:w="120" w:type="dxa"/>
              <w:end w:w="120" w:type="dxa"/>
            </w:tcMar>
            <w:vAlign w:val="center"/>
          </w:tcPr>
          <w:p>
            <w:pPr>
              <w:spacing w:before="0" w:after="0" w:line="269" w:lineRule="auto"/>
              <w:jc w:val="center"/>
            </w:pPr>
            <w:r/>
            <w:r>
              <w:rPr>
                <w:rFonts w:ascii="Calibri" w:hAnsi="Calibri"/>
                <w:color w:val="222222"/>
                <w:sz w:val="18"/>
              </w:rPr>
              <w:t>Plasma</w:t>
            </w:r>
          </w:p>
        </w:tc>
        <w:tc>
          <w:tcPr>
            <w:tcW w:type="dxa" w:w="3496"/>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Serum, supported by collection metadata</w:t>
            </w:r>
          </w:p>
        </w:tc>
      </w:tr>
    </w:tbl>
    <w:p>
      <w:pPr>
        <w:spacing w:before="0" w:after="40"/>
      </w:pPr>
    </w:p>
    <w:p>
      <w:r>
        <w:rPr>
          <w:rFonts w:ascii="Calibri" w:hAnsi="Calibri"/>
          <w:color w:val="222222"/>
        </w:rPr>
        <w:t>If the live response differs, stop and inspect. A repository revision may be legitimate, but silently forcing current data to match old expectations defeats provenance tracking.</w:t>
      </w:r>
    </w:p>
    <w:p>
      <w:pPr>
        <w:pStyle w:val="Heading2"/>
      </w:pPr>
      <w:r>
        <w:rPr>
          <w:rFonts w:ascii="Calibri" w:hAnsi="Calibri"/>
          <w:color w:val="222222"/>
        </w:rPr>
        <w:t>4. Separate analytical roles before filtering</w:t>
      </w:r>
    </w:p>
    <w:p>
      <w:r>
        <w:rPr>
          <w:rFonts w:ascii="Calibri" w:hAnsi="Calibri"/>
          <w:color w:val="222222"/>
        </w:rPr>
        <w:t xml:space="preserve">Create a </w:t>
      </w:r>
      <w:r>
        <w:rPr>
          <w:rFonts w:ascii="Consolas" w:hAnsi="Consolas"/>
          <w:color w:val="1F4D78"/>
          <w:sz w:val="21"/>
          <w:shd w:fill="EEF1F4"/>
        </w:rPr>
        <w:t>sample_role</w:t>
      </w:r>
      <w:r>
        <w:rPr>
          <w:rFonts w:ascii="Calibri" w:hAnsi="Calibri"/>
          <w:color w:val="222222"/>
        </w:rPr>
        <w:t xml:space="preserve"> field with evidence. At minimum:</w:t>
      </w:r>
    </w:p>
    <w:p>
      <w:pPr>
        <w:numPr>
          <w:ilvl w:val="0"/>
          <w:numId w:val="59"/>
        </w:numPr>
        <w:spacing w:after="80" w:line="300" w:lineRule="auto"/>
      </w:pPr>
      <w:r>
        <w:rPr>
          <w:rFonts w:ascii="Consolas" w:hAnsi="Consolas"/>
          <w:color w:val="1F4D78"/>
          <w:sz w:val="21"/>
          <w:shd w:fill="EEF1F4"/>
        </w:rPr>
        <w:t>biological</w:t>
      </w:r>
    </w:p>
    <w:p>
      <w:pPr>
        <w:numPr>
          <w:ilvl w:val="0"/>
          <w:numId w:val="59"/>
        </w:numPr>
        <w:spacing w:after="80" w:line="300" w:lineRule="auto"/>
      </w:pPr>
      <w:r>
        <w:rPr>
          <w:rFonts w:ascii="Consolas" w:hAnsi="Consolas"/>
          <w:color w:val="1F4D78"/>
          <w:sz w:val="21"/>
          <w:shd w:fill="EEF1F4"/>
        </w:rPr>
        <w:t>pooled_qc</w:t>
      </w:r>
    </w:p>
    <w:p>
      <w:pPr>
        <w:numPr>
          <w:ilvl w:val="0"/>
          <w:numId w:val="59"/>
        </w:numPr>
        <w:spacing w:after="80" w:line="300" w:lineRule="auto"/>
      </w:pPr>
      <w:r>
        <w:rPr>
          <w:rFonts w:ascii="Consolas" w:hAnsi="Consolas"/>
          <w:color w:val="1F4D78"/>
          <w:sz w:val="21"/>
          <w:shd w:fill="EEF1F4"/>
        </w:rPr>
        <w:t>blank</w:t>
      </w:r>
    </w:p>
    <w:p>
      <w:pPr>
        <w:numPr>
          <w:ilvl w:val="0"/>
          <w:numId w:val="59"/>
        </w:numPr>
        <w:spacing w:after="80" w:line="300" w:lineRule="auto"/>
      </w:pPr>
      <w:r>
        <w:rPr>
          <w:rFonts w:ascii="Consolas" w:hAnsi="Consolas"/>
          <w:color w:val="1F4D78"/>
          <w:sz w:val="21"/>
          <w:shd w:fill="EEF1F4"/>
        </w:rPr>
        <w:t>technical_standard</w:t>
      </w:r>
    </w:p>
    <w:p>
      <w:pPr>
        <w:numPr>
          <w:ilvl w:val="0"/>
          <w:numId w:val="59"/>
        </w:numPr>
        <w:spacing w:after="80" w:line="300" w:lineRule="auto"/>
      </w:pPr>
      <w:r>
        <w:rPr>
          <w:rFonts w:ascii="Consolas" w:hAnsi="Consolas"/>
          <w:color w:val="1F4D78"/>
          <w:sz w:val="21"/>
          <w:shd w:fill="EEF1F4"/>
        </w:rPr>
        <w:t>unknown</w:t>
      </w:r>
    </w:p>
    <w:p>
      <w:r>
        <w:rPr>
          <w:rFonts w:ascii="Calibri" w:hAnsi="Calibri"/>
          <w:color w:val="222222"/>
        </w:rPr>
        <w:t xml:space="preserve">For </w:t>
      </w:r>
      <w:r>
        <w:rPr>
          <w:rFonts w:ascii="Consolas" w:hAnsi="Consolas"/>
          <w:color w:val="1F4D78"/>
          <w:sz w:val="21"/>
          <w:shd w:fill="EEF1F4"/>
        </w:rPr>
        <w:t>ST001521</w:t>
      </w:r>
      <w:r>
        <w:rPr>
          <w:rFonts w:ascii="Calibri" w:hAnsi="Calibri"/>
          <w:color w:val="222222"/>
        </w:rPr>
        <w:t xml:space="preserve">, rows with local identifiers beginning </w:t>
      </w:r>
      <w:r>
        <w:rPr>
          <w:rFonts w:ascii="Consolas" w:hAnsi="Consolas"/>
          <w:color w:val="1F4D78"/>
          <w:sz w:val="21"/>
          <w:shd w:fill="EEF1F4"/>
        </w:rPr>
        <w:t>QPP</w:t>
      </w:r>
      <w:r>
        <w:rPr>
          <w:rFonts w:ascii="Calibri" w:hAnsi="Calibri"/>
          <w:color w:val="222222"/>
        </w:rPr>
        <w:t xml:space="preserve"> and missing diet, sex, and time are pooled QC candidates supported by the record. The notebook should keep them for assay diagnostics but exclude them from biological PCA and participant counts. Never discard QC rows before confirming their role; their clustering and drift can reveal analytical problems.</w:t>
      </w:r>
    </w:p>
    <w:p>
      <w:r>
        <w:rPr>
          <w:rFonts w:ascii="Calibri" w:hAnsi="Calibri"/>
          <w:color w:val="222222"/>
        </w:rPr>
        <w:t xml:space="preserve">For </w:t>
      </w:r>
      <w:r>
        <w:rPr>
          <w:rFonts w:ascii="Consolas" w:hAnsi="Consolas"/>
          <w:color w:val="1F4D78"/>
          <w:sz w:val="21"/>
          <w:shd w:fill="EEF1F4"/>
        </w:rPr>
        <w:t>ST003348</w:t>
      </w:r>
      <w:r>
        <w:rPr>
          <w:rFonts w:ascii="Calibri" w:hAnsi="Calibri"/>
          <w:color w:val="222222"/>
        </w:rPr>
        <w:t>, identifiers encode an apparent participant and time suffix, but the notebook must derive repeated-measures links using a documented rule and validate the expected 19 by 4 structure. A string pattern is a parsing hypothesis until confirmed against study metadata.</w:t>
      </w:r>
    </w:p>
    <w:p>
      <w:pPr>
        <w:pStyle w:val="Heading2"/>
      </w:pPr>
      <w:r>
        <w:rPr>
          <w:rFonts w:ascii="Calibri" w:hAnsi="Calibri"/>
          <w:color w:val="222222"/>
        </w:rPr>
        <w:t>5. Join the reviewed crosswalk</w:t>
      </w:r>
    </w:p>
    <w:p>
      <w:r>
        <w:rPr>
          <w:rFonts w:ascii="Calibri" w:hAnsi="Calibri"/>
          <w:color w:val="222222"/>
        </w:rPr>
        <w:t>Join within study and analysis first, using the most specific stable keys available. Avoid joining solely on submitted metabolite name because:</w:t>
      </w:r>
    </w:p>
    <w:p>
      <w:pPr>
        <w:numPr>
          <w:ilvl w:val="0"/>
          <w:numId w:val="60"/>
        </w:numPr>
        <w:spacing w:after="80" w:line="300" w:lineRule="auto"/>
      </w:pPr>
      <w:r>
        <w:rPr>
          <w:rFonts w:ascii="Calibri" w:hAnsi="Calibri"/>
          <w:color w:val="222222"/>
        </w:rPr>
        <w:t>The same name may occur in multiple analytical modes.</w:t>
      </w:r>
    </w:p>
    <w:p>
      <w:pPr>
        <w:numPr>
          <w:ilvl w:val="0"/>
          <w:numId w:val="60"/>
        </w:numPr>
        <w:spacing w:after="80" w:line="300" w:lineRule="auto"/>
      </w:pPr>
      <w:r>
        <w:rPr>
          <w:rFonts w:ascii="Calibri" w:hAnsi="Calibri"/>
          <w:color w:val="222222"/>
        </w:rPr>
        <w:t>Different features can map to the same broad RefMet name.</w:t>
      </w:r>
    </w:p>
    <w:p>
      <w:pPr>
        <w:numPr>
          <w:ilvl w:val="0"/>
          <w:numId w:val="60"/>
        </w:numPr>
        <w:spacing w:after="80" w:line="300" w:lineRule="auto"/>
      </w:pPr>
      <w:r>
        <w:rPr>
          <w:rFonts w:ascii="Calibri" w:hAnsi="Calibri"/>
          <w:color w:val="222222"/>
        </w:rPr>
        <w:t>Duplicate labels can create a many-to-many join and inflate rows.</w:t>
      </w:r>
    </w:p>
    <w:p>
      <w:r>
        <w:rPr>
          <w:rFonts w:ascii="Calibri" w:hAnsi="Calibri"/>
          <w:color w:val="222222"/>
        </w:rPr>
        <w:t>After each join, report:</w:t>
      </w:r>
    </w:p>
    <w:p>
      <w:pPr>
        <w:numPr>
          <w:ilvl w:val="0"/>
          <w:numId w:val="61"/>
        </w:numPr>
        <w:spacing w:after="80" w:line="300" w:lineRule="auto"/>
      </w:pPr>
      <w:r>
        <w:rPr>
          <w:rFonts w:ascii="Calibri" w:hAnsi="Calibri"/>
          <w:color w:val="222222"/>
        </w:rPr>
        <w:t>Rows before and after.</w:t>
      </w:r>
    </w:p>
    <w:p>
      <w:pPr>
        <w:numPr>
          <w:ilvl w:val="0"/>
          <w:numId w:val="61"/>
        </w:numPr>
        <w:spacing w:after="80" w:line="300" w:lineRule="auto"/>
      </w:pPr>
      <w:r>
        <w:rPr>
          <w:rFonts w:ascii="Calibri" w:hAnsi="Calibri"/>
          <w:color w:val="222222"/>
        </w:rPr>
        <w:t>Matched, unmatched, and multiply matched source features.</w:t>
      </w:r>
    </w:p>
    <w:p>
      <w:pPr>
        <w:numPr>
          <w:ilvl w:val="0"/>
          <w:numId w:val="61"/>
        </w:numPr>
        <w:spacing w:after="80" w:line="300" w:lineRule="auto"/>
      </w:pPr>
      <w:r>
        <w:rPr>
          <w:rFonts w:ascii="Calibri" w:hAnsi="Calibri"/>
          <w:color w:val="222222"/>
        </w:rPr>
        <w:t>Duplicate join keys.</w:t>
      </w:r>
    </w:p>
    <w:p>
      <w:pPr>
        <w:numPr>
          <w:ilvl w:val="0"/>
          <w:numId w:val="61"/>
        </w:numPr>
        <w:spacing w:after="80" w:line="300" w:lineRule="auto"/>
      </w:pPr>
      <w:r>
        <w:rPr>
          <w:rFonts w:ascii="Calibri" w:hAnsi="Calibri"/>
          <w:color w:val="222222"/>
        </w:rPr>
        <w:t>Counts by mapping status and annotation resolution.</w:t>
      </w:r>
    </w:p>
    <w:p>
      <w:pPr>
        <w:numPr>
          <w:ilvl w:val="0"/>
          <w:numId w:val="61"/>
        </w:numPr>
        <w:spacing w:after="80" w:line="300" w:lineRule="auto"/>
      </w:pPr>
      <w:r>
        <w:rPr>
          <w:rFonts w:ascii="Calibri" w:hAnsi="Calibri"/>
          <w:color w:val="222222"/>
        </w:rPr>
        <w:t>Exclusions and reasons.</w:t>
      </w:r>
    </w:p>
    <w:p>
      <w:r>
        <w:rPr>
          <w:rFonts w:ascii="Calibri" w:hAnsi="Calibri"/>
          <w:color w:val="222222"/>
        </w:rPr>
        <w:t>The learner should be able to trace any harmonized value back to accession, analysis, sample, and original feature.</w:t>
      </w:r>
    </w:p>
    <w:p>
      <w:pPr>
        <w:spacing w:before="100" w:after="120"/>
        <w:ind w:left="259" w:right="115"/>
        <w:shd w:fill="F4F6F9"/>
        <w:pBdr>
          <w:left w:val="single" w:sz="16" w:space="8" w:color="2E74B5"/>
        </w:pBdr>
      </w:pPr>
      <w:r>
        <w:rPr>
          <w:rFonts w:ascii="Calibri" w:hAnsi="Calibri"/>
          <w:b/>
          <w:color w:val="1F4D78"/>
        </w:rPr>
        <w:t>Stop condition:</w:t>
      </w:r>
      <w:r>
        <w:rPr>
          <w:rFonts w:ascii="Calibri" w:hAnsi="Calibri"/>
          <w:color w:val="1F4D78"/>
        </w:rPr>
        <w:t xml:space="preserve"> If a join unexpectedly increases the number of measurement rows, diagnose the key cardinality before continuing. Do not remove duplicates merely to restore the expected size.</w:t>
      </w:r>
    </w:p>
    <w:p>
      <w:pPr>
        <w:pStyle w:val="Heading2"/>
      </w:pPr>
      <w:r>
        <w:rPr>
          <w:rFonts w:ascii="Calibri" w:hAnsi="Calibri"/>
          <w:color w:val="222222"/>
        </w:rPr>
        <w:t>6. Worked example: metabolite overlap as a defined set operation</w:t>
      </w:r>
    </w:p>
    <w:p>
      <w:r>
        <w:rPr>
          <w:rFonts w:ascii="Calibri" w:hAnsi="Calibri"/>
          <w:color w:val="222222"/>
        </w:rPr>
        <w:t>An overlap count is meaningful only after defining the eligible universe and key.</w:t>
      </w:r>
    </w:p>
    <w:p>
      <w:r>
        <w:rPr>
          <w:rFonts w:ascii="Calibri" w:hAnsi="Calibri"/>
          <w:color w:val="222222"/>
        </w:rPr>
        <w:t xml:space="preserve">The current build found </w:t>
      </w:r>
      <w:r>
        <w:rPr>
          <w:rFonts w:ascii="Calibri" w:hAnsi="Calibri"/>
          <w:b/>
          <w:color w:val="222222"/>
        </w:rPr>
        <w:t>153 shared nonblank exact RefMet strings before artifact and eligibility exclusions</w:t>
      </w:r>
      <w:r>
        <w:rPr>
          <w:rFonts w:ascii="Calibri" w:hAnsi="Calibri"/>
          <w:color w:val="222222"/>
        </w:rPr>
        <w:t xml:space="preserve">. Eight </w:t>
      </w:r>
      <w:r>
        <w:rPr>
          <w:rFonts w:ascii="Consolas" w:hAnsi="Consolas"/>
          <w:color w:val="1F4D78"/>
          <w:sz w:val="21"/>
          <w:shd w:fill="EEF1F4"/>
        </w:rPr>
        <w:t>ST003348</w:t>
      </w:r>
      <w:r>
        <w:rPr>
          <w:rFonts w:ascii="Calibri" w:hAnsi="Calibri"/>
          <w:color w:val="222222"/>
        </w:rPr>
        <w:t xml:space="preserve"> isotope-labeled or internal-standard rows mapped to ordinary RefMet labels; excluding those nonbiological rows yielded a </w:t>
      </w:r>
      <w:r>
        <w:rPr>
          <w:rFonts w:ascii="Calibri" w:hAnsi="Calibri"/>
          <w:b/>
          <w:color w:val="222222"/>
        </w:rPr>
        <w:t>conservative biological overlap of 145</w:t>
      </w:r>
      <w:r>
        <w:rPr>
          <w:rFonts w:ascii="Calibri" w:hAnsi="Calibri"/>
          <w:color w:val="222222"/>
        </w:rPr>
        <w:t>. Treat both numbers as versioned audit results: 153 tests the raw string-intersection step, while 145 tests the stated artifact filter. Neither is a shared-response count. The accepted overlap can change when:</w:t>
      </w:r>
    </w:p>
    <w:p>
      <w:pPr>
        <w:numPr>
          <w:ilvl w:val="0"/>
          <w:numId w:val="62"/>
        </w:numPr>
        <w:spacing w:after="80" w:line="300" w:lineRule="auto"/>
      </w:pPr>
      <w:r>
        <w:rPr>
          <w:rFonts w:ascii="Calibri" w:hAnsi="Calibri"/>
          <w:color w:val="222222"/>
        </w:rPr>
        <w:t>Internal standards, contaminants, or artifacts are excluded.</w:t>
      </w:r>
    </w:p>
    <w:p>
      <w:pPr>
        <w:numPr>
          <w:ilvl w:val="0"/>
          <w:numId w:val="62"/>
        </w:numPr>
        <w:spacing w:after="80" w:line="300" w:lineRule="auto"/>
      </w:pPr>
      <w:r>
        <w:rPr>
          <w:rFonts w:ascii="Calibri" w:hAnsi="Calibri"/>
          <w:color w:val="222222"/>
        </w:rPr>
        <w:t>Duplicate features mapping to the same RefMet name are collapsed.</w:t>
      </w:r>
    </w:p>
    <w:p>
      <w:pPr>
        <w:numPr>
          <w:ilvl w:val="0"/>
          <w:numId w:val="62"/>
        </w:numPr>
        <w:spacing w:after="80" w:line="300" w:lineRule="auto"/>
      </w:pPr>
      <w:r>
        <w:rPr>
          <w:rFonts w:ascii="Calibri" w:hAnsi="Calibri"/>
          <w:color w:val="222222"/>
        </w:rPr>
        <w:t>Annotation-resolution rules are applied.</w:t>
      </w:r>
    </w:p>
    <w:p>
      <w:pPr>
        <w:numPr>
          <w:ilvl w:val="0"/>
          <w:numId w:val="62"/>
        </w:numPr>
        <w:spacing w:after="80" w:line="300" w:lineRule="auto"/>
      </w:pPr>
      <w:r>
        <w:rPr>
          <w:rFonts w:ascii="Calibri" w:hAnsi="Calibri"/>
          <w:color w:val="222222"/>
        </w:rPr>
        <w:t>Review-required mappings are removed.</w:t>
      </w:r>
    </w:p>
    <w:p>
      <w:pPr>
        <w:numPr>
          <w:ilvl w:val="0"/>
          <w:numId w:val="62"/>
        </w:numPr>
        <w:spacing w:after="80" w:line="300" w:lineRule="auto"/>
      </w:pPr>
      <w:r>
        <w:rPr>
          <w:rFonts w:ascii="Calibri" w:hAnsi="Calibri"/>
          <w:color w:val="222222"/>
        </w:rPr>
        <w:t>Analysis modes are combined or kept separate.</w:t>
      </w:r>
    </w:p>
    <w:p>
      <w:pPr>
        <w:numPr>
          <w:ilvl w:val="0"/>
          <w:numId w:val="62"/>
        </w:numPr>
        <w:spacing w:after="80" w:line="300" w:lineRule="auto"/>
      </w:pPr>
      <w:r>
        <w:rPr>
          <w:rFonts w:ascii="Calibri" w:hAnsi="Calibri"/>
          <w:color w:val="222222"/>
        </w:rPr>
        <w:t>A repository or RefMet record is revised.</w:t>
      </w:r>
    </w:p>
    <w:p>
      <w:pPr>
        <w:pStyle w:val="Heading3"/>
      </w:pPr>
      <w:r>
        <w:rPr>
          <w:rFonts w:ascii="Calibri" w:hAnsi="Calibri"/>
          <w:color w:val="222222"/>
        </w:rPr>
        <w:t>Required overlap report</w:t>
      </w:r>
    </w:p>
    <w:p>
      <w:r>
        <w:rPr>
          <w:rFonts w:ascii="Calibri" w:hAnsi="Calibri"/>
          <w:color w:val="222222"/>
        </w:rPr>
        <w:t>Report a flow rather than one unexplained number:</w:t>
      </w:r>
    </w:p>
    <w:p>
      <w:pPr>
        <w:numPr>
          <w:ilvl w:val="0"/>
          <w:numId w:val="63"/>
        </w:numPr>
        <w:spacing w:after="80" w:line="300" w:lineRule="auto"/>
      </w:pPr>
      <w:r>
        <w:rPr>
          <w:rFonts w:ascii="Calibri" w:hAnsi="Calibri"/>
          <w:color w:val="222222"/>
        </w:rPr>
        <w:t>Distinct submitted labels in each study.</w:t>
      </w:r>
    </w:p>
    <w:p>
      <w:pPr>
        <w:numPr>
          <w:ilvl w:val="0"/>
          <w:numId w:val="63"/>
        </w:numPr>
        <w:spacing w:after="80" w:line="300" w:lineRule="auto"/>
      </w:pPr>
      <w:r>
        <w:rPr>
          <w:rFonts w:ascii="Calibri" w:hAnsi="Calibri"/>
          <w:color w:val="222222"/>
        </w:rPr>
        <w:t>Nonblank RefMet results.</w:t>
      </w:r>
    </w:p>
    <w:p>
      <w:pPr>
        <w:numPr>
          <w:ilvl w:val="0"/>
          <w:numId w:val="63"/>
        </w:numPr>
        <w:spacing w:after="80" w:line="300" w:lineRule="auto"/>
      </w:pPr>
      <w:r>
        <w:rPr>
          <w:rFonts w:ascii="Calibri" w:hAnsi="Calibri"/>
          <w:color w:val="222222"/>
        </w:rPr>
        <w:t>Reviewed and accepted RefMet mappings.</w:t>
      </w:r>
    </w:p>
    <w:p>
      <w:pPr>
        <w:numPr>
          <w:ilvl w:val="0"/>
          <w:numId w:val="63"/>
        </w:numPr>
        <w:spacing w:after="80" w:line="300" w:lineRule="auto"/>
      </w:pPr>
      <w:r>
        <w:rPr>
          <w:rFonts w:ascii="Calibri" w:hAnsi="Calibri"/>
          <w:color w:val="222222"/>
        </w:rPr>
        <w:t>Eligible mappings after artifact and feature-role rules.</w:t>
      </w:r>
    </w:p>
    <w:p>
      <w:pPr>
        <w:numPr>
          <w:ilvl w:val="0"/>
          <w:numId w:val="63"/>
        </w:numPr>
        <w:spacing w:after="80" w:line="300" w:lineRule="auto"/>
      </w:pPr>
      <w:r>
        <w:rPr>
          <w:rFonts w:ascii="Calibri" w:hAnsi="Calibri"/>
          <w:color w:val="222222"/>
        </w:rPr>
        <w:t>Unique exact-name keys in each study.</w:t>
      </w:r>
    </w:p>
    <w:p>
      <w:pPr>
        <w:numPr>
          <w:ilvl w:val="0"/>
          <w:numId w:val="63"/>
        </w:numPr>
        <w:spacing w:after="80" w:line="300" w:lineRule="auto"/>
      </w:pPr>
      <w:r>
        <w:rPr>
          <w:rFonts w:ascii="Calibri" w:hAnsi="Calibri"/>
          <w:color w:val="222222"/>
        </w:rPr>
        <w:t>Intersection size.</w:t>
      </w:r>
    </w:p>
    <w:p>
      <w:pPr>
        <w:numPr>
          <w:ilvl w:val="0"/>
          <w:numId w:val="63"/>
        </w:numPr>
        <w:spacing w:after="80" w:line="300" w:lineRule="auto"/>
      </w:pPr>
      <w:r>
        <w:rPr>
          <w:rFonts w:ascii="Calibri" w:hAnsi="Calibri"/>
          <w:color w:val="222222"/>
        </w:rPr>
        <w:t>Diet-only and exercise-only sizes.</w:t>
      </w:r>
    </w:p>
    <w:p>
      <w:pPr>
        <w:numPr>
          <w:ilvl w:val="0"/>
          <w:numId w:val="63"/>
        </w:numPr>
        <w:spacing w:after="80" w:line="300" w:lineRule="auto"/>
      </w:pPr>
      <w:r>
        <w:rPr>
          <w:rFonts w:ascii="Calibri" w:hAnsi="Calibri"/>
          <w:color w:val="222222"/>
        </w:rPr>
        <w:t>Duplicate-to-key counts.</w:t>
      </w:r>
    </w:p>
    <w:p>
      <w:pPr>
        <w:numPr>
          <w:ilvl w:val="0"/>
          <w:numId w:val="63"/>
        </w:numPr>
        <w:spacing w:after="80" w:line="300" w:lineRule="auto"/>
      </w:pPr>
      <w:r>
        <w:rPr>
          <w:rFonts w:ascii="Calibri" w:hAnsi="Calibri"/>
          <w:color w:val="222222"/>
        </w:rPr>
        <w:t>Isotope/internal-standard exclusions, expected to reduce 153 to 145 in the audited build.</w:t>
      </w:r>
    </w:p>
    <w:p>
      <w:r>
        <w:rPr>
          <w:rFonts w:ascii="Calibri" w:hAnsi="Calibri"/>
          <w:color w:val="222222"/>
        </w:rPr>
        <w:t xml:space="preserve">Also report the denominator used for percentages. </w:t>
      </w:r>
      <w:r>
        <w:rPr>
          <w:rFonts w:ascii="Consolas" w:hAnsi="Consolas"/>
          <w:color w:val="1F4D78"/>
          <w:sz w:val="21"/>
          <w:shd w:fill="EEF1F4"/>
        </w:rPr>
        <w:t>Intersection / diet set</w:t>
      </w:r>
      <w:r>
        <w:rPr>
          <w:rFonts w:ascii="Calibri" w:hAnsi="Calibri"/>
          <w:color w:val="222222"/>
        </w:rPr>
        <w:t xml:space="preserve">, </w:t>
      </w:r>
      <w:r>
        <w:rPr>
          <w:rFonts w:ascii="Consolas" w:hAnsi="Consolas"/>
          <w:color w:val="1F4D78"/>
          <w:sz w:val="21"/>
          <w:shd w:fill="EEF1F4"/>
        </w:rPr>
        <w:t>intersection / exercise set</w:t>
      </w:r>
      <w:r>
        <w:rPr>
          <w:rFonts w:ascii="Calibri" w:hAnsi="Calibri"/>
          <w:color w:val="222222"/>
        </w:rPr>
        <w:t>, and Jaccard similarity answer different questions.</w:t>
      </w:r>
    </w:p>
    <w:p>
      <w:pPr>
        <w:pStyle w:val="Heading3"/>
      </w:pPr>
      <w:r>
        <w:rPr>
          <w:rFonts w:ascii="Calibri" w:hAnsi="Calibri"/>
          <w:color w:val="222222"/>
        </w:rPr>
        <w:t>What overlap does and does not mean</w:t>
      </w:r>
    </w:p>
    <w:p>
      <w:r>
        <w:rPr>
          <w:rFonts w:ascii="Calibri" w:hAnsi="Calibri"/>
          <w:color w:val="222222"/>
        </w:rPr>
        <w:t>A shared standardized name shows that both studies reported an eligible feature under the selected key. It does not show:</w:t>
      </w:r>
    </w:p>
    <w:p>
      <w:pPr>
        <w:numPr>
          <w:ilvl w:val="0"/>
          <w:numId w:val="64"/>
        </w:numPr>
        <w:spacing w:after="80" w:line="300" w:lineRule="auto"/>
      </w:pPr>
      <w:r>
        <w:rPr>
          <w:rFonts w:ascii="Calibri" w:hAnsi="Calibri"/>
          <w:color w:val="222222"/>
        </w:rPr>
        <w:t>Equal concentration.</w:t>
      </w:r>
    </w:p>
    <w:p>
      <w:pPr>
        <w:numPr>
          <w:ilvl w:val="0"/>
          <w:numId w:val="64"/>
        </w:numPr>
        <w:spacing w:after="80" w:line="300" w:lineRule="auto"/>
      </w:pPr>
      <w:r>
        <w:rPr>
          <w:rFonts w:ascii="Calibri" w:hAnsi="Calibri"/>
          <w:color w:val="222222"/>
        </w:rPr>
        <w:t>Equal detectability or coverage.</w:t>
      </w:r>
    </w:p>
    <w:p>
      <w:pPr>
        <w:numPr>
          <w:ilvl w:val="0"/>
          <w:numId w:val="64"/>
        </w:numPr>
        <w:spacing w:after="80" w:line="300" w:lineRule="auto"/>
      </w:pPr>
      <w:r>
        <w:rPr>
          <w:rFonts w:ascii="Calibri" w:hAnsi="Calibri"/>
          <w:color w:val="222222"/>
        </w:rPr>
        <w:t>Equal identification confidence.</w:t>
      </w:r>
    </w:p>
    <w:p>
      <w:pPr>
        <w:numPr>
          <w:ilvl w:val="0"/>
          <w:numId w:val="64"/>
        </w:numPr>
        <w:spacing w:after="80" w:line="300" w:lineRule="auto"/>
      </w:pPr>
      <w:r>
        <w:rPr>
          <w:rFonts w:ascii="Calibri" w:hAnsi="Calibri"/>
          <w:color w:val="222222"/>
        </w:rPr>
        <w:t>Equal structural resolution.</w:t>
      </w:r>
    </w:p>
    <w:p>
      <w:pPr>
        <w:numPr>
          <w:ilvl w:val="0"/>
          <w:numId w:val="64"/>
        </w:numPr>
        <w:spacing w:after="80" w:line="300" w:lineRule="auto"/>
      </w:pPr>
      <w:r>
        <w:rPr>
          <w:rFonts w:ascii="Calibri" w:hAnsi="Calibri"/>
          <w:color w:val="222222"/>
        </w:rPr>
        <w:t>A shared intervention response.</w:t>
      </w:r>
    </w:p>
    <w:p>
      <w:pPr>
        <w:numPr>
          <w:ilvl w:val="0"/>
          <w:numId w:val="64"/>
        </w:numPr>
        <w:spacing w:after="80" w:line="300" w:lineRule="auto"/>
      </w:pPr>
      <w:r>
        <w:rPr>
          <w:rFonts w:ascii="Calibri" w:hAnsi="Calibri"/>
          <w:color w:val="222222"/>
        </w:rPr>
        <w:t>A pathway effect.</w:t>
      </w:r>
    </w:p>
    <w:p>
      <w:r>
        <w:rPr>
          <w:rFonts w:ascii="Calibri" w:hAnsi="Calibri"/>
          <w:color w:val="222222"/>
        </w:rPr>
        <w:t>Absence from one study can reflect biological absence, platform coverage, annotation, filtering, ionization, detection limit, or reporting choices.</w:t>
      </w:r>
    </w:p>
    <w:p>
      <w:pPr>
        <w:pStyle w:val="Heading2"/>
      </w:pPr>
      <w:r>
        <w:rPr>
          <w:rFonts w:ascii="Calibri" w:hAnsi="Calibri"/>
          <w:color w:val="222222"/>
        </w:rPr>
        <w:t>7. Class-level summaries</w:t>
      </w:r>
    </w:p>
    <w:p>
      <w:r>
        <w:rPr>
          <w:rFonts w:ascii="Calibri" w:hAnsi="Calibri"/>
          <w:color w:val="222222"/>
        </w:rPr>
        <w:t>RefMet classifications can support a broad view of the reviewed shared-name set. Use counts or proportions of eligible unique names, not pooled peak areas. State how unclassified records and multi-mapped features are handled.</w:t>
      </w:r>
    </w:p>
    <w:p>
      <w:r>
        <w:rPr>
          <w:rFonts w:ascii="Calibri" w:hAnsi="Calibri"/>
          <w:color w:val="222222"/>
        </w:rPr>
        <w:t>A defensible summary might say:</w:t>
      </w:r>
    </w:p>
    <w:p>
      <w:pPr>
        <w:spacing w:before="100" w:after="120"/>
        <w:ind w:left="259" w:right="115"/>
        <w:shd w:fill="F4F6F9"/>
        <w:pBdr>
          <w:left w:val="single" w:sz="16" w:space="8" w:color="2E74B5"/>
        </w:pBdr>
      </w:pPr>
      <w:r>
        <w:rPr>
          <w:rFonts w:ascii="Calibri" w:hAnsi="Calibri"/>
          <w:color w:val="1F4D78"/>
        </w:rPr>
        <w:t>The 145-name conservative overlap has RefMet class annotations for all 145 names. Amino acids and peptides, fatty acids, and fatty esters are the three largest classes in this shared-name set. These counts describe nomenclature coverage of the overlap and should not be interpreted as class abundance in plasma or serum.</w:t>
      </w:r>
    </w:p>
    <w:p>
      <w:pPr>
        <w:pStyle w:val="Heading3"/>
      </w:pPr>
      <w:r>
        <w:rPr>
          <w:rFonts w:ascii="Calibri" w:hAnsi="Calibri"/>
          <w:color w:val="222222"/>
        </w:rPr>
        <w:t>Text description of the notebook class-summary chart (NB-L4-CLASS)</w:t>
      </w:r>
    </w:p>
    <w:p>
      <w:r>
        <w:rPr>
          <w:rFonts w:ascii="Calibri" w:hAnsi="Calibri"/>
          <w:color w:val="222222"/>
        </w:rPr>
        <w:t xml:space="preserve">Run </w:t>
      </w:r>
      <w:r>
        <w:rPr>
          <w:rFonts w:ascii="Consolas" w:hAnsi="Consolas"/>
          <w:color w:val="1F4D78"/>
          <w:sz w:val="21"/>
          <w:shd w:fill="EEF1F4"/>
        </w:rPr>
        <w:t>NB-L4-CLASS</w:t>
      </w:r>
      <w:r>
        <w:rPr>
          <w:rFonts w:ascii="Calibri" w:hAnsi="Calibri"/>
          <w:color w:val="222222"/>
        </w:rPr>
        <w:t xml:space="preserve"> to generate this chart; it is not reproduced in this part of the guide. The horizontal bar chart shows the 12 most frequent RefMet main classes among the 145 conservative shared names. The leading bars are amino acids and peptides (37), fatty acids (25), fatty esters (15), purines (11), bile acids (8), and pyridine alkaloids (7); the remaining six displayed classes have four or fewer names each. The x-axis is </w:t>
      </w:r>
      <w:r>
        <w:rPr>
          <w:rFonts w:ascii="Consolas" w:hAnsi="Consolas"/>
          <w:color w:val="1F4D78"/>
          <w:sz w:val="21"/>
          <w:shd w:fill="EEF1F4"/>
        </w:rPr>
        <w:t>Conservative shared RefMet names</w:t>
      </w:r>
      <w:r>
        <w:rPr>
          <w:rFonts w:ascii="Calibri" w:hAnsi="Calibri"/>
          <w:color w:val="222222"/>
        </w:rPr>
        <w:t>. Bars are counts of standardized names, not metabolite concentrations or biological class abundance, and 24 names in less frequent classes are not shown in this top-12 view.</w:t>
      </w:r>
    </w:p>
    <w:p>
      <w:pPr>
        <w:pStyle w:val="Heading2"/>
      </w:pPr>
      <w:r>
        <w:rPr>
          <w:rFonts w:ascii="Calibri" w:hAnsi="Calibri"/>
          <w:color w:val="222222"/>
        </w:rPr>
        <w:t>8. Principal component analysis: within each study</w:t>
      </w:r>
    </w:p>
    <w:p>
      <w:r>
        <w:rPr>
          <w:rFonts w:ascii="Calibri" w:hAnsi="Calibri"/>
          <w:color w:val="222222"/>
        </w:rPr>
        <w:t>PCA summarizes directions of variation in a numeric matrix. It is sensitive to scale, skew, missingness, outliers, preprocessing, and feature selection. The notebook should create separate PCA models for each study or compatible analysis block.</w:t>
      </w:r>
    </w:p>
    <w:p>
      <w:r>
        <w:rPr>
          <w:rFonts w:ascii="Calibri" w:hAnsi="Calibri"/>
          <w:color w:val="222222"/>
        </w:rPr>
        <w:t>The notebook carries out the implementation for you. You are not expected to understand every line of code. Focus on which samples and features enter each PCA, how missing and large values are handled, and whether the interpretation stays within the study design.</w:t>
      </w:r>
    </w:p>
    <w:p>
      <w:pPr>
        <w:pStyle w:val="Heading3"/>
      </w:pPr>
      <w:r>
        <w:rPr>
          <w:rFonts w:ascii="Calibri" w:hAnsi="Calibri"/>
          <w:color w:val="222222"/>
        </w:rPr>
        <w:t>Pre-PCA audit</w:t>
      </w:r>
    </w:p>
    <w:p>
      <w:r>
        <w:rPr>
          <w:rFonts w:ascii="Calibri" w:hAnsi="Calibri"/>
          <w:color w:val="222222"/>
        </w:rPr>
        <w:t>For each PCA, record:</w:t>
      </w:r>
    </w:p>
    <w:p>
      <w:pPr>
        <w:numPr>
          <w:ilvl w:val="0"/>
          <w:numId w:val="65"/>
        </w:numPr>
        <w:spacing w:after="80" w:line="300" w:lineRule="auto"/>
      </w:pPr>
      <w:r>
        <w:rPr>
          <w:rFonts w:ascii="Calibri" w:hAnsi="Calibri"/>
          <w:color w:val="222222"/>
        </w:rPr>
        <w:t>Included study, analysis modes, samples, and features.</w:t>
      </w:r>
    </w:p>
    <w:p>
      <w:pPr>
        <w:numPr>
          <w:ilvl w:val="0"/>
          <w:numId w:val="65"/>
        </w:numPr>
        <w:spacing w:after="80" w:line="300" w:lineRule="auto"/>
      </w:pPr>
      <w:r>
        <w:rPr>
          <w:rFonts w:ascii="Calibri" w:hAnsi="Calibri"/>
          <w:color w:val="222222"/>
        </w:rPr>
        <w:t>Biological versus QC sample roles.</w:t>
      </w:r>
    </w:p>
    <w:p>
      <w:pPr>
        <w:numPr>
          <w:ilvl w:val="0"/>
          <w:numId w:val="65"/>
        </w:numPr>
        <w:spacing w:after="80" w:line="300" w:lineRule="auto"/>
      </w:pPr>
      <w:r>
        <w:rPr>
          <w:rFonts w:ascii="Calibri" w:hAnsi="Calibri"/>
          <w:color w:val="222222"/>
        </w:rPr>
        <w:t>Missingness threshold and handling.</w:t>
      </w:r>
    </w:p>
    <w:p>
      <w:pPr>
        <w:numPr>
          <w:ilvl w:val="0"/>
          <w:numId w:val="65"/>
        </w:numPr>
        <w:spacing w:after="80" w:line="300" w:lineRule="auto"/>
      </w:pPr>
      <w:r>
        <w:rPr>
          <w:rFonts w:ascii="Calibri" w:hAnsi="Calibri"/>
          <w:color w:val="222222"/>
        </w:rPr>
        <w:t>Zero and near-zero variance removal.</w:t>
      </w:r>
    </w:p>
    <w:p>
      <w:pPr>
        <w:numPr>
          <w:ilvl w:val="0"/>
          <w:numId w:val="65"/>
        </w:numPr>
        <w:spacing w:after="80" w:line="300" w:lineRule="auto"/>
      </w:pPr>
      <w:r>
        <w:rPr>
          <w:rFonts w:ascii="Calibri" w:hAnsi="Calibri"/>
          <w:color w:val="222222"/>
        </w:rPr>
        <w:t>Transformation, centering, and scaling.</w:t>
      </w:r>
    </w:p>
    <w:p>
      <w:pPr>
        <w:numPr>
          <w:ilvl w:val="0"/>
          <w:numId w:val="65"/>
        </w:numPr>
        <w:spacing w:after="80" w:line="300" w:lineRule="auto"/>
      </w:pPr>
      <w:r>
        <w:rPr>
          <w:rFonts w:ascii="Calibri" w:hAnsi="Calibri"/>
          <w:color w:val="222222"/>
        </w:rPr>
        <w:t>Treatment of duplicate RefMet mappings.</w:t>
      </w:r>
    </w:p>
    <w:p>
      <w:pPr>
        <w:numPr>
          <w:ilvl w:val="0"/>
          <w:numId w:val="65"/>
        </w:numPr>
        <w:spacing w:after="80" w:line="300" w:lineRule="auto"/>
      </w:pPr>
      <w:r>
        <w:rPr>
          <w:rFonts w:ascii="Calibri" w:hAnsi="Calibri"/>
          <w:color w:val="222222"/>
        </w:rPr>
        <w:t>Explained variance for displayed components.</w:t>
      </w:r>
    </w:p>
    <w:p>
      <w:r>
        <w:rPr>
          <w:rFonts w:ascii="Calibri" w:hAnsi="Calibri"/>
          <w:color w:val="222222"/>
        </w:rPr>
        <w:t>Use transformations only when compatible with the measurement scale and documented. Do not add an arbitrary pseudocount without recording its value and evaluating sensitivity. Fit imputation and scaling rules within the analyzed study; a combined fit across studies can transmit study-specific scale information.</w:t>
      </w:r>
    </w:p>
    <w:p>
      <w:pPr>
        <w:pStyle w:val="Heading3"/>
      </w:pPr>
      <w:r>
        <w:rPr>
          <w:rFonts w:ascii="Calibri" w:hAnsi="Calibri"/>
          <w:color w:val="222222"/>
        </w:rPr>
        <w:t>Diet-study PCA</w:t>
      </w:r>
    </w:p>
    <w:p>
      <w:r>
        <w:rPr>
          <w:rFonts w:ascii="Calibri" w:hAnsi="Calibri"/>
          <w:color w:val="222222"/>
        </w:rPr>
        <w:t>Color or facet the biological samples by diet and shape them by timepoint, while keeping the concurrent antibiotic/PEG intervention visible in the caption or an annotated time axis. Display pooled QC samples separately if they are used diagnostically. A visible time pattern is not automatically a diet effect.</w:t>
      </w:r>
    </w:p>
    <w:p>
      <w:r>
        <w:rPr>
          <w:rFonts w:ascii="Calibri" w:hAnsi="Calibri"/>
          <w:color w:val="222222"/>
        </w:rPr>
        <w:t>Questions to ask:</w:t>
      </w:r>
    </w:p>
    <w:p>
      <w:pPr>
        <w:numPr>
          <w:ilvl w:val="0"/>
          <w:numId w:val="66"/>
        </w:numPr>
        <w:spacing w:after="80" w:line="300" w:lineRule="auto"/>
      </w:pPr>
      <w:r>
        <w:rPr>
          <w:rFonts w:ascii="Calibri" w:hAnsi="Calibri"/>
          <w:color w:val="222222"/>
        </w:rPr>
        <w:t>Do pooled QC samples cluster more tightly than biological samples?</w:t>
      </w:r>
    </w:p>
    <w:p>
      <w:pPr>
        <w:numPr>
          <w:ilvl w:val="0"/>
          <w:numId w:val="66"/>
        </w:numPr>
        <w:spacing w:after="80" w:line="300" w:lineRule="auto"/>
      </w:pPr>
      <w:r>
        <w:rPr>
          <w:rFonts w:ascii="Calibri" w:hAnsi="Calibri"/>
          <w:color w:val="222222"/>
        </w:rPr>
        <w:t>Are extreme points associated with missingness or a specific analytical mode?</w:t>
      </w:r>
    </w:p>
    <w:p>
      <w:pPr>
        <w:numPr>
          <w:ilvl w:val="0"/>
          <w:numId w:val="66"/>
        </w:numPr>
        <w:spacing w:after="80" w:line="300" w:lineRule="auto"/>
      </w:pPr>
      <w:r>
        <w:rPr>
          <w:rFonts w:ascii="Calibri" w:hAnsi="Calibri"/>
          <w:color w:val="222222"/>
        </w:rPr>
        <w:t>Is variation aligned with time, diet, sex, participant, or batch metadata?</w:t>
      </w:r>
    </w:p>
    <w:p>
      <w:pPr>
        <w:numPr>
          <w:ilvl w:val="0"/>
          <w:numId w:val="66"/>
        </w:numPr>
        <w:spacing w:after="80" w:line="300" w:lineRule="auto"/>
      </w:pPr>
      <w:r>
        <w:rPr>
          <w:rFonts w:ascii="Calibri" w:hAnsi="Calibri"/>
          <w:color w:val="222222"/>
        </w:rPr>
        <w:t>Does the pattern change after reasonable sensitivity checks?</w:t>
      </w:r>
    </w:p>
    <w:p>
      <w:pPr>
        <w:numPr>
          <w:ilvl w:val="0"/>
          <w:numId w:val="66"/>
        </w:numPr>
        <w:spacing w:after="80" w:line="300" w:lineRule="auto"/>
      </w:pPr>
      <w:r>
        <w:rPr>
          <w:rFonts w:ascii="Calibri" w:hAnsi="Calibri"/>
          <w:color w:val="222222"/>
        </w:rPr>
        <w:t>Can diet be separated from setting and assignment differences for all groups? Not without additional assumptions.</w:t>
      </w:r>
    </w:p>
    <w:p>
      <w:pPr>
        <w:pStyle w:val="Heading3"/>
      </w:pPr>
      <w:r>
        <w:rPr>
          <w:rFonts w:ascii="Calibri" w:hAnsi="Calibri"/>
          <w:color w:val="222222"/>
        </w:rPr>
        <w:t>Exercise-study PCA</w:t>
      </w:r>
    </w:p>
    <w:p>
      <w:r>
        <w:rPr>
          <w:rFonts w:ascii="Calibri" w:hAnsi="Calibri"/>
          <w:color w:val="222222"/>
        </w:rPr>
        <w:t xml:space="preserve">Color samples by </w:t>
      </w:r>
      <w:r>
        <w:rPr>
          <w:rFonts w:ascii="Consolas" w:hAnsi="Consolas"/>
          <w:color w:val="1F4D78"/>
          <w:sz w:val="21"/>
          <w:shd w:fill="EEF1F4"/>
        </w:rPr>
        <w:t>REST</w:t>
      </w:r>
      <w:r>
        <w:rPr>
          <w:rFonts w:ascii="Calibri" w:hAnsi="Calibri"/>
          <w:color w:val="222222"/>
        </w:rPr>
        <w:t xml:space="preserve">, </w:t>
      </w:r>
      <w:r>
        <w:rPr>
          <w:rFonts w:ascii="Consolas" w:hAnsi="Consolas"/>
          <w:color w:val="1F4D78"/>
          <w:sz w:val="21"/>
          <w:shd w:fill="EEF1F4"/>
        </w:rPr>
        <w:t>STAT</w:t>
      </w:r>
      <w:r>
        <w:rPr>
          <w:rFonts w:ascii="Calibri" w:hAnsi="Calibri"/>
          <w:color w:val="222222"/>
        </w:rPr>
        <w:t xml:space="preserve">, </w:t>
      </w:r>
      <w:r>
        <w:rPr>
          <w:rFonts w:ascii="Consolas" w:hAnsi="Consolas"/>
          <w:color w:val="1F4D78"/>
          <w:sz w:val="21"/>
          <w:shd w:fill="EEF1F4"/>
        </w:rPr>
        <w:t>REC3</w:t>
      </w:r>
      <w:r>
        <w:rPr>
          <w:rFonts w:ascii="Calibri" w:hAnsi="Calibri"/>
          <w:color w:val="222222"/>
        </w:rPr>
        <w:t xml:space="preserve">, and </w:t>
      </w:r>
      <w:r>
        <w:rPr>
          <w:rFonts w:ascii="Consolas" w:hAnsi="Consolas"/>
          <w:color w:val="1F4D78"/>
          <w:sz w:val="21"/>
          <w:shd w:fill="EEF1F4"/>
        </w:rPr>
        <w:t>REC22</w:t>
      </w:r>
      <w:r>
        <w:rPr>
          <w:rFonts w:ascii="Calibri" w:hAnsi="Calibri"/>
          <w:color w:val="222222"/>
        </w:rPr>
        <w:t>, and connect repeated observations from the same athlete only after participant linkage is validated. The four labels describe an acute and recovery trajectory; they are not interchangeable with diet-study days.</w:t>
      </w:r>
    </w:p>
    <w:p>
      <w:r>
        <w:rPr>
          <w:rFonts w:ascii="Calibri" w:hAnsi="Calibri"/>
          <w:color w:val="222222"/>
        </w:rPr>
        <w:t>Questions to ask:</w:t>
      </w:r>
    </w:p>
    <w:p>
      <w:pPr>
        <w:numPr>
          <w:ilvl w:val="0"/>
          <w:numId w:val="67"/>
        </w:numPr>
        <w:spacing w:after="80" w:line="300" w:lineRule="auto"/>
      </w:pPr>
      <w:r>
        <w:rPr>
          <w:rFonts w:ascii="Calibri" w:hAnsi="Calibri"/>
          <w:color w:val="222222"/>
        </w:rPr>
        <w:t>Is any separation ordered along the known recovery sequence?</w:t>
      </w:r>
    </w:p>
    <w:p>
      <w:pPr>
        <w:numPr>
          <w:ilvl w:val="0"/>
          <w:numId w:val="67"/>
        </w:numPr>
        <w:spacing w:after="80" w:line="300" w:lineRule="auto"/>
      </w:pPr>
      <w:r>
        <w:rPr>
          <w:rFonts w:ascii="Calibri" w:hAnsi="Calibri"/>
          <w:color w:val="222222"/>
        </w:rPr>
        <w:t>Are trajectories consistent across athletes or driven by a subset?</w:t>
      </w:r>
    </w:p>
    <w:p>
      <w:pPr>
        <w:numPr>
          <w:ilvl w:val="0"/>
          <w:numId w:val="67"/>
        </w:numPr>
        <w:spacing w:after="80" w:line="300" w:lineRule="auto"/>
      </w:pPr>
      <w:r>
        <w:rPr>
          <w:rFonts w:ascii="Calibri" w:hAnsi="Calibri"/>
          <w:color w:val="222222"/>
        </w:rPr>
        <w:t>Do positive- and negative-ion analysis blocks behave differently?</w:t>
      </w:r>
    </w:p>
    <w:p>
      <w:pPr>
        <w:numPr>
          <w:ilvl w:val="0"/>
          <w:numId w:val="67"/>
        </w:numPr>
        <w:spacing w:after="80" w:line="300" w:lineRule="auto"/>
      </w:pPr>
      <w:r>
        <w:rPr>
          <w:rFonts w:ascii="Calibri" w:hAnsi="Calibri"/>
          <w:color w:val="222222"/>
        </w:rPr>
        <w:t>Could collection clock time, fasting status, or processing contribute?</w:t>
      </w:r>
    </w:p>
    <w:p>
      <w:pPr>
        <w:pStyle w:val="Heading3"/>
      </w:pPr>
      <w:r>
        <w:rPr>
          <w:rFonts w:ascii="Calibri" w:hAnsi="Calibri"/>
          <w:color w:val="222222"/>
        </w:rPr>
        <w:t>Why this module omits a combined PCA</w:t>
      </w:r>
    </w:p>
    <w:p>
      <w:r>
        <w:rPr>
          <w:rFonts w:ascii="Calibri" w:hAnsi="Calibri"/>
          <w:color w:val="222222"/>
        </w:rPr>
        <w:t>Study identity is perfectly associated with diet-versus-exercise context and also differs in matrix, platform implementation, units, laboratory, population, and protocol. A PCA of the stacked raw matrices would primarily encode those inseparable study-of-origin differences. This module therefore omits that plot and teaches the confounding problem through the metadata audit plus two independent within-study PCA figures whose numeric axes are not compared.</w:t>
      </w:r>
    </w:p>
    <w:p>
      <w:pPr>
        <w:pStyle w:val="Heading3"/>
      </w:pPr>
      <w:r>
        <w:rPr>
          <w:rFonts w:ascii="Calibri" w:hAnsi="Calibri"/>
          <w:color w:val="222222"/>
        </w:rPr>
        <w:t>Accessible descriptions of the PCA figures</w:t>
      </w:r>
    </w:p>
    <w:p>
      <w:r>
        <w:rPr>
          <w:rFonts w:ascii="Calibri" w:hAnsi="Calibri"/>
          <w:color w:val="222222"/>
        </w:rPr>
        <w:t xml:space="preserve">The diet figure is titled </w:t>
      </w:r>
      <w:r>
        <w:rPr>
          <w:rFonts w:ascii="Consolas" w:hAnsi="Consolas"/>
          <w:color w:val="1F4D78"/>
          <w:sz w:val="21"/>
          <w:shd w:fill="EEF1F4"/>
        </w:rPr>
        <w:t>ST001521 / AN002534: within-study PCA</w:t>
      </w:r>
      <w:r>
        <w:rPr>
          <w:rFonts w:ascii="Calibri" w:hAnsi="Calibri"/>
          <w:color w:val="222222"/>
        </w:rPr>
        <w:t xml:space="preserve"> and contains 150 biological plasma samples; the 10 pooled QPP samples are excluded. Color represents Western, Vegan, or Modulen, and marker shape represents Baseline, Day 5, Day 9, Day 12, or Day 15. PC1 explains 34.4% and PC2 explains 11.6% of variance.</w:t>
      </w:r>
    </w:p>
    <w:p>
      <w:r>
        <w:rPr>
          <w:rFonts w:ascii="Calibri" w:hAnsi="Calibri"/>
          <w:color w:val="222222"/>
        </w:rPr>
        <w:t xml:space="preserve">The exercise figure is titled </w:t>
      </w:r>
      <w:r>
        <w:rPr>
          <w:rFonts w:ascii="Consolas" w:hAnsi="Consolas"/>
          <w:color w:val="1F4D78"/>
          <w:sz w:val="21"/>
          <w:shd w:fill="EEF1F4"/>
        </w:rPr>
        <w:t>ST003348 / AN005483: within-study PCA</w:t>
      </w:r>
      <w:r>
        <w:rPr>
          <w:rFonts w:ascii="Calibri" w:hAnsi="Calibri"/>
          <w:color w:val="222222"/>
        </w:rPr>
        <w:t xml:space="preserve"> and contains 76 serum samples. Color represents Rest, Immediate post, 3 h recovery, or 22 h recovery; the plot does not draw participant-trajectory lines. PC1 explains 16.1% and PC2 explains 8.4% of variance. The two PCA models have independent coordinate systems, so point distances and axis values must not be compared between figures.</w:t>
      </w:r>
    </w:p>
    <w:p>
      <w:pPr>
        <w:pStyle w:val="Heading2"/>
      </w:pPr>
      <w:r>
        <w:rPr>
          <w:rFonts w:ascii="Calibri" w:hAnsi="Calibri"/>
          <w:color w:val="222222"/>
        </w:rPr>
        <w:t>9. Hands-on notebook activity</w:t>
      </w:r>
    </w:p>
    <w:p>
      <w:pPr>
        <w:pStyle w:val="Heading3"/>
      </w:pPr>
      <w:r>
        <w:rPr>
          <w:rFonts w:ascii="Calibri" w:hAnsi="Calibri"/>
          <w:color w:val="222222"/>
        </w:rPr>
        <w:t>Part A - Retrieval audit</w:t>
      </w:r>
    </w:p>
    <w:p>
      <w:pPr>
        <w:numPr>
          <w:ilvl w:val="0"/>
          <w:numId w:val="68"/>
        </w:numPr>
        <w:spacing w:after="80" w:line="300" w:lineRule="auto"/>
      </w:pPr>
      <w:r>
        <w:rPr>
          <w:rFonts w:ascii="Calibri" w:hAnsi="Calibri"/>
          <w:color w:val="222222"/>
        </w:rPr>
        <w:t xml:space="preserve">Review </w:t>
      </w:r>
      <w:r>
        <w:rPr>
          <w:rFonts w:ascii="Consolas" w:hAnsi="Consolas"/>
          <w:color w:val="1F4D78"/>
          <w:sz w:val="21"/>
          <w:shd w:fill="EEF1F4"/>
        </w:rPr>
        <w:t>NB-L1</w:t>
      </w:r>
      <w:r>
        <w:rPr>
          <w:rFonts w:ascii="Calibri" w:hAnsi="Calibri"/>
          <w:color w:val="222222"/>
        </w:rPr>
        <w:t xml:space="preserve"> and run the </w:t>
      </w:r>
      <w:r>
        <w:rPr>
          <w:rFonts w:ascii="Consolas" w:hAnsi="Consolas"/>
          <w:color w:val="1F4D78"/>
          <w:sz w:val="21"/>
          <w:shd w:fill="EEF1F4"/>
        </w:rPr>
        <w:t>NB-L2</w:t>
      </w:r>
      <w:r>
        <w:rPr>
          <w:rFonts w:ascii="Calibri" w:hAnsi="Calibri"/>
          <w:color w:val="222222"/>
        </w:rPr>
        <w:t xml:space="preserve"> retrieval cells if they have not already been executed in this fresh kernel.</w:t>
      </w:r>
    </w:p>
    <w:p>
      <w:pPr>
        <w:numPr>
          <w:ilvl w:val="0"/>
          <w:numId w:val="68"/>
        </w:numPr>
        <w:spacing w:after="80" w:line="300" w:lineRule="auto"/>
      </w:pPr>
      <w:r>
        <w:rPr>
          <w:rFonts w:ascii="Calibri" w:hAnsi="Calibri"/>
          <w:color w:val="222222"/>
        </w:rPr>
        <w:t>Confirm both locked accessions in the output.</w:t>
      </w:r>
    </w:p>
    <w:p>
      <w:pPr>
        <w:numPr>
          <w:ilvl w:val="0"/>
          <w:numId w:val="68"/>
        </w:numPr>
        <w:spacing w:after="80" w:line="300" w:lineRule="auto"/>
      </w:pPr>
      <w:r>
        <w:rPr>
          <w:rFonts w:ascii="Calibri" w:hAnsi="Calibri"/>
          <w:color w:val="222222"/>
        </w:rPr>
        <w:t>Record live or cached status for each endpoint.</w:t>
      </w:r>
    </w:p>
    <w:p>
      <w:pPr>
        <w:numPr>
          <w:ilvl w:val="0"/>
          <w:numId w:val="68"/>
        </w:numPr>
        <w:spacing w:after="80" w:line="300" w:lineRule="auto"/>
      </w:pPr>
      <w:r>
        <w:rPr>
          <w:rFonts w:ascii="Calibri" w:hAnsi="Calibri"/>
          <w:color w:val="222222"/>
        </w:rPr>
        <w:t>Compare the structural audit with the expected checks above.</w:t>
      </w:r>
    </w:p>
    <w:p>
      <w:pPr>
        <w:numPr>
          <w:ilvl w:val="0"/>
          <w:numId w:val="68"/>
        </w:numPr>
        <w:spacing w:after="80" w:line="300" w:lineRule="auto"/>
      </w:pPr>
      <w:r>
        <w:rPr>
          <w:rFonts w:ascii="Calibri" w:hAnsi="Calibri"/>
          <w:color w:val="222222"/>
        </w:rPr>
        <w:t>Investigate any discrepancy before continuing.</w:t>
      </w:r>
    </w:p>
    <w:p>
      <w:pPr>
        <w:pStyle w:val="Heading3"/>
      </w:pPr>
      <w:r>
        <w:rPr>
          <w:rFonts w:ascii="Calibri" w:hAnsi="Calibri"/>
          <w:color w:val="222222"/>
        </w:rPr>
        <w:t>Part B - Sample-role and time audit</w:t>
      </w:r>
    </w:p>
    <w:p>
      <w:pPr>
        <w:numPr>
          <w:ilvl w:val="0"/>
          <w:numId w:val="69"/>
        </w:numPr>
        <w:spacing w:after="80" w:line="300" w:lineRule="auto"/>
      </w:pPr>
      <w:r>
        <w:rPr>
          <w:rFonts w:ascii="Calibri" w:hAnsi="Calibri"/>
          <w:color w:val="222222"/>
        </w:rPr>
        <w:t xml:space="preserve">In </w:t>
      </w:r>
      <w:r>
        <w:rPr>
          <w:rFonts w:ascii="Consolas" w:hAnsi="Consolas"/>
          <w:color w:val="1F4D78"/>
          <w:sz w:val="21"/>
          <w:shd w:fill="EEF1F4"/>
        </w:rPr>
        <w:t>NB-L2</w:t>
      </w:r>
      <w:r>
        <w:rPr>
          <w:rFonts w:ascii="Calibri" w:hAnsi="Calibri"/>
          <w:color w:val="222222"/>
        </w:rPr>
        <w:t xml:space="preserve">, identify the 10 </w:t>
      </w:r>
      <w:r>
        <w:rPr>
          <w:rFonts w:ascii="Consolas" w:hAnsi="Consolas"/>
          <w:color w:val="1F4D78"/>
          <w:sz w:val="21"/>
          <w:shd w:fill="EEF1F4"/>
        </w:rPr>
        <w:t>QPP...</w:t>
      </w:r>
      <w:r>
        <w:rPr>
          <w:rFonts w:ascii="Calibri" w:hAnsi="Calibri"/>
          <w:color w:val="222222"/>
        </w:rPr>
        <w:t xml:space="preserve"> rows in </w:t>
      </w:r>
      <w:r>
        <w:rPr>
          <w:rFonts w:ascii="Consolas" w:hAnsi="Consolas"/>
          <w:color w:val="1F4D78"/>
          <w:sz w:val="21"/>
          <w:shd w:fill="EEF1F4"/>
        </w:rPr>
        <w:t>ST001521</w:t>
      </w:r>
      <w:r>
        <w:rPr>
          <w:rFonts w:ascii="Calibri" w:hAnsi="Calibri"/>
          <w:color w:val="222222"/>
        </w:rPr>
        <w:t xml:space="preserve"> and verify that they are not counted as participants.</w:t>
      </w:r>
    </w:p>
    <w:p>
      <w:pPr>
        <w:numPr>
          <w:ilvl w:val="0"/>
          <w:numId w:val="69"/>
        </w:numPr>
        <w:spacing w:after="80" w:line="300" w:lineRule="auto"/>
      </w:pPr>
      <w:r>
        <w:rPr>
          <w:rFonts w:ascii="Calibri" w:hAnsi="Calibri"/>
          <w:color w:val="222222"/>
        </w:rPr>
        <w:t>Create explicit physiological labels for the exercise study: pre-exercise, immediate post-exercise, 3-hour recovery, and 22-hour recovery.</w:t>
      </w:r>
    </w:p>
    <w:p>
      <w:pPr>
        <w:numPr>
          <w:ilvl w:val="0"/>
          <w:numId w:val="69"/>
        </w:numPr>
        <w:spacing w:after="80" w:line="300" w:lineRule="auto"/>
      </w:pPr>
      <w:r>
        <w:rPr>
          <w:rFonts w:ascii="Calibri" w:hAnsi="Calibri"/>
          <w:color w:val="222222"/>
        </w:rPr>
        <w:t>Preserve the diet-study days and annotate the antibiotic/PEG interval rather than mapping them to the exercise labels.</w:t>
      </w:r>
    </w:p>
    <w:p>
      <w:pPr>
        <w:numPr>
          <w:ilvl w:val="0"/>
          <w:numId w:val="69"/>
        </w:numPr>
        <w:spacing w:after="80" w:line="300" w:lineRule="auto"/>
      </w:pPr>
      <w:r>
        <w:rPr>
          <w:rFonts w:ascii="Calibri" w:hAnsi="Calibri"/>
          <w:color w:val="222222"/>
        </w:rPr>
        <w:t>Record plasma versus serum as a partial compatibility decision.</w:t>
      </w:r>
    </w:p>
    <w:p>
      <w:pPr>
        <w:pStyle w:val="Heading3"/>
      </w:pPr>
      <w:r>
        <w:rPr>
          <w:rFonts w:ascii="Calibri" w:hAnsi="Calibri"/>
          <w:color w:val="222222"/>
        </w:rPr>
        <w:t>Part C - Crosswalk and overlap</w:t>
      </w:r>
    </w:p>
    <w:p>
      <w:pPr>
        <w:numPr>
          <w:ilvl w:val="0"/>
          <w:numId w:val="70"/>
        </w:numPr>
        <w:spacing w:after="80" w:line="300" w:lineRule="auto"/>
      </w:pPr>
      <w:r>
        <w:rPr>
          <w:rFonts w:ascii="Calibri" w:hAnsi="Calibri"/>
          <w:color w:val="222222"/>
        </w:rPr>
        <w:t xml:space="preserve">In </w:t>
      </w:r>
      <w:r>
        <w:rPr>
          <w:rFonts w:ascii="Consolas" w:hAnsi="Consolas"/>
          <w:color w:val="1F4D78"/>
          <w:sz w:val="21"/>
          <w:shd w:fill="EEF1F4"/>
        </w:rPr>
        <w:t>NB-L3-CROSSWALK</w:t>
      </w:r>
      <w:r>
        <w:rPr>
          <w:rFonts w:ascii="Calibri" w:hAnsi="Calibri"/>
          <w:color w:val="222222"/>
        </w:rPr>
        <w:t>, join the reviewed crosswalk using accession, analysis, and source-feature keys.</w:t>
      </w:r>
    </w:p>
    <w:p>
      <w:pPr>
        <w:numPr>
          <w:ilvl w:val="0"/>
          <w:numId w:val="70"/>
        </w:numPr>
        <w:spacing w:after="80" w:line="300" w:lineRule="auto"/>
      </w:pPr>
      <w:r>
        <w:rPr>
          <w:rFonts w:ascii="Calibri" w:hAnsi="Calibri"/>
          <w:color w:val="222222"/>
        </w:rPr>
        <w:t>Inspect the join-cardinality report.</w:t>
      </w:r>
    </w:p>
    <w:p>
      <w:pPr>
        <w:numPr>
          <w:ilvl w:val="0"/>
          <w:numId w:val="70"/>
        </w:numPr>
        <w:spacing w:after="80" w:line="300" w:lineRule="auto"/>
      </w:pPr>
      <w:r>
        <w:rPr>
          <w:rFonts w:ascii="Calibri" w:hAnsi="Calibri"/>
          <w:color w:val="222222"/>
        </w:rPr>
        <w:t>Reproduce the intermediate 153 shared nonblank exact RefMet strings if the same retrieval and preliminary rules are in use.</w:t>
      </w:r>
    </w:p>
    <w:p>
      <w:pPr>
        <w:numPr>
          <w:ilvl w:val="0"/>
          <w:numId w:val="70"/>
        </w:numPr>
        <w:spacing w:after="80" w:line="300" w:lineRule="auto"/>
      </w:pPr>
      <w:r>
        <w:rPr>
          <w:rFonts w:ascii="Calibri" w:hAnsi="Calibri"/>
          <w:color w:val="222222"/>
        </w:rPr>
        <w:t xml:space="preserve">Apply the nonbiological artifact rule and verify that eight </w:t>
      </w:r>
      <w:r>
        <w:rPr>
          <w:rFonts w:ascii="Consolas" w:hAnsi="Consolas"/>
          <w:color w:val="1F4D78"/>
          <w:sz w:val="21"/>
          <w:shd w:fill="EEF1F4"/>
        </w:rPr>
        <w:t>ST003348</w:t>
      </w:r>
      <w:r>
        <w:rPr>
          <w:rFonts w:ascii="Calibri" w:hAnsi="Calibri"/>
          <w:color w:val="222222"/>
        </w:rPr>
        <w:t xml:space="preserve"> isotope/internal-standard rows are excluded, producing 145 conservative biological overlaps in the audited build.</w:t>
      </w:r>
    </w:p>
    <w:p>
      <w:pPr>
        <w:numPr>
          <w:ilvl w:val="0"/>
          <w:numId w:val="70"/>
        </w:numPr>
        <w:spacing w:after="80" w:line="300" w:lineRule="auto"/>
      </w:pPr>
      <w:r>
        <w:rPr>
          <w:rFonts w:ascii="Calibri" w:hAnsi="Calibri"/>
          <w:color w:val="222222"/>
        </w:rPr>
        <w:t>Apply any additional mapping-status and annotation-resolution eligibility rules and record every exclusion count.</w:t>
      </w:r>
    </w:p>
    <w:p>
      <w:pPr>
        <w:numPr>
          <w:ilvl w:val="0"/>
          <w:numId w:val="70"/>
        </w:numPr>
        <w:spacing w:after="80" w:line="300" w:lineRule="auto"/>
      </w:pPr>
      <w:r>
        <w:rPr>
          <w:rFonts w:ascii="Calibri" w:hAnsi="Calibri"/>
          <w:color w:val="222222"/>
        </w:rPr>
        <w:t xml:space="preserve">In </w:t>
      </w:r>
      <w:r>
        <w:rPr>
          <w:rFonts w:ascii="Consolas" w:hAnsi="Consolas"/>
          <w:color w:val="1F4D78"/>
          <w:sz w:val="21"/>
          <w:shd w:fill="EEF1F4"/>
        </w:rPr>
        <w:t>NB-L4-CLASS</w:t>
      </w:r>
      <w:r>
        <w:rPr>
          <w:rFonts w:ascii="Calibri" w:hAnsi="Calibri"/>
          <w:color w:val="222222"/>
        </w:rPr>
        <w:t>, produce the set summary and class-count figure.</w:t>
      </w:r>
    </w:p>
    <w:p>
      <w:r>
        <w:rPr>
          <w:rFonts w:ascii="Calibri" w:hAnsi="Calibri"/>
          <w:color w:val="222222"/>
        </w:rPr>
        <w:t>If 153 and then 145 are not reproduced, do not tune filters merely to make them appear. Check versions, retrieved analyses, missing-value definitions, isotope/internal-standard rules, duplicate collapse, and crosswalk state; document the reason for any legitimate difference.</w:t>
      </w:r>
    </w:p>
    <w:p>
      <w:pPr>
        <w:pStyle w:val="Heading3"/>
      </w:pPr>
      <w:r>
        <w:rPr>
          <w:rFonts w:ascii="Calibri" w:hAnsi="Calibri"/>
          <w:color w:val="222222"/>
        </w:rPr>
        <w:t>Part D - PCA and sensitivity</w:t>
      </w:r>
    </w:p>
    <w:p>
      <w:pPr>
        <w:numPr>
          <w:ilvl w:val="0"/>
          <w:numId w:val="71"/>
        </w:numPr>
        <w:spacing w:after="80" w:line="300" w:lineRule="auto"/>
      </w:pPr>
      <w:r>
        <w:rPr>
          <w:rFonts w:ascii="Calibri" w:hAnsi="Calibri"/>
          <w:color w:val="222222"/>
        </w:rPr>
        <w:t xml:space="preserve">Run </w:t>
      </w:r>
      <w:r>
        <w:rPr>
          <w:rFonts w:ascii="Consolas" w:hAnsi="Consolas"/>
          <w:color w:val="1F4D78"/>
          <w:sz w:val="21"/>
          <w:shd w:fill="EEF1F4"/>
        </w:rPr>
        <w:t>NB-L4-PCA-DIET</w:t>
      </w:r>
      <w:r>
        <w:rPr>
          <w:rFonts w:ascii="Calibri" w:hAnsi="Calibri"/>
          <w:color w:val="222222"/>
        </w:rPr>
        <w:t xml:space="preserve"> and </w:t>
      </w:r>
      <w:r>
        <w:rPr>
          <w:rFonts w:ascii="Consolas" w:hAnsi="Consolas"/>
          <w:color w:val="1F4D78"/>
          <w:sz w:val="21"/>
          <w:shd w:fill="EEF1F4"/>
        </w:rPr>
        <w:t>NB-L4-PCA-EXERCISE</w:t>
      </w:r>
      <w:r>
        <w:rPr>
          <w:rFonts w:ascii="Calibri" w:hAnsi="Calibri"/>
          <w:color w:val="222222"/>
        </w:rPr>
        <w:t xml:space="preserve"> separately.</w:t>
      </w:r>
    </w:p>
    <w:p>
      <w:pPr>
        <w:numPr>
          <w:ilvl w:val="0"/>
          <w:numId w:val="71"/>
        </w:numPr>
        <w:spacing w:after="80" w:line="300" w:lineRule="auto"/>
      </w:pPr>
      <w:r>
        <w:rPr>
          <w:rFonts w:ascii="Calibri" w:hAnsi="Calibri"/>
          <w:color w:val="222222"/>
        </w:rPr>
        <w:t>Confirm QC samples are excluded from biological inference but available for assay diagnostics.</w:t>
      </w:r>
    </w:p>
    <w:p>
      <w:pPr>
        <w:numPr>
          <w:ilvl w:val="0"/>
          <w:numId w:val="71"/>
        </w:numPr>
        <w:spacing w:after="80" w:line="300" w:lineRule="auto"/>
      </w:pPr>
      <w:r>
        <w:rPr>
          <w:rFonts w:ascii="Calibri" w:hAnsi="Calibri"/>
          <w:color w:val="222222"/>
        </w:rPr>
        <w:t>State the preprocessing choices in plain language.</w:t>
      </w:r>
    </w:p>
    <w:p>
      <w:pPr>
        <w:numPr>
          <w:ilvl w:val="0"/>
          <w:numId w:val="71"/>
        </w:numPr>
        <w:spacing w:after="80" w:line="300" w:lineRule="auto"/>
      </w:pPr>
      <w:r>
        <w:rPr>
          <w:rFonts w:ascii="Calibri" w:hAnsi="Calibri"/>
          <w:color w:val="222222"/>
        </w:rPr>
        <w:t>Repeat one reasonable sensitivity analysis, such as changing the missingness threshold or analyzing ion modes separately.</w:t>
      </w:r>
    </w:p>
    <w:p>
      <w:pPr>
        <w:numPr>
          <w:ilvl w:val="0"/>
          <w:numId w:val="71"/>
        </w:numPr>
        <w:spacing w:after="80" w:line="300" w:lineRule="auto"/>
      </w:pPr>
      <w:r>
        <w:rPr>
          <w:rFonts w:ascii="Calibri" w:hAnsi="Calibri"/>
          <w:color w:val="222222"/>
        </w:rPr>
        <w:t>Compare which observations persist and which change.</w:t>
      </w:r>
    </w:p>
    <w:p>
      <w:pPr>
        <w:pStyle w:val="Heading3"/>
      </w:pPr>
      <w:r>
        <w:rPr>
          <w:rFonts w:ascii="Calibri" w:hAnsi="Calibri"/>
          <w:color w:val="222222"/>
        </w:rPr>
        <w:t>Part E - Write a bounded interpretation</w:t>
      </w:r>
    </w:p>
    <w:p>
      <w:r>
        <w:rPr>
          <w:rFonts w:ascii="Calibri" w:hAnsi="Calibri"/>
          <w:color w:val="222222"/>
        </w:rPr>
        <w:t>Use this four-sentence scaffold:</w:t>
      </w:r>
    </w:p>
    <w:p>
      <w:pPr>
        <w:numPr>
          <w:ilvl w:val="0"/>
          <w:numId w:val="72"/>
        </w:numPr>
        <w:spacing w:after="80" w:line="300" w:lineRule="auto"/>
      </w:pPr>
      <w:r>
        <w:rPr>
          <w:rFonts w:ascii="Calibri" w:hAnsi="Calibri"/>
          <w:b/>
          <w:color w:val="222222"/>
        </w:rPr>
        <w:t>Observation:</w:t>
      </w:r>
      <w:r>
        <w:rPr>
          <w:rFonts w:ascii="Calibri" w:hAnsi="Calibri"/>
          <w:color w:val="222222"/>
        </w:rPr>
        <w:t xml:space="preserve"> "Within </w:t>
      </w:r>
      <w:r>
        <w:rPr>
          <w:rFonts w:ascii="Consolas" w:hAnsi="Consolas"/>
          <w:color w:val="1F4D78"/>
          <w:sz w:val="21"/>
          <w:shd w:fill="EEF1F4"/>
        </w:rPr>
        <w:t>ST...</w:t>
      </w:r>
      <w:r>
        <w:rPr>
          <w:rFonts w:ascii="Calibri" w:hAnsi="Calibri"/>
          <w:color w:val="222222"/>
        </w:rPr>
        <w:t>, the exploratory output shows..."</w:t>
      </w:r>
    </w:p>
    <w:p>
      <w:pPr>
        <w:numPr>
          <w:ilvl w:val="0"/>
          <w:numId w:val="72"/>
        </w:numPr>
        <w:spacing w:after="80" w:line="300" w:lineRule="auto"/>
      </w:pPr>
      <w:r>
        <w:rPr>
          <w:rFonts w:ascii="Calibri" w:hAnsi="Calibri"/>
          <w:b/>
          <w:color w:val="222222"/>
        </w:rPr>
        <w:t>Context:</w:t>
      </w:r>
      <w:r>
        <w:rPr>
          <w:rFonts w:ascii="Calibri" w:hAnsi="Calibri"/>
          <w:color w:val="222222"/>
        </w:rPr>
        <w:t xml:space="preserve"> "The relevant design and phenotype metadata indicate..."</w:t>
      </w:r>
    </w:p>
    <w:p>
      <w:pPr>
        <w:numPr>
          <w:ilvl w:val="0"/>
          <w:numId w:val="72"/>
        </w:numPr>
        <w:spacing w:after="80" w:line="300" w:lineRule="auto"/>
      </w:pPr>
      <w:r>
        <w:rPr>
          <w:rFonts w:ascii="Calibri" w:hAnsi="Calibri"/>
          <w:b/>
          <w:color w:val="222222"/>
        </w:rPr>
        <w:t>Alternative explanations:</w:t>
      </w:r>
      <w:r>
        <w:rPr>
          <w:rFonts w:ascii="Calibri" w:hAnsi="Calibri"/>
          <w:color w:val="222222"/>
        </w:rPr>
        <w:t xml:space="preserve"> "This pattern could also reflect..."</w:t>
      </w:r>
    </w:p>
    <w:p>
      <w:pPr>
        <w:numPr>
          <w:ilvl w:val="0"/>
          <w:numId w:val="72"/>
        </w:numPr>
        <w:spacing w:after="80" w:line="300" w:lineRule="auto"/>
      </w:pPr>
      <w:r>
        <w:rPr>
          <w:rFonts w:ascii="Calibri" w:hAnsi="Calibri"/>
          <w:b/>
          <w:color w:val="222222"/>
        </w:rPr>
        <w:t>Boundary:</w:t>
      </w:r>
      <w:r>
        <w:rPr>
          <w:rFonts w:ascii="Calibri" w:hAnsi="Calibri"/>
          <w:color w:val="222222"/>
        </w:rPr>
        <w:t xml:space="preserve"> "These data do not establish..."</w:t>
      </w:r>
    </w:p>
    <w:p>
      <w:r>
        <w:rPr>
          <w:rFonts w:ascii="Calibri" w:hAnsi="Calibri"/>
          <w:color w:val="222222"/>
        </w:rPr>
        <w:t xml:space="preserve">Avoid the verbs </w:t>
      </w:r>
      <w:r>
        <w:rPr>
          <w:rFonts w:ascii="Consolas" w:hAnsi="Consolas"/>
          <w:color w:val="1F4D78"/>
          <w:sz w:val="21"/>
          <w:shd w:fill="EEF1F4"/>
        </w:rPr>
        <w:t>proves</w:t>
      </w:r>
      <w:r>
        <w:rPr>
          <w:rFonts w:ascii="Calibri" w:hAnsi="Calibri"/>
          <w:color w:val="222222"/>
        </w:rPr>
        <w:t xml:space="preserve">, </w:t>
      </w:r>
      <w:r>
        <w:rPr>
          <w:rFonts w:ascii="Consolas" w:hAnsi="Consolas"/>
          <w:color w:val="1F4D78"/>
          <w:sz w:val="21"/>
          <w:shd w:fill="EEF1F4"/>
        </w:rPr>
        <w:t>causes</w:t>
      </w:r>
      <w:r>
        <w:rPr>
          <w:rFonts w:ascii="Calibri" w:hAnsi="Calibri"/>
          <w:color w:val="222222"/>
        </w:rPr>
        <w:t xml:space="preserve">, </w:t>
      </w:r>
      <w:r>
        <w:rPr>
          <w:rFonts w:ascii="Consolas" w:hAnsi="Consolas"/>
          <w:color w:val="1F4D78"/>
          <w:sz w:val="21"/>
          <w:shd w:fill="EEF1F4"/>
        </w:rPr>
        <w:t>confirms</w:t>
      </w:r>
      <w:r>
        <w:rPr>
          <w:rFonts w:ascii="Calibri" w:hAnsi="Calibri"/>
          <w:color w:val="222222"/>
        </w:rPr>
        <w:t xml:space="preserve">, or </w:t>
      </w:r>
      <w:r>
        <w:rPr>
          <w:rFonts w:ascii="Consolas" w:hAnsi="Consolas"/>
          <w:color w:val="1F4D78"/>
          <w:sz w:val="21"/>
          <w:shd w:fill="EEF1F4"/>
        </w:rPr>
        <w:t>demonstrates</w:t>
      </w:r>
      <w:r>
        <w:rPr>
          <w:rFonts w:ascii="Calibri" w:hAnsi="Calibri"/>
          <w:color w:val="222222"/>
        </w:rPr>
        <w:t xml:space="preserve"> unless the design and analysis truly support them.</w:t>
      </w:r>
    </w:p>
    <w:p>
      <w:pPr>
        <w:pStyle w:val="Heading2"/>
      </w:pPr>
      <w:r>
        <w:rPr>
          <w:rFonts w:ascii="Calibri" w:hAnsi="Calibri"/>
          <w:color w:val="222222"/>
        </w:rPr>
        <w:t>10. Optional extension: MetENP</w:t>
      </w:r>
    </w:p>
    <w:p>
      <w:r>
        <w:rPr>
          <w:rFonts w:ascii="Calibri" w:hAnsi="Calibri"/>
          <w:color w:val="222222"/>
        </w:rPr>
        <w:t>MetENP can be introduced as an optional pathway and enrichment resource supported through CFDE. Export only reviewed identifiers in a format the tool documents, retain the background universe, and record tool and database versions. Pathway output inherits all upstream identification and coverage limitations. It is hypothesis-generating, not validation of a diet-versus-exercise mechanism.</w:t>
      </w:r>
    </w:p>
    <w:p>
      <w:pPr>
        <w:pStyle w:val="Heading2"/>
      </w:pPr>
      <w:r>
        <w:rPr>
          <w:rFonts w:ascii="Calibri" w:hAnsi="Calibri"/>
          <w:color w:val="222222"/>
        </w:rPr>
        <w:t>11. Interpretation challenge</w:t>
      </w:r>
    </w:p>
    <w:p>
      <w:r>
        <w:rPr>
          <w:rFonts w:ascii="Calibri" w:hAnsi="Calibri"/>
          <w:color w:val="222222"/>
        </w:rPr>
        <w:t xml:space="preserve">For each statement, mark </w:t>
      </w:r>
      <w:r>
        <w:rPr>
          <w:rFonts w:ascii="Consolas" w:hAnsi="Consolas"/>
          <w:color w:val="1F4D78"/>
          <w:sz w:val="21"/>
          <w:shd w:fill="EEF1F4"/>
        </w:rPr>
        <w:t>supported</w:t>
      </w:r>
      <w:r>
        <w:rPr>
          <w:rFonts w:ascii="Calibri" w:hAnsi="Calibri"/>
          <w:color w:val="222222"/>
        </w:rPr>
        <w:t xml:space="preserve">, </w:t>
      </w:r>
      <w:r>
        <w:rPr>
          <w:rFonts w:ascii="Consolas" w:hAnsi="Consolas"/>
          <w:color w:val="1F4D78"/>
          <w:sz w:val="21"/>
          <w:shd w:fill="EEF1F4"/>
        </w:rPr>
        <w:t>partially supported</w:t>
      </w:r>
      <w:r>
        <w:rPr>
          <w:rFonts w:ascii="Calibri" w:hAnsi="Calibri"/>
          <w:color w:val="222222"/>
        </w:rPr>
        <w:t xml:space="preserve">, or </w:t>
      </w:r>
      <w:r>
        <w:rPr>
          <w:rFonts w:ascii="Consolas" w:hAnsi="Consolas"/>
          <w:color w:val="1F4D78"/>
          <w:sz w:val="21"/>
          <w:shd w:fill="EEF1F4"/>
        </w:rPr>
        <w:t>unsupported</w:t>
      </w:r>
      <w:r>
        <w:rPr>
          <w:rFonts w:ascii="Calibri" w:hAnsi="Calibri"/>
          <w:color w:val="222222"/>
        </w:rPr>
        <w:t>, then revise it.</w:t>
      </w:r>
    </w:p>
    <w:p>
      <w:pPr>
        <w:numPr>
          <w:ilvl w:val="0"/>
          <w:numId w:val="73"/>
        </w:numPr>
        <w:spacing w:after="80" w:line="300" w:lineRule="auto"/>
      </w:pPr>
      <w:r>
        <w:rPr>
          <w:rFonts w:ascii="Calibri" w:hAnsi="Calibri"/>
          <w:color w:val="222222"/>
        </w:rPr>
        <w:t>"The studies share 153 biologically identical metabolites."</w:t>
      </w:r>
    </w:p>
    <w:p>
      <w:pPr>
        <w:numPr>
          <w:ilvl w:val="0"/>
          <w:numId w:val="73"/>
        </w:numPr>
        <w:spacing w:after="80" w:line="300" w:lineRule="auto"/>
      </w:pPr>
      <w:r>
        <w:rPr>
          <w:rFonts w:ascii="Calibri" w:hAnsi="Calibri"/>
          <w:color w:val="222222"/>
        </w:rPr>
        <w:t>"The diet study contains 160 participants."</w:t>
      </w:r>
    </w:p>
    <w:p>
      <w:pPr>
        <w:numPr>
          <w:ilvl w:val="0"/>
          <w:numId w:val="73"/>
        </w:numPr>
        <w:spacing w:after="80" w:line="300" w:lineRule="auto"/>
      </w:pPr>
      <w:r>
        <w:rPr>
          <w:rFonts w:ascii="Calibri" w:hAnsi="Calibri"/>
          <w:color w:val="222222"/>
        </w:rPr>
        <w:t>"The exercise samples are blood, so they are the same matrix as diet plasma."</w:t>
      </w:r>
    </w:p>
    <w:p>
      <w:pPr>
        <w:numPr>
          <w:ilvl w:val="0"/>
          <w:numId w:val="73"/>
        </w:numPr>
        <w:spacing w:after="80" w:line="300" w:lineRule="auto"/>
      </w:pPr>
      <w:r>
        <w:rPr>
          <w:rFonts w:ascii="Calibri" w:hAnsi="Calibri"/>
          <w:color w:val="222222"/>
        </w:rPr>
        <w:t>"PCA separates exercise timepoints, proving the race walk caused every measured change."</w:t>
      </w:r>
    </w:p>
    <w:p>
      <w:pPr>
        <w:numPr>
          <w:ilvl w:val="0"/>
          <w:numId w:val="73"/>
        </w:numPr>
        <w:spacing w:after="80" w:line="300" w:lineRule="auto"/>
      </w:pPr>
      <w:r>
        <w:rPr>
          <w:rFonts w:ascii="Calibri" w:hAnsi="Calibri"/>
          <w:color w:val="222222"/>
        </w:rPr>
        <w:t>"An apparent class difference may reflect assay coverage as well as biology."</w:t>
      </w:r>
    </w:p>
    <w:p>
      <w:r>
        <w:rPr>
          <w:rFonts w:ascii="Calibri" w:hAnsi="Calibri"/>
          <w:color w:val="222222"/>
        </w:rPr>
        <w:t>Suggested revisions are in the answer key.</w:t>
      </w:r>
    </w:p>
    <w:p>
      <w:pPr>
        <w:pStyle w:val="Heading2"/>
      </w:pPr>
      <w:r>
        <w:rPr>
          <w:rFonts w:ascii="Calibri" w:hAnsi="Calibri"/>
          <w:color w:val="222222"/>
        </w:rPr>
        <w:t>12. Analysis boundaries</w:t>
      </w:r>
    </w:p>
    <w:p>
      <w:pPr>
        <w:numPr>
          <w:ilvl w:val="0"/>
          <w:numId w:val="74"/>
        </w:numPr>
        <w:spacing w:after="80" w:line="300" w:lineRule="auto"/>
      </w:pPr>
      <w:r>
        <w:rPr>
          <w:rFonts w:ascii="Calibri" w:hAnsi="Calibri"/>
          <w:color w:val="222222"/>
        </w:rPr>
        <w:t>Exclude pooled QC samples from biological sample counts and participant-level inference.</w:t>
      </w:r>
    </w:p>
    <w:p>
      <w:pPr>
        <w:numPr>
          <w:ilvl w:val="0"/>
          <w:numId w:val="74"/>
        </w:numPr>
        <w:spacing w:after="80" w:line="300" w:lineRule="auto"/>
      </w:pPr>
      <w:r>
        <w:rPr>
          <w:rFonts w:ascii="Calibri" w:hAnsi="Calibri"/>
          <w:color w:val="222222"/>
        </w:rPr>
        <w:t>Preserve plasma versus serum; do not call both simply blood in the analysis matrix.</w:t>
      </w:r>
    </w:p>
    <w:p>
      <w:pPr>
        <w:numPr>
          <w:ilvl w:val="0"/>
          <w:numId w:val="74"/>
        </w:numPr>
        <w:spacing w:after="80" w:line="300" w:lineRule="auto"/>
      </w:pPr>
      <w:r>
        <w:rPr>
          <w:rFonts w:ascii="Calibri" w:hAnsi="Calibri"/>
          <w:color w:val="222222"/>
        </w:rPr>
        <w:t>Diet-study time includes microbiota-depletion procedures; it is not a pure duration-of-diet axis.</w:t>
      </w:r>
    </w:p>
    <w:p>
      <w:pPr>
        <w:numPr>
          <w:ilvl w:val="0"/>
          <w:numId w:val="74"/>
        </w:numPr>
        <w:spacing w:after="80" w:line="300" w:lineRule="auto"/>
      </w:pPr>
      <w:r>
        <w:rPr>
          <w:rFonts w:ascii="Calibri" w:hAnsi="Calibri"/>
          <w:color w:val="222222"/>
        </w:rPr>
        <w:t>Analyze repeated measures with participant structure; do not treat 150 or 76 rows as independent people.</w:t>
      </w:r>
    </w:p>
    <w:p>
      <w:pPr>
        <w:numPr>
          <w:ilvl w:val="0"/>
          <w:numId w:val="74"/>
        </w:numPr>
        <w:spacing w:after="80" w:line="300" w:lineRule="auto"/>
      </w:pPr>
      <w:r>
        <w:rPr>
          <w:rFonts w:ascii="Calibri" w:hAnsi="Calibri"/>
          <w:color w:val="222222"/>
        </w:rPr>
        <w:t>A raw exact-name overlap is an intermediate audit value until artifacts, ambiguity, and duplicates are addressed.</w:t>
      </w:r>
    </w:p>
    <w:p>
      <w:pPr>
        <w:numPr>
          <w:ilvl w:val="0"/>
          <w:numId w:val="74"/>
        </w:numPr>
        <w:spacing w:after="80" w:line="300" w:lineRule="auto"/>
      </w:pPr>
      <w:r>
        <w:rPr>
          <w:rFonts w:ascii="Calibri" w:hAnsi="Calibri"/>
          <w:color w:val="222222"/>
        </w:rPr>
        <w:t>PCA is exploratory and does not assign causes to components.</w:t>
      </w:r>
    </w:p>
    <w:p>
      <w:pPr>
        <w:numPr>
          <w:ilvl w:val="0"/>
          <w:numId w:val="74"/>
        </w:numPr>
        <w:spacing w:after="80" w:line="300" w:lineRule="auto"/>
      </w:pPr>
      <w:r>
        <w:rPr>
          <w:rFonts w:ascii="Calibri" w:hAnsi="Calibri"/>
          <w:color w:val="222222"/>
        </w:rPr>
        <w:t>Do not compare coordinates or loadings from separately fit PCAs as if they shared a coordinate system.</w:t>
      </w:r>
    </w:p>
    <w:p>
      <w:pPr>
        <w:numPr>
          <w:ilvl w:val="0"/>
          <w:numId w:val="74"/>
        </w:numPr>
        <w:spacing w:after="80" w:line="300" w:lineRule="auto"/>
      </w:pPr>
      <w:r>
        <w:rPr>
          <w:rFonts w:ascii="Calibri" w:hAnsi="Calibri"/>
          <w:color w:val="222222"/>
        </w:rPr>
        <w:t>Do not quantitatively pool the two studies in this module.</w:t>
      </w:r>
    </w:p>
    <w:p>
      <w:pPr>
        <w:numPr>
          <w:ilvl w:val="0"/>
          <w:numId w:val="74"/>
        </w:numPr>
        <w:spacing w:after="80" w:line="300" w:lineRule="auto"/>
      </w:pPr>
      <w:r>
        <w:rPr>
          <w:rFonts w:ascii="Calibri" w:hAnsi="Calibri"/>
          <w:color w:val="222222"/>
        </w:rPr>
        <w:t>Report sensitivity to preprocessing and missingness choices.</w:t>
      </w:r>
    </w:p>
    <w:p>
      <w:pPr>
        <w:numPr>
          <w:ilvl w:val="0"/>
          <w:numId w:val="74"/>
        </w:numPr>
        <w:spacing w:after="80" w:line="300" w:lineRule="auto"/>
      </w:pPr>
      <w:r>
        <w:rPr>
          <w:rFonts w:ascii="Calibri" w:hAnsi="Calibri"/>
          <w:color w:val="222222"/>
        </w:rPr>
        <w:t>Phrase class summaries as coverage of reported eligible names, not class concentration.</w:t>
      </w:r>
    </w:p>
    <w:p>
      <w:pPr>
        <w:pStyle w:val="Heading2"/>
      </w:pPr>
      <w:r>
        <w:rPr>
          <w:rFonts w:ascii="Calibri" w:hAnsi="Calibri"/>
          <w:color w:val="222222"/>
        </w:rPr>
        <w:t>13. Knowledge check</w:t>
      </w:r>
    </w:p>
    <w:p>
      <w:pPr>
        <w:keepNext/>
        <w:keepLines/>
      </w:pPr>
      <w:r>
        <w:rPr>
          <w:rFonts w:ascii="Calibri" w:hAnsi="Calibri"/>
          <w:b/>
          <w:color w:val="222222"/>
        </w:rPr>
        <w:t>KC4-01.</w:t>
      </w:r>
      <w:r>
        <w:rPr>
          <w:rFonts w:ascii="Calibri" w:hAnsi="Calibri"/>
          <w:color w:val="222222"/>
        </w:rPr>
        <w:t xml:space="preserve"> Why should the </w:t>
      </w:r>
      <w:r>
        <w:rPr>
          <w:rFonts w:ascii="Consolas" w:hAnsi="Consolas"/>
          <w:color w:val="1F4D78"/>
          <w:sz w:val="21"/>
          <w:shd w:fill="EEF1F4"/>
        </w:rPr>
        <w:t>QPP...</w:t>
      </w:r>
      <w:r>
        <w:rPr>
          <w:rFonts w:ascii="Calibri" w:hAnsi="Calibri"/>
          <w:color w:val="222222"/>
        </w:rPr>
        <w:t xml:space="preserve"> rows in </w:t>
      </w:r>
      <w:r>
        <w:rPr>
          <w:rFonts w:ascii="Consolas" w:hAnsi="Consolas"/>
          <w:color w:val="1F4D78"/>
          <w:sz w:val="21"/>
          <w:shd w:fill="EEF1F4"/>
        </w:rPr>
        <w:t>ST001521</w:t>
      </w:r>
      <w:r>
        <w:rPr>
          <w:rFonts w:ascii="Calibri" w:hAnsi="Calibri"/>
          <w:color w:val="222222"/>
        </w:rPr>
        <w:t xml:space="preserve"> not be included in biological PCA?</w:t>
      </w:r>
    </w:p>
    <w:p>
      <w:pPr>
        <w:keepNext/>
        <w:keepLines/>
      </w:pPr>
      <w:r>
        <w:rPr>
          <w:rFonts w:ascii="Calibri" w:hAnsi="Calibri"/>
          <w:color w:val="222222"/>
        </w:rPr>
        <w:t>A. They are pooled quality-control samples rather than participant-timepoint observations.</w:t>
      </w:r>
    </w:p>
    <w:p>
      <w:pPr>
        <w:keepNext/>
        <w:keepLines/>
      </w:pPr>
      <w:r>
        <w:rPr>
          <w:rFonts w:ascii="Calibri" w:hAnsi="Calibri"/>
          <w:color w:val="222222"/>
        </w:rPr>
        <w:t>B. PCA cannot use plasma.</w:t>
      </w:r>
    </w:p>
    <w:p>
      <w:pPr>
        <w:keepNext/>
        <w:keepLines/>
      </w:pPr>
      <w:r>
        <w:rPr>
          <w:rFonts w:ascii="Calibri" w:hAnsi="Calibri"/>
          <w:color w:val="222222"/>
        </w:rPr>
        <w:t>C. Their identifiers contain letters.</w:t>
      </w:r>
    </w:p>
    <w:p>
      <w:pPr>
        <w:keepNext w:val="0"/>
        <w:keepLines/>
      </w:pPr>
      <w:r>
        <w:rPr>
          <w:rFonts w:ascii="Calibri" w:hAnsi="Calibri"/>
          <w:color w:val="222222"/>
        </w:rPr>
        <w:t>D. Quality-control samples must always be deleted from the repository.</w:t>
      </w:r>
    </w:p>
    <w:p>
      <w:pPr>
        <w:keepNext/>
        <w:keepLines/>
      </w:pPr>
      <w:r>
        <w:rPr>
          <w:rFonts w:ascii="Calibri" w:hAnsi="Calibri"/>
          <w:b/>
          <w:color w:val="222222"/>
        </w:rPr>
        <w:t>KC4-02.</w:t>
      </w:r>
      <w:r>
        <w:rPr>
          <w:rFonts w:ascii="Calibri" w:hAnsi="Calibri"/>
          <w:color w:val="222222"/>
        </w:rPr>
        <w:t xml:space="preserve"> What does the intermediate overlap of 153 represent?</w:t>
      </w:r>
    </w:p>
    <w:p>
      <w:pPr>
        <w:keepNext/>
        <w:keepLines/>
      </w:pPr>
      <w:r>
        <w:rPr>
          <w:rFonts w:ascii="Calibri" w:hAnsi="Calibri"/>
          <w:color w:val="222222"/>
        </w:rPr>
        <w:t>A. 153 metabolites proven to respond to both diet and exercise.</w:t>
      </w:r>
    </w:p>
    <w:p>
      <w:pPr>
        <w:keepNext/>
        <w:keepLines/>
      </w:pPr>
      <w:r>
        <w:rPr>
          <w:rFonts w:ascii="Calibri" w:hAnsi="Calibri"/>
          <w:color w:val="222222"/>
        </w:rPr>
        <w:t>B. 153 shared nonblank exact RefMet strings before artifact and eligibility exclusions under a specific build.</w:t>
      </w:r>
    </w:p>
    <w:p>
      <w:pPr>
        <w:keepNext/>
        <w:keepLines/>
      </w:pPr>
      <w:r>
        <w:rPr>
          <w:rFonts w:ascii="Calibri" w:hAnsi="Calibri"/>
          <w:color w:val="222222"/>
        </w:rPr>
        <w:t>C. 153 directly comparable concentrations.</w:t>
      </w:r>
    </w:p>
    <w:p>
      <w:pPr>
        <w:keepNext w:val="0"/>
        <w:keepLines/>
      </w:pPr>
      <w:r>
        <w:rPr>
          <w:rFonts w:ascii="Calibri" w:hAnsi="Calibri"/>
          <w:color w:val="222222"/>
        </w:rPr>
        <w:t>D. A permanent repository constant.</w:t>
      </w:r>
    </w:p>
    <w:p>
      <w:pPr>
        <w:keepNext/>
        <w:keepLines/>
      </w:pPr>
      <w:r>
        <w:rPr>
          <w:rFonts w:ascii="Calibri" w:hAnsi="Calibri"/>
          <w:b/>
          <w:color w:val="222222"/>
        </w:rPr>
        <w:t>KC4-03.</w:t>
      </w:r>
      <w:r>
        <w:rPr>
          <w:rFonts w:ascii="Calibri" w:hAnsi="Calibri"/>
          <w:color w:val="222222"/>
        </w:rPr>
        <w:t xml:space="preserve"> Which PCA interpretation is defensible?</w:t>
      </w:r>
    </w:p>
    <w:p>
      <w:pPr>
        <w:keepNext/>
        <w:keepLines/>
      </w:pPr>
      <w:r>
        <w:rPr>
          <w:rFonts w:ascii="Calibri" w:hAnsi="Calibri"/>
          <w:color w:val="222222"/>
        </w:rPr>
        <w:t>A. A separate within-study PCA is an exploratory view whose pattern must be interpreted with preprocessing, repeated measures, and design context.</w:t>
      </w:r>
    </w:p>
    <w:p>
      <w:pPr>
        <w:keepNext/>
        <w:keepLines/>
      </w:pPr>
      <w:r>
        <w:rPr>
          <w:rFonts w:ascii="Calibri" w:hAnsi="Calibri"/>
          <w:color w:val="222222"/>
        </w:rPr>
        <w:t>B. Separation between the two studies proves a diet-versus-exercise mechanism.</w:t>
      </w:r>
    </w:p>
    <w:p>
      <w:pPr>
        <w:keepNext/>
        <w:keepLines/>
      </w:pPr>
      <w:r>
        <w:rPr>
          <w:rFonts w:ascii="Calibri" w:hAnsi="Calibri"/>
          <w:color w:val="222222"/>
        </w:rPr>
        <w:t>C. Scaling removes plasma-versus-serum differences.</w:t>
      </w:r>
    </w:p>
    <w:p>
      <w:pPr>
        <w:keepNext w:val="0"/>
        <w:keepLines/>
      </w:pPr>
      <w:r>
        <w:rPr>
          <w:rFonts w:ascii="Calibri" w:hAnsi="Calibri"/>
          <w:color w:val="222222"/>
        </w:rPr>
        <w:t>D. PCA automatically corrects batch effects.</w:t>
      </w:r>
    </w:p>
    <w:p>
      <w:pPr>
        <w:pStyle w:val="Heading2"/>
      </w:pPr>
      <w:r>
        <w:rPr>
          <w:rFonts w:ascii="Calibri" w:hAnsi="Calibri"/>
          <w:color w:val="222222"/>
        </w:rPr>
        <w:t>What the analysis can support</w:t>
      </w:r>
    </w:p>
    <w:p>
      <w:r>
        <w:rPr>
          <w:rFonts w:ascii="Calibri" w:hAnsi="Calibri"/>
          <w:color w:val="222222"/>
        </w:rPr>
        <w:t>Validate each step before interpreting the result. A count can be reproducible and still support only a narrow claim, so use the study metadata to state that claim clearly.</w:t>
      </w:r>
    </w:p>
    <w:p>
      <w:pPr>
        <w:pStyle w:val="Heading2"/>
      </w:pPr>
      <w:r>
        <w:rPr>
          <w:rFonts w:ascii="Calibri" w:hAnsi="Calibri"/>
          <w:color w:val="222222"/>
        </w:rPr>
        <w:t>Primary sources and first-party documentation</w:t>
      </w:r>
    </w:p>
    <w:p>
      <w:pPr>
        <w:numPr>
          <w:ilvl w:val="0"/>
          <w:numId w:val="75"/>
        </w:numPr>
        <w:spacing w:after="40" w:line="264" w:lineRule="auto"/>
      </w:pPr>
      <w:r>
        <w:rPr>
          <w:rFonts w:ascii="Calibri" w:hAnsi="Calibri"/>
          <w:color w:val="222222"/>
        </w:rPr>
        <w:t xml:space="preserve">Metabolomics Workbench. </w:t>
      </w:r>
      <w:hyperlink r:id="rId32">
        <w:r>
          <w:rPr>
            <w:rFonts w:ascii="Calibri" w:hAnsi="Calibri"/>
            <w:color w:val="2E74B5"/>
            <w:u w:val="single"/>
            <w:sz w:val="22"/>
          </w:rPr>
          <w:t>ST001521 study record</w:t>
        </w:r>
      </w:hyperlink>
      <w:r>
        <w:rPr>
          <w:rFonts w:ascii="Calibri" w:hAnsi="Calibri"/>
          <w:color w:val="222222"/>
        </w:rPr>
        <w:t xml:space="preserve"> and </w:t>
      </w:r>
      <w:hyperlink r:id="rId13">
        <w:r>
          <w:rPr>
            <w:rFonts w:ascii="Calibri" w:hAnsi="Calibri"/>
            <w:color w:val="2E74B5"/>
            <w:u w:val="single"/>
            <w:sz w:val="22"/>
          </w:rPr>
          <w:t>REST summary</w:t>
        </w:r>
      </w:hyperlink>
      <w:r>
        <w:rPr>
          <w:rFonts w:ascii="Calibri" w:hAnsi="Calibri"/>
          <w:color w:val="222222"/>
        </w:rPr>
        <w:t>. Accessed August 10, 2026.</w:t>
      </w:r>
    </w:p>
    <w:p>
      <w:pPr>
        <w:numPr>
          <w:ilvl w:val="0"/>
          <w:numId w:val="75"/>
        </w:numPr>
        <w:spacing w:after="40" w:line="264" w:lineRule="auto"/>
      </w:pPr>
      <w:r>
        <w:rPr>
          <w:rFonts w:ascii="Calibri" w:hAnsi="Calibri"/>
          <w:color w:val="222222"/>
        </w:rPr>
        <w:t xml:space="preserve">Metabolomics Workbench. </w:t>
      </w:r>
      <w:hyperlink r:id="rId33">
        <w:r>
          <w:rPr>
            <w:rFonts w:ascii="Calibri" w:hAnsi="Calibri"/>
            <w:color w:val="2E74B5"/>
            <w:u w:val="single"/>
            <w:sz w:val="22"/>
          </w:rPr>
          <w:t>ST003348 study record</w:t>
        </w:r>
      </w:hyperlink>
      <w:r>
        <w:rPr>
          <w:rFonts w:ascii="Calibri" w:hAnsi="Calibri"/>
          <w:color w:val="222222"/>
        </w:rPr>
        <w:t xml:space="preserve"> and </w:t>
      </w:r>
      <w:hyperlink r:id="rId15">
        <w:r>
          <w:rPr>
            <w:rFonts w:ascii="Calibri" w:hAnsi="Calibri"/>
            <w:color w:val="2E74B5"/>
            <w:u w:val="single"/>
            <w:sz w:val="22"/>
          </w:rPr>
          <w:t>REST summary</w:t>
        </w:r>
      </w:hyperlink>
      <w:r>
        <w:rPr>
          <w:rFonts w:ascii="Calibri" w:hAnsi="Calibri"/>
          <w:color w:val="222222"/>
        </w:rPr>
        <w:t>. Accessed August 10, 2026.</w:t>
      </w:r>
    </w:p>
    <w:p>
      <w:pPr>
        <w:numPr>
          <w:ilvl w:val="0"/>
          <w:numId w:val="75"/>
        </w:numPr>
        <w:spacing w:after="40" w:line="264" w:lineRule="auto"/>
      </w:pPr>
      <w:r>
        <w:rPr>
          <w:rFonts w:ascii="Calibri" w:hAnsi="Calibri"/>
          <w:color w:val="222222"/>
        </w:rPr>
        <w:t xml:space="preserve">Metabolomics Workbench. </w:t>
      </w:r>
      <w:hyperlink r:id="rId16">
        <w:r>
          <w:rPr>
            <w:rFonts w:ascii="Calibri" w:hAnsi="Calibri"/>
            <w:color w:val="2E74B5"/>
            <w:u w:val="single"/>
            <w:sz w:val="22"/>
          </w:rPr>
          <w:t>REST Service, version 1.2</w:t>
        </w:r>
      </w:hyperlink>
      <w:r>
        <w:rPr>
          <w:rFonts w:ascii="Calibri" w:hAnsi="Calibri"/>
          <w:color w:val="222222"/>
        </w:rPr>
        <w:t>. Updated July 22, 2025; accessed August 10, 2026.</w:t>
      </w:r>
    </w:p>
    <w:p>
      <w:pPr>
        <w:numPr>
          <w:ilvl w:val="0"/>
          <w:numId w:val="75"/>
        </w:numPr>
        <w:spacing w:after="40" w:line="264" w:lineRule="auto"/>
      </w:pPr>
      <w:r>
        <w:rPr>
          <w:rFonts w:ascii="Calibri" w:hAnsi="Calibri"/>
          <w:color w:val="222222"/>
        </w:rPr>
        <w:t xml:space="preserve">Metabolomics Workbench. </w:t>
      </w:r>
      <w:hyperlink r:id="rId28">
        <w:r>
          <w:rPr>
            <w:rFonts w:ascii="Calibri" w:hAnsi="Calibri"/>
            <w:color w:val="2E74B5"/>
            <w:u w:val="single"/>
            <w:sz w:val="22"/>
          </w:rPr>
          <w:t>RefMet database</w:t>
        </w:r>
      </w:hyperlink>
      <w:r>
        <w:rPr>
          <w:rFonts w:ascii="Calibri" w:hAnsi="Calibri"/>
          <w:color w:val="222222"/>
        </w:rPr>
        <w:t>. Accessed August 10, 2026.</w:t>
      </w:r>
    </w:p>
    <w:p>
      <w:pPr>
        <w:numPr>
          <w:ilvl w:val="0"/>
          <w:numId w:val="75"/>
        </w:numPr>
        <w:spacing w:after="40" w:line="264" w:lineRule="auto"/>
      </w:pPr>
      <w:r>
        <w:rPr>
          <w:rFonts w:ascii="Calibri" w:hAnsi="Calibri"/>
          <w:color w:val="222222"/>
        </w:rPr>
        <w:t xml:space="preserve">Jolliffe IT, Cadima J. </w:t>
      </w:r>
      <w:hyperlink r:id="rId34">
        <w:r>
          <w:rPr>
            <w:rFonts w:ascii="Calibri" w:hAnsi="Calibri"/>
            <w:color w:val="2E74B5"/>
            <w:u w:val="single"/>
            <w:sz w:val="22"/>
          </w:rPr>
          <w:t>Principal component analysis: a review and recent developments</w:t>
        </w:r>
      </w:hyperlink>
      <w:r>
        <w:rPr>
          <w:rFonts w:ascii="Calibri" w:hAnsi="Calibri"/>
          <w:color w:val="222222"/>
        </w:rPr>
        <w:t xml:space="preserve">. </w:t>
      </w:r>
      <w:r>
        <w:rPr>
          <w:rFonts w:ascii="Calibri" w:hAnsi="Calibri"/>
          <w:i/>
          <w:color w:val="222222"/>
        </w:rPr>
        <w:t>Philosophical Transactions of the Royal Society A</w:t>
      </w:r>
      <w:r>
        <w:rPr>
          <w:rFonts w:ascii="Calibri" w:hAnsi="Calibri"/>
          <w:color w:val="222222"/>
        </w:rPr>
        <w:t>. 2016;374:20150202.</w:t>
      </w:r>
    </w:p>
    <w:p>
      <w:pPr>
        <w:numPr>
          <w:ilvl w:val="0"/>
          <w:numId w:val="75"/>
        </w:numPr>
        <w:spacing w:after="40" w:line="264" w:lineRule="auto"/>
      </w:pPr>
      <w:r>
        <w:rPr>
          <w:rFonts w:ascii="Calibri" w:hAnsi="Calibri"/>
          <w:color w:val="222222"/>
        </w:rPr>
        <w:t xml:space="preserve">Metabolomics Workbench. </w:t>
      </w:r>
      <w:hyperlink r:id="rId35">
        <w:r>
          <w:rPr>
            <w:rFonts w:ascii="Calibri" w:hAnsi="Calibri"/>
            <w:color w:val="2E74B5"/>
            <w:u w:val="single"/>
            <w:sz w:val="22"/>
          </w:rPr>
          <w:t>MetENP demonstration and documentation</w:t>
        </w:r>
      </w:hyperlink>
      <w:r>
        <w:rPr>
          <w:rFonts w:ascii="Calibri" w:hAnsi="Calibri"/>
          <w:color w:val="222222"/>
        </w:rPr>
        <w:t>. Accessed August 10, 2026.</w:t>
      </w:r>
    </w:p>
    <w:p>
      <w:pPr>
        <w:pStyle w:val="Heading1"/>
        <w:pageBreakBefore/>
      </w:pPr>
      <w:r>
        <w:rPr>
          <w:rFonts w:ascii="Calibri" w:hAnsi="Calibri"/>
          <w:color w:val="222222"/>
        </w:rPr>
        <w:t>Lesson 5 - Access patterns and transfer to additional resources</w:t>
      </w:r>
    </w:p>
    <w:p>
      <w:r>
        <w:rPr>
          <w:rFonts w:ascii="Calibri" w:hAnsi="Calibri"/>
          <w:b/>
          <w:color w:val="222222"/>
        </w:rPr>
        <w:t>Estimated time:</w:t>
      </w:r>
      <w:r>
        <w:rPr>
          <w:rFonts w:ascii="Calibri" w:hAnsi="Calibri"/>
          <w:color w:val="222222"/>
        </w:rPr>
        <w:t xml:space="preserve"> 15 minutes</w:t>
      </w:r>
    </w:p>
    <w:p>
      <w:r>
        <w:rPr>
          <w:rFonts w:ascii="Calibri" w:hAnsi="Calibri"/>
          <w:b/>
          <w:color w:val="222222"/>
        </w:rPr>
        <w:t>Bloom levels:</w:t>
      </w:r>
      <w:r>
        <w:rPr>
          <w:rFonts w:ascii="Calibri" w:hAnsi="Calibri"/>
          <w:color w:val="222222"/>
        </w:rPr>
        <w:t xml:space="preserve"> Evaluate, create</w:t>
      </w:r>
    </w:p>
    <w:p>
      <w:r>
        <w:rPr>
          <w:rFonts w:ascii="Calibri" w:hAnsi="Calibri"/>
          <w:b/>
          <w:color w:val="222222"/>
        </w:rPr>
        <w:t>Module objective addressed:</w:t>
      </w:r>
      <w:r>
        <w:rPr>
          <w:rFonts w:ascii="Calibri" w:hAnsi="Calibri"/>
          <w:color w:val="222222"/>
        </w:rPr>
        <w:t xml:space="preserve"> LO5</w:t>
      </w:r>
    </w:p>
    <w:p>
      <w:pPr>
        <w:pStyle w:val="Heading2"/>
      </w:pPr>
      <w:r>
        <w:rPr>
          <w:rFonts w:ascii="Calibri" w:hAnsi="Calibri"/>
          <w:color w:val="222222"/>
        </w:rPr>
        <w:t>Learning objectives</w:t>
      </w:r>
    </w:p>
    <w:p>
      <w:r>
        <w:rPr>
          <w:rFonts w:ascii="Calibri" w:hAnsi="Calibri"/>
          <w:color w:val="222222"/>
        </w:rPr>
        <w:t>By the end of this lesson, you will be able to:</w:t>
      </w:r>
    </w:p>
    <w:p>
      <w:pPr>
        <w:numPr>
          <w:ilvl w:val="0"/>
          <w:numId w:val="76"/>
        </w:numPr>
        <w:spacing w:after="80" w:line="300" w:lineRule="auto"/>
      </w:pPr>
      <w:r>
        <w:rPr>
          <w:rFonts w:ascii="Calibri" w:hAnsi="Calibri"/>
          <w:color w:val="222222"/>
        </w:rPr>
        <w:t>Determine the current access pattern of a specific dataset and intended action using dated first-party evidence.</w:t>
      </w:r>
    </w:p>
    <w:p>
      <w:pPr>
        <w:numPr>
          <w:ilvl w:val="0"/>
          <w:numId w:val="76"/>
        </w:numPr>
        <w:spacing w:after="80" w:line="300" w:lineRule="auto"/>
      </w:pPr>
      <w:r>
        <w:rPr>
          <w:rFonts w:ascii="Calibri" w:hAnsi="Calibri"/>
          <w:color w:val="222222"/>
        </w:rPr>
        <w:t>Identify which parts of the Metabo-Diet workflow transfer unchanged and which must be redesigned.</w:t>
      </w:r>
    </w:p>
    <w:p>
      <w:pPr>
        <w:numPr>
          <w:ilvl w:val="0"/>
          <w:numId w:val="76"/>
        </w:numPr>
        <w:spacing w:after="80" w:line="300" w:lineRule="auto"/>
      </w:pPr>
      <w:r>
        <w:rPr>
          <w:rFonts w:ascii="Calibri" w:hAnsi="Calibri"/>
          <w:color w:val="222222"/>
        </w:rPr>
        <w:t>Draft a compliant analysis architecture for open, agreement-gated, or controlled-compute data.</w:t>
      </w:r>
    </w:p>
    <w:p>
      <w:pPr>
        <w:numPr>
          <w:ilvl w:val="0"/>
          <w:numId w:val="76"/>
        </w:numPr>
        <w:spacing w:after="80" w:line="300" w:lineRule="auto"/>
      </w:pPr>
      <w:r>
        <w:rPr>
          <w:rFonts w:ascii="Calibri" w:hAnsi="Calibri"/>
          <w:color w:val="222222"/>
        </w:rPr>
        <w:t>Produce a go, revise, wait, or stop decision with unresolved requirements stated explicitly.</w:t>
      </w:r>
    </w:p>
    <w:p>
      <w:pPr>
        <w:pStyle w:val="Heading2"/>
      </w:pPr>
      <w:r>
        <w:rPr>
          <w:rFonts w:ascii="Calibri" w:hAnsi="Calibri"/>
          <w:color w:val="222222"/>
        </w:rPr>
        <w:t>Lesson map</w:t>
      </w:r>
    </w:p>
    <w:tbl>
      <w:tblPr>
        <w:tblStyle w:val="TableGrid"/>
        <w:tblW w:type="dxa" w:w="9360"/>
        <w:jc w:val="left"/>
        <w:tblLayout w:type="fixed"/>
        <w:tblLook w:firstColumn="1" w:firstRow="1" w:lastColumn="0" w:lastRow="0" w:noHBand="0" w:noVBand="1" w:val="04A0"/>
        <w:tblInd w:w="120" w:type="dxa"/>
      </w:tblPr>
      <w:tblGrid>
        <w:gridCol w:w="6799"/>
        <w:gridCol w:w="2561"/>
      </w:tblGrid>
      <w:tr>
        <w:trPr>
          <w:cantSplit w:val="true"/>
          <w:tblHeader w:val="true"/>
        </w:trPr>
        <w:tc>
          <w:tcPr>
            <w:tcW w:type="dxa" w:w="6799"/>
            <w:tcMar>
              <w:top w:w="80" w:type="dxa"/>
              <w:bottom w:w="80" w:type="dxa"/>
              <w:start w:w="120" w:type="dxa"/>
              <w:end w:w="120" w:type="dxa"/>
            </w:tcMar>
            <w:vAlign w:val="center"/>
            <w:shd w:fill="E8EEF5"/>
          </w:tcPr>
          <w:p>
            <w:pPr>
              <w:spacing w:before="0" w:after="0" w:line="269" w:lineRule="auto"/>
              <w:jc w:val="left"/>
            </w:pPr>
            <w:r>
              <w:rPr>
                <w:b/>
                <w:color w:val="203748"/>
              </w:rPr>
            </w:r>
            <w:r>
              <w:rPr>
                <w:rFonts w:ascii="Calibri" w:hAnsi="Calibri"/>
                <w:b/>
                <w:color w:val="203748"/>
                <w:sz w:val="18"/>
              </w:rPr>
              <w:t>Activity</w:t>
            </w:r>
          </w:p>
        </w:tc>
        <w:tc>
          <w:tcPr>
            <w:tcW w:type="dxa" w:w="2561"/>
            <w:tcMar>
              <w:top w:w="80" w:type="dxa"/>
              <w:bottom w:w="80" w:type="dxa"/>
              <w:start w:w="120" w:type="dxa"/>
              <w:end w:w="120" w:type="dxa"/>
            </w:tcMar>
            <w:vAlign w:val="center"/>
            <w:shd w:fill="E8EEF5"/>
          </w:tcPr>
          <w:p>
            <w:pPr>
              <w:spacing w:before="0" w:after="0" w:line="269" w:lineRule="auto"/>
              <w:jc w:val="center"/>
            </w:pPr>
            <w:r>
              <w:rPr>
                <w:b/>
                <w:color w:val="203748"/>
              </w:rPr>
            </w:r>
            <w:r>
              <w:rPr>
                <w:rFonts w:ascii="Calibri" w:hAnsi="Calibri"/>
                <w:b/>
                <w:color w:val="203748"/>
                <w:sz w:val="18"/>
              </w:rPr>
              <w:t>Minutes</w:t>
            </w:r>
          </w:p>
        </w:tc>
      </w:tr>
      <w:tr>
        <w:trPr>
          <w:cantSplit w:val="true"/>
        </w:trPr>
        <w:tc>
          <w:tcPr>
            <w:tcW w:type="dxa" w:w="6799"/>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Revisit access as a dataset property</w:t>
            </w:r>
          </w:p>
        </w:tc>
        <w:tc>
          <w:tcPr>
            <w:tcW w:type="dxa" w:w="2561"/>
            <w:tcMar>
              <w:top w:w="80" w:type="dxa"/>
              <w:bottom w:w="80" w:type="dxa"/>
              <w:start w:w="120" w:type="dxa"/>
              <w:end w:w="120" w:type="dxa"/>
            </w:tcMar>
            <w:vAlign w:val="center"/>
          </w:tcPr>
          <w:p>
            <w:pPr>
              <w:spacing w:before="0" w:after="0" w:line="269" w:lineRule="auto"/>
              <w:jc w:val="center"/>
            </w:pPr>
            <w:r/>
            <w:r>
              <w:rPr>
                <w:rFonts w:ascii="Calibri" w:hAnsi="Calibri"/>
                <w:color w:val="222222"/>
                <w:sz w:val="18"/>
              </w:rPr>
              <w:t>3</w:t>
            </w:r>
          </w:p>
        </w:tc>
      </w:tr>
      <w:tr>
        <w:trPr>
          <w:cantSplit w:val="true"/>
        </w:trPr>
        <w:tc>
          <w:tcPr>
            <w:tcW w:type="dxa" w:w="6799"/>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Worked transfer cases</w:t>
            </w:r>
          </w:p>
        </w:tc>
        <w:tc>
          <w:tcPr>
            <w:tcW w:type="dxa" w:w="2561"/>
            <w:tcMar>
              <w:top w:w="80" w:type="dxa"/>
              <w:bottom w:w="80" w:type="dxa"/>
              <w:start w:w="120" w:type="dxa"/>
              <w:end w:w="120" w:type="dxa"/>
            </w:tcMar>
            <w:vAlign w:val="center"/>
          </w:tcPr>
          <w:p>
            <w:pPr>
              <w:spacing w:before="0" w:after="0" w:line="269" w:lineRule="auto"/>
              <w:jc w:val="center"/>
            </w:pPr>
            <w:r/>
            <w:r>
              <w:rPr>
                <w:rFonts w:ascii="Calibri" w:hAnsi="Calibri"/>
                <w:color w:val="222222"/>
                <w:sz w:val="18"/>
              </w:rPr>
              <w:t>4</w:t>
            </w:r>
          </w:p>
        </w:tc>
      </w:tr>
      <w:tr>
        <w:trPr>
          <w:cantSplit w:val="true"/>
        </w:trPr>
        <w:tc>
          <w:tcPr>
            <w:tcW w:type="dxa" w:w="6799"/>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Transfer checklist</w:t>
            </w:r>
          </w:p>
        </w:tc>
        <w:tc>
          <w:tcPr>
            <w:tcW w:type="dxa" w:w="2561"/>
            <w:tcMar>
              <w:top w:w="80" w:type="dxa"/>
              <w:bottom w:w="80" w:type="dxa"/>
              <w:start w:w="120" w:type="dxa"/>
              <w:end w:w="120" w:type="dxa"/>
            </w:tcMar>
            <w:vAlign w:val="center"/>
          </w:tcPr>
          <w:p>
            <w:pPr>
              <w:spacing w:before="0" w:after="0" w:line="269" w:lineRule="auto"/>
              <w:jc w:val="center"/>
            </w:pPr>
            <w:r/>
            <w:r>
              <w:rPr>
                <w:rFonts w:ascii="Calibri" w:hAnsi="Calibri"/>
                <w:color w:val="222222"/>
                <w:sz w:val="18"/>
              </w:rPr>
              <w:t>5</w:t>
            </w:r>
          </w:p>
        </w:tc>
      </w:tr>
      <w:tr>
        <w:trPr>
          <w:cantSplit w:val="true"/>
        </w:trPr>
        <w:tc>
          <w:tcPr>
            <w:tcW w:type="dxa" w:w="6799"/>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Knowledge check</w:t>
            </w:r>
          </w:p>
        </w:tc>
        <w:tc>
          <w:tcPr>
            <w:tcW w:type="dxa" w:w="2561"/>
            <w:tcMar>
              <w:top w:w="80" w:type="dxa"/>
              <w:bottom w:w="80" w:type="dxa"/>
              <w:start w:w="120" w:type="dxa"/>
              <w:end w:w="120" w:type="dxa"/>
            </w:tcMar>
            <w:vAlign w:val="center"/>
          </w:tcPr>
          <w:p>
            <w:pPr>
              <w:spacing w:before="0" w:after="0" w:line="269" w:lineRule="auto"/>
              <w:jc w:val="center"/>
            </w:pPr>
            <w:r/>
            <w:r>
              <w:rPr>
                <w:rFonts w:ascii="Calibri" w:hAnsi="Calibri"/>
                <w:color w:val="222222"/>
                <w:sz w:val="18"/>
              </w:rPr>
              <w:t>3</w:t>
            </w:r>
          </w:p>
        </w:tc>
      </w:tr>
      <w:tr>
        <w:trPr>
          <w:cantSplit w:val="true"/>
        </w:trPr>
        <w:tc>
          <w:tcPr>
            <w:tcW w:type="dxa" w:w="6799"/>
            <w:tcMar>
              <w:top w:w="80" w:type="dxa"/>
              <w:bottom w:w="80" w:type="dxa"/>
              <w:start w:w="120" w:type="dxa"/>
              <w:end w:w="120" w:type="dxa"/>
            </w:tcMar>
            <w:vAlign w:val="center"/>
          </w:tcPr>
          <w:p>
            <w:pPr>
              <w:spacing w:before="0" w:after="0" w:line="269" w:lineRule="auto"/>
              <w:jc w:val="left"/>
            </w:pPr>
            <w:r/>
            <w:r>
              <w:rPr>
                <w:rFonts w:ascii="Calibri" w:hAnsi="Calibri"/>
                <w:b/>
                <w:color w:val="222222"/>
                <w:sz w:val="18"/>
              </w:rPr>
              <w:t>Instructional subtotal, excluding posttest</w:t>
            </w:r>
          </w:p>
        </w:tc>
        <w:tc>
          <w:tcPr>
            <w:tcW w:type="dxa" w:w="2561"/>
            <w:tcMar>
              <w:top w:w="80" w:type="dxa"/>
              <w:bottom w:w="80" w:type="dxa"/>
              <w:start w:w="120" w:type="dxa"/>
              <w:end w:w="120" w:type="dxa"/>
            </w:tcMar>
            <w:vAlign w:val="center"/>
          </w:tcPr>
          <w:p>
            <w:pPr>
              <w:spacing w:before="0" w:after="0" w:line="269" w:lineRule="auto"/>
              <w:jc w:val="center"/>
            </w:pPr>
            <w:r/>
            <w:r>
              <w:rPr>
                <w:rFonts w:ascii="Calibri" w:hAnsi="Calibri"/>
                <w:b/>
                <w:color w:val="222222"/>
                <w:sz w:val="18"/>
              </w:rPr>
              <w:t>15</w:t>
            </w:r>
          </w:p>
        </w:tc>
      </w:tr>
      <w:tr>
        <w:trPr>
          <w:cantSplit w:val="true"/>
        </w:trPr>
        <w:tc>
          <w:tcPr>
            <w:tcW w:type="dxa" w:w="6799"/>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Posttest, additional assessment time</w:t>
            </w:r>
          </w:p>
        </w:tc>
        <w:tc>
          <w:tcPr>
            <w:tcW w:type="dxa" w:w="2561"/>
            <w:tcMar>
              <w:top w:w="80" w:type="dxa"/>
              <w:bottom w:w="80" w:type="dxa"/>
              <w:start w:w="120" w:type="dxa"/>
              <w:end w:w="120" w:type="dxa"/>
            </w:tcMar>
            <w:vAlign w:val="center"/>
          </w:tcPr>
          <w:p>
            <w:pPr>
              <w:spacing w:before="0" w:after="0" w:line="269" w:lineRule="auto"/>
              <w:jc w:val="center"/>
            </w:pPr>
            <w:r/>
            <w:r>
              <w:rPr>
                <w:rFonts w:ascii="Calibri" w:hAnsi="Calibri"/>
                <w:color w:val="222222"/>
                <w:sz w:val="18"/>
              </w:rPr>
              <w:t>8</w:t>
            </w:r>
          </w:p>
        </w:tc>
      </w:tr>
      <w:tr>
        <w:trPr>
          <w:cantSplit w:val="true"/>
        </w:trPr>
        <w:tc>
          <w:tcPr>
            <w:tcW w:type="dxa" w:w="6799"/>
            <w:tcMar>
              <w:top w:w="80" w:type="dxa"/>
              <w:bottom w:w="80" w:type="dxa"/>
              <w:start w:w="120" w:type="dxa"/>
              <w:end w:w="120" w:type="dxa"/>
            </w:tcMar>
            <w:vAlign w:val="center"/>
          </w:tcPr>
          <w:p>
            <w:pPr>
              <w:spacing w:before="0" w:after="0" w:line="269" w:lineRule="auto"/>
              <w:jc w:val="left"/>
            </w:pPr>
            <w:r/>
            <w:r>
              <w:rPr>
                <w:rFonts w:ascii="Calibri" w:hAnsi="Calibri"/>
                <w:b/>
                <w:color w:val="222222"/>
                <w:sz w:val="18"/>
              </w:rPr>
              <w:t>Learner time with posttest</w:t>
            </w:r>
          </w:p>
        </w:tc>
        <w:tc>
          <w:tcPr>
            <w:tcW w:type="dxa" w:w="2561"/>
            <w:tcMar>
              <w:top w:w="80" w:type="dxa"/>
              <w:bottom w:w="80" w:type="dxa"/>
              <w:start w:w="120" w:type="dxa"/>
              <w:end w:w="120" w:type="dxa"/>
            </w:tcMar>
            <w:vAlign w:val="center"/>
          </w:tcPr>
          <w:p>
            <w:pPr>
              <w:spacing w:before="0" w:after="0" w:line="269" w:lineRule="auto"/>
              <w:jc w:val="center"/>
            </w:pPr>
            <w:r/>
            <w:r>
              <w:rPr>
                <w:rFonts w:ascii="Calibri" w:hAnsi="Calibri"/>
                <w:b/>
                <w:color w:val="222222"/>
                <w:sz w:val="18"/>
              </w:rPr>
              <w:t>23</w:t>
            </w:r>
          </w:p>
        </w:tc>
      </w:tr>
    </w:tbl>
    <w:p>
      <w:pPr>
        <w:spacing w:before="0" w:after="40"/>
      </w:pPr>
    </w:p>
    <w:p>
      <w:pPr>
        <w:spacing w:before="100" w:after="120"/>
        <w:ind w:left="259" w:right="115"/>
        <w:shd w:fill="F4F6F9"/>
        <w:pBdr>
          <w:left w:val="single" w:sz="16" w:space="8" w:color="2E74B5"/>
        </w:pBdr>
      </w:pPr>
      <w:r>
        <w:rPr>
          <w:rFonts w:ascii="Calibri" w:hAnsi="Calibri"/>
          <w:b/>
          <w:color w:val="1F4D78"/>
        </w:rPr>
        <w:t>In the notebook (NB-L5):</w:t>
      </w:r>
      <w:r>
        <w:rPr>
          <w:rFonts w:ascii="Calibri" w:hAnsi="Calibri"/>
          <w:color w:val="1F4D78"/>
        </w:rPr>
        <w:t xml:space="preserve"> Review the source log and edit the transfer-decision cell with dated evidence for one exact target. Choose </w:t>
      </w:r>
      <w:r>
        <w:rPr>
          <w:rFonts w:ascii="Consolas" w:hAnsi="Consolas"/>
          <w:color w:val="1F4D78"/>
          <w:sz w:val="21"/>
          <w:shd w:fill="EEF1F4"/>
        </w:rPr>
        <w:t>GO</w:t>
      </w:r>
      <w:r>
        <w:rPr>
          <w:rFonts w:ascii="Calibri" w:hAnsi="Calibri"/>
          <w:color w:val="1F4D78"/>
        </w:rPr>
        <w:t xml:space="preserve">, </w:t>
      </w:r>
      <w:r>
        <w:rPr>
          <w:rFonts w:ascii="Consolas" w:hAnsi="Consolas"/>
          <w:color w:val="1F4D78"/>
          <w:sz w:val="21"/>
          <w:shd w:fill="EEF1F4"/>
        </w:rPr>
        <w:t>REVISE</w:t>
      </w:r>
      <w:r>
        <w:rPr>
          <w:rFonts w:ascii="Calibri" w:hAnsi="Calibri"/>
          <w:color w:val="1F4D78"/>
        </w:rPr>
        <w:t xml:space="preserve">, </w:t>
      </w:r>
      <w:r>
        <w:rPr>
          <w:rFonts w:ascii="Consolas" w:hAnsi="Consolas"/>
          <w:color w:val="1F4D78"/>
          <w:sz w:val="21"/>
          <w:shd w:fill="EEF1F4"/>
        </w:rPr>
        <w:t>WAIT</w:t>
      </w:r>
      <w:r>
        <w:rPr>
          <w:rFonts w:ascii="Calibri" w:hAnsi="Calibri"/>
          <w:color w:val="1F4D78"/>
        </w:rPr>
        <w:t xml:space="preserve">, or </w:t>
      </w:r>
      <w:r>
        <w:rPr>
          <w:rFonts w:ascii="Consolas" w:hAnsi="Consolas"/>
          <w:color w:val="1F4D78"/>
          <w:sz w:val="21"/>
          <w:shd w:fill="EEF1F4"/>
        </w:rPr>
        <w:t>STOP</w:t>
      </w:r>
      <w:r>
        <w:rPr>
          <w:rFonts w:ascii="Calibri" w:hAnsi="Calibri"/>
          <w:color w:val="1F4D78"/>
        </w:rPr>
        <w:t xml:space="preserve">, then run </w:t>
      </w:r>
      <w:r>
        <w:rPr>
          <w:rFonts w:ascii="Consolas" w:hAnsi="Consolas"/>
          <w:color w:val="1F4D78"/>
          <w:sz w:val="21"/>
          <w:shd w:fill="EEF1F4"/>
        </w:rPr>
        <w:t>NB-REPRO</w:t>
      </w:r>
      <w:r>
        <w:rPr>
          <w:rFonts w:ascii="Calibri" w:hAnsi="Calibri"/>
          <w:color w:val="1F4D78"/>
        </w:rPr>
        <w:t>. Complete the posttest after the artifact manifest appears without errors.</w:t>
      </w:r>
    </w:p>
    <w:p>
      <w:pPr>
        <w:pStyle w:val="Heading2"/>
      </w:pPr>
      <w:r>
        <w:rPr>
          <w:rFonts w:ascii="Calibri" w:hAnsi="Calibri"/>
          <w:color w:val="222222"/>
        </w:rPr>
        <w:t>1. Access tier is not a logo</w:t>
      </w:r>
    </w:p>
    <w:p>
      <w:r>
        <w:rPr>
          <w:rFonts w:ascii="Calibri" w:hAnsi="Calibri"/>
          <w:color w:val="222222"/>
        </w:rPr>
        <w:t>In Lesson 1, access was introduced as a planning problem. After completing an open-data workflow, you can now see exactly where access rules affect the analysis.</w:t>
      </w:r>
    </w:p>
    <w:p>
      <w:r>
        <w:rPr>
          <w:rFonts w:ascii="Calibri" w:hAnsi="Calibri"/>
          <w:color w:val="222222"/>
        </w:rPr>
        <w:t>Access is determined by the combination of:</w:t>
      </w:r>
    </w:p>
    <w:p>
      <w:pPr>
        <w:numPr>
          <w:ilvl w:val="0"/>
          <w:numId w:val="77"/>
        </w:numPr>
        <w:spacing w:after="80" w:line="300" w:lineRule="auto"/>
      </w:pPr>
      <w:r>
        <w:rPr>
          <w:rFonts w:ascii="Calibri" w:hAnsi="Calibri"/>
          <w:color w:val="222222"/>
        </w:rPr>
        <w:t>A specific dataset and release.</w:t>
      </w:r>
    </w:p>
    <w:p>
      <w:pPr>
        <w:numPr>
          <w:ilvl w:val="0"/>
          <w:numId w:val="77"/>
        </w:numPr>
        <w:spacing w:after="80" w:line="300" w:lineRule="auto"/>
      </w:pPr>
      <w:r>
        <w:rPr>
          <w:rFonts w:ascii="Calibri" w:hAnsi="Calibri"/>
          <w:color w:val="222222"/>
        </w:rPr>
        <w:t>The requested data level.</w:t>
      </w:r>
    </w:p>
    <w:p>
      <w:pPr>
        <w:numPr>
          <w:ilvl w:val="0"/>
          <w:numId w:val="77"/>
        </w:numPr>
        <w:spacing w:after="80" w:line="300" w:lineRule="auto"/>
      </w:pPr>
      <w:r>
        <w:rPr>
          <w:rFonts w:ascii="Calibri" w:hAnsi="Calibri"/>
          <w:color w:val="222222"/>
        </w:rPr>
        <w:t>Your identity, institution, training, and approvals.</w:t>
      </w:r>
    </w:p>
    <w:p>
      <w:pPr>
        <w:numPr>
          <w:ilvl w:val="0"/>
          <w:numId w:val="77"/>
        </w:numPr>
        <w:spacing w:after="80" w:line="300" w:lineRule="auto"/>
      </w:pPr>
      <w:r>
        <w:rPr>
          <w:rFonts w:ascii="Calibri" w:hAnsi="Calibri"/>
          <w:color w:val="222222"/>
        </w:rPr>
        <w:t>The intended use.</w:t>
      </w:r>
    </w:p>
    <w:p>
      <w:pPr>
        <w:numPr>
          <w:ilvl w:val="0"/>
          <w:numId w:val="77"/>
        </w:numPr>
        <w:spacing w:after="80" w:line="300" w:lineRule="auto"/>
      </w:pPr>
      <w:r>
        <w:rPr>
          <w:rFonts w:ascii="Calibri" w:hAnsi="Calibri"/>
          <w:color w:val="222222"/>
        </w:rPr>
        <w:t>The compute location.</w:t>
      </w:r>
    </w:p>
    <w:p>
      <w:pPr>
        <w:numPr>
          <w:ilvl w:val="0"/>
          <w:numId w:val="77"/>
        </w:numPr>
        <w:spacing w:after="80" w:line="300" w:lineRule="auto"/>
      </w:pPr>
      <w:r>
        <w:rPr>
          <w:rFonts w:ascii="Calibri" w:hAnsi="Calibri"/>
          <w:color w:val="222222"/>
        </w:rPr>
        <w:t>What inputs and outputs may cross the environment boundary.</w:t>
      </w:r>
    </w:p>
    <w:p>
      <w:pPr>
        <w:numPr>
          <w:ilvl w:val="0"/>
          <w:numId w:val="77"/>
        </w:numPr>
        <w:spacing w:after="80" w:line="300" w:lineRule="auto"/>
      </w:pPr>
      <w:r>
        <w:rPr>
          <w:rFonts w:ascii="Calibri" w:hAnsi="Calibri"/>
          <w:color w:val="222222"/>
        </w:rPr>
        <w:t>Current terms and policies.</w:t>
      </w:r>
    </w:p>
    <w:p>
      <w:r>
        <w:rPr>
          <w:rFonts w:ascii="Calibri" w:hAnsi="Calibri"/>
          <w:color w:val="222222"/>
        </w:rPr>
        <w:t>Do not assign a permanent tier to an entire program. Current MoTrPAC documentation, for example, distinguishes public releases that community users can access without an account from restricted or embargoed data that require authentication, a data-use agreement, or other authorization. The access pattern is dataset-dependent. All of Us provides Registered and Controlled Tier collections in a governed Researcher Workbench and restricts external release of participant-level data and small counts under its policies.</w:t>
      </w:r>
    </w:p>
    <w:p>
      <w:r>
        <w:rPr>
          <w:rFonts w:ascii="Calibri" w:hAnsi="Calibri"/>
          <w:color w:val="222222"/>
        </w:rPr>
        <w:t xml:space="preserve">The July 2026 proposal used MoTrPAC as a simplified registration-gated example. This module intentionally updates that framing to match current first-party documentation: </w:t>
      </w:r>
      <w:r>
        <w:rPr>
          <w:rFonts w:ascii="Calibri" w:hAnsi="Calibri"/>
          <w:b/>
          <w:color w:val="222222"/>
        </w:rPr>
        <w:t>verify the exact release and action every time</w:t>
      </w:r>
      <w:r>
        <w:rPr>
          <w:rFonts w:ascii="Calibri" w:hAnsi="Calibri"/>
          <w:color w:val="222222"/>
        </w:rPr>
        <w:t>.</w:t>
      </w:r>
    </w:p>
    <w:p>
      <w:pPr>
        <w:pStyle w:val="Heading2"/>
      </w:pPr>
      <w:r>
        <w:rPr>
          <w:rFonts w:ascii="Calibri" w:hAnsi="Calibri"/>
          <w:color w:val="222222"/>
        </w:rPr>
        <w:t>2. What stays the same, and what must change</w:t>
      </w:r>
    </w:p>
    <w:p>
      <w:r>
        <w:rPr>
          <w:rFonts w:ascii="Calibri" w:hAnsi="Calibri"/>
          <w:color w:val="222222"/>
        </w:rPr>
        <w:t>Some harmonization practices transfer across environments:</w:t>
      </w:r>
    </w:p>
    <w:p>
      <w:pPr>
        <w:numPr>
          <w:ilvl w:val="0"/>
          <w:numId w:val="78"/>
        </w:numPr>
        <w:spacing w:after="80" w:line="300" w:lineRule="auto"/>
      </w:pPr>
      <w:r>
        <w:rPr>
          <w:rFonts w:ascii="Calibri" w:hAnsi="Calibri"/>
          <w:color w:val="222222"/>
        </w:rPr>
        <w:t>Define the scientific question and estimand.</w:t>
      </w:r>
    </w:p>
    <w:p>
      <w:pPr>
        <w:numPr>
          <w:ilvl w:val="0"/>
          <w:numId w:val="78"/>
        </w:numPr>
        <w:spacing w:after="80" w:line="300" w:lineRule="auto"/>
      </w:pPr>
      <w:r>
        <w:rPr>
          <w:rFonts w:ascii="Calibri" w:hAnsi="Calibri"/>
          <w:color w:val="222222"/>
        </w:rPr>
        <w:t>Preserve original identifiers and metadata.</w:t>
      </w:r>
    </w:p>
    <w:p>
      <w:pPr>
        <w:numPr>
          <w:ilvl w:val="0"/>
          <w:numId w:val="78"/>
        </w:numPr>
        <w:spacing w:after="80" w:line="300" w:lineRule="auto"/>
      </w:pPr>
      <w:r>
        <w:rPr>
          <w:rFonts w:ascii="Calibri" w:hAnsi="Calibri"/>
          <w:color w:val="222222"/>
        </w:rPr>
        <w:t>Record provenance and decision rules.</w:t>
      </w:r>
    </w:p>
    <w:p>
      <w:pPr>
        <w:numPr>
          <w:ilvl w:val="0"/>
          <w:numId w:val="78"/>
        </w:numPr>
        <w:spacing w:after="80" w:line="300" w:lineRule="auto"/>
      </w:pPr>
      <w:r>
        <w:rPr>
          <w:rFonts w:ascii="Calibri" w:hAnsi="Calibri"/>
          <w:color w:val="222222"/>
        </w:rPr>
        <w:t>Separate naming, specimen, time, and unit compatibility.</w:t>
      </w:r>
    </w:p>
    <w:p>
      <w:pPr>
        <w:numPr>
          <w:ilvl w:val="0"/>
          <w:numId w:val="78"/>
        </w:numPr>
        <w:spacing w:after="80" w:line="300" w:lineRule="auto"/>
      </w:pPr>
      <w:r>
        <w:rPr>
          <w:rFonts w:ascii="Calibri" w:hAnsi="Calibri"/>
          <w:color w:val="222222"/>
        </w:rPr>
        <w:t>Flag unresolved mappings.</w:t>
      </w:r>
    </w:p>
    <w:p>
      <w:pPr>
        <w:numPr>
          <w:ilvl w:val="0"/>
          <w:numId w:val="78"/>
        </w:numPr>
        <w:spacing w:after="80" w:line="300" w:lineRule="auto"/>
      </w:pPr>
      <w:r>
        <w:rPr>
          <w:rFonts w:ascii="Calibri" w:hAnsi="Calibri"/>
          <w:color w:val="222222"/>
        </w:rPr>
        <w:t>Validate join cardinality.</w:t>
      </w:r>
    </w:p>
    <w:p>
      <w:pPr>
        <w:numPr>
          <w:ilvl w:val="0"/>
          <w:numId w:val="78"/>
        </w:numPr>
        <w:spacing w:after="80" w:line="300" w:lineRule="auto"/>
      </w:pPr>
      <w:r>
        <w:rPr>
          <w:rFonts w:ascii="Calibri" w:hAnsi="Calibri"/>
          <w:color w:val="222222"/>
        </w:rPr>
        <w:t>Respect repeated measures.</w:t>
      </w:r>
    </w:p>
    <w:p>
      <w:pPr>
        <w:numPr>
          <w:ilvl w:val="0"/>
          <w:numId w:val="78"/>
        </w:numPr>
        <w:spacing w:after="80" w:line="300" w:lineRule="auto"/>
      </w:pPr>
      <w:r>
        <w:rPr>
          <w:rFonts w:ascii="Calibri" w:hAnsi="Calibri"/>
          <w:color w:val="222222"/>
        </w:rPr>
        <w:t>Bound interpretation by design.</w:t>
      </w:r>
    </w:p>
    <w:p>
      <w:r>
        <w:rPr>
          <w:rFonts w:ascii="Calibri" w:hAnsi="Calibri"/>
          <w:color w:val="222222"/>
        </w:rPr>
        <w:t>Other parts may need redesign:</w:t>
      </w:r>
    </w:p>
    <w:p>
      <w:pPr>
        <w:numPr>
          <w:ilvl w:val="0"/>
          <w:numId w:val="79"/>
        </w:numPr>
        <w:spacing w:after="80" w:line="300" w:lineRule="auto"/>
      </w:pPr>
      <w:r>
        <w:rPr>
          <w:rFonts w:ascii="Calibri" w:hAnsi="Calibri"/>
          <w:color w:val="222222"/>
        </w:rPr>
        <w:t>Authentication and API calls.</w:t>
      </w:r>
    </w:p>
    <w:p>
      <w:pPr>
        <w:numPr>
          <w:ilvl w:val="0"/>
          <w:numId w:val="79"/>
        </w:numPr>
        <w:spacing w:after="80" w:line="300" w:lineRule="auto"/>
      </w:pPr>
      <w:r>
        <w:rPr>
          <w:rFonts w:ascii="Calibri" w:hAnsi="Calibri"/>
          <w:color w:val="222222"/>
        </w:rPr>
        <w:t>Where code executes.</w:t>
      </w:r>
    </w:p>
    <w:p>
      <w:pPr>
        <w:numPr>
          <w:ilvl w:val="0"/>
          <w:numId w:val="79"/>
        </w:numPr>
        <w:spacing w:after="80" w:line="300" w:lineRule="auto"/>
      </w:pPr>
      <w:r>
        <w:rPr>
          <w:rFonts w:ascii="Calibri" w:hAnsi="Calibri"/>
          <w:color w:val="222222"/>
        </w:rPr>
        <w:t>Where raw, derived, and cached data are stored.</w:t>
      </w:r>
    </w:p>
    <w:p>
      <w:pPr>
        <w:numPr>
          <w:ilvl w:val="0"/>
          <w:numId w:val="79"/>
        </w:numPr>
        <w:spacing w:after="80" w:line="300" w:lineRule="auto"/>
      </w:pPr>
      <w:r>
        <w:rPr>
          <w:rFonts w:ascii="Calibri" w:hAnsi="Calibri"/>
          <w:color w:val="222222"/>
        </w:rPr>
        <w:t>Whether external reference resources can be queried from the environment.</w:t>
      </w:r>
    </w:p>
    <w:p>
      <w:pPr>
        <w:numPr>
          <w:ilvl w:val="0"/>
          <w:numId w:val="79"/>
        </w:numPr>
        <w:spacing w:after="80" w:line="300" w:lineRule="auto"/>
      </w:pPr>
      <w:r>
        <w:rPr>
          <w:rFonts w:ascii="Calibri" w:hAnsi="Calibri"/>
          <w:color w:val="222222"/>
        </w:rPr>
        <w:t>Whether data can be joined across resources.</w:t>
      </w:r>
    </w:p>
    <w:p>
      <w:pPr>
        <w:numPr>
          <w:ilvl w:val="0"/>
          <w:numId w:val="79"/>
        </w:numPr>
        <w:spacing w:after="80" w:line="300" w:lineRule="auto"/>
      </w:pPr>
      <w:r>
        <w:rPr>
          <w:rFonts w:ascii="Calibri" w:hAnsi="Calibri"/>
          <w:color w:val="222222"/>
        </w:rPr>
        <w:t>Whether row-level outputs, logs, plots, models, or counts can be exported.</w:t>
      </w:r>
    </w:p>
    <w:p>
      <w:pPr>
        <w:numPr>
          <w:ilvl w:val="0"/>
          <w:numId w:val="79"/>
        </w:numPr>
        <w:spacing w:after="80" w:line="300" w:lineRule="auto"/>
      </w:pPr>
      <w:r>
        <w:rPr>
          <w:rFonts w:ascii="Calibri" w:hAnsi="Calibri"/>
          <w:color w:val="222222"/>
        </w:rPr>
        <w:t>Who reviews an export and what disclosure thresholds apply.</w:t>
      </w:r>
    </w:p>
    <w:p>
      <w:pPr>
        <w:numPr>
          <w:ilvl w:val="0"/>
          <w:numId w:val="79"/>
        </w:numPr>
        <w:spacing w:after="80" w:line="300" w:lineRule="auto"/>
      </w:pPr>
      <w:r>
        <w:rPr>
          <w:rFonts w:ascii="Calibri" w:hAnsi="Calibri"/>
          <w:color w:val="222222"/>
        </w:rPr>
        <w:t>How collaborators receive access.</w:t>
      </w:r>
    </w:p>
    <w:p>
      <w:r>
        <w:rPr>
          <w:rFonts w:ascii="Calibri" w:hAnsi="Calibri"/>
          <w:color w:val="222222"/>
        </w:rPr>
        <w:t>You can reuse the analysis steps even when the data must remain in a governed workspace.</w:t>
      </w:r>
    </w:p>
    <w:p>
      <w:pPr>
        <w:pStyle w:val="Heading2"/>
      </w:pPr>
      <w:r>
        <w:rPr>
          <w:rFonts w:ascii="Calibri" w:hAnsi="Calibri"/>
          <w:color w:val="222222"/>
        </w:rPr>
        <w:t>3. Worked transfer case A: a MoTrPAC dataset</w:t>
      </w:r>
    </w:p>
    <w:p>
      <w:pPr>
        <w:pStyle w:val="Heading3"/>
      </w:pPr>
      <w:r>
        <w:rPr>
          <w:rFonts w:ascii="Calibri" w:hAnsi="Calibri"/>
          <w:color w:val="222222"/>
        </w:rPr>
        <w:t>Scenario</w:t>
      </w:r>
    </w:p>
    <w:p>
      <w:r>
        <w:rPr>
          <w:rFonts w:ascii="Calibri" w:hAnsi="Calibri"/>
          <w:color w:val="222222"/>
        </w:rPr>
        <w:t>You find a MoTrPAC metabolomics release that may complement the exercise case study.</w:t>
      </w:r>
    </w:p>
    <w:p>
      <w:pPr>
        <w:pStyle w:val="Heading3"/>
      </w:pPr>
      <w:r>
        <w:rPr>
          <w:rFonts w:ascii="Calibri" w:hAnsi="Calibri"/>
          <w:color w:val="222222"/>
        </w:rPr>
        <w:t>Verification sequence</w:t>
      </w:r>
    </w:p>
    <w:p>
      <w:pPr>
        <w:numPr>
          <w:ilvl w:val="0"/>
          <w:numId w:val="80"/>
        </w:numPr>
        <w:spacing w:after="80" w:line="300" w:lineRule="auto"/>
      </w:pPr>
      <w:r>
        <w:rPr>
          <w:rFonts w:ascii="Calibri" w:hAnsi="Calibri"/>
          <w:color w:val="222222"/>
        </w:rPr>
        <w:t>Identify the exact collection, study, release, assay level, and files.</w:t>
      </w:r>
    </w:p>
    <w:p>
      <w:pPr>
        <w:numPr>
          <w:ilvl w:val="0"/>
          <w:numId w:val="80"/>
        </w:numPr>
        <w:spacing w:after="80" w:line="300" w:lineRule="auto"/>
      </w:pPr>
      <w:r>
        <w:rPr>
          <w:rFonts w:ascii="Calibri" w:hAnsi="Calibri"/>
          <w:color w:val="222222"/>
        </w:rPr>
        <w:t>Open current MoTrPAC Data Hub and Knowledge Center documentation.</w:t>
      </w:r>
    </w:p>
    <w:p>
      <w:pPr>
        <w:numPr>
          <w:ilvl w:val="0"/>
          <w:numId w:val="80"/>
        </w:numPr>
        <w:spacing w:after="80" w:line="300" w:lineRule="auto"/>
      </w:pPr>
      <w:r>
        <w:rPr>
          <w:rFonts w:ascii="Calibri" w:hAnsi="Calibri"/>
          <w:color w:val="222222"/>
        </w:rPr>
        <w:t>Test whether the desired public file can be browsed or downloaded without an account.</w:t>
      </w:r>
    </w:p>
    <w:p>
      <w:pPr>
        <w:numPr>
          <w:ilvl w:val="0"/>
          <w:numId w:val="80"/>
        </w:numPr>
        <w:spacing w:after="80" w:line="300" w:lineRule="auto"/>
      </w:pPr>
      <w:r>
        <w:rPr>
          <w:rFonts w:ascii="Calibri" w:hAnsi="Calibri"/>
          <w:color w:val="222222"/>
        </w:rPr>
        <w:t>If the file is restricted or embargoed, document authentication, DUA, publication, confidentiality, and review requirements.</w:t>
      </w:r>
    </w:p>
    <w:p>
      <w:pPr>
        <w:numPr>
          <w:ilvl w:val="0"/>
          <w:numId w:val="80"/>
        </w:numPr>
        <w:spacing w:after="80" w:line="300" w:lineRule="auto"/>
      </w:pPr>
      <w:r>
        <w:rPr>
          <w:rFonts w:ascii="Calibri" w:hAnsi="Calibri"/>
          <w:color w:val="222222"/>
        </w:rPr>
        <w:t>Record the evidence URL, page version if available, date, and result.</w:t>
      </w:r>
    </w:p>
    <w:p>
      <w:pPr>
        <w:pStyle w:val="Heading3"/>
      </w:pPr>
      <w:r>
        <w:rPr>
          <w:rFonts w:ascii="Calibri" w:hAnsi="Calibri"/>
          <w:color w:val="222222"/>
        </w:rPr>
        <w:t>Architecture decision</w:t>
      </w:r>
    </w:p>
    <w:p>
      <w:pPr>
        <w:numPr>
          <w:ilvl w:val="0"/>
          <w:numId w:val="81"/>
        </w:numPr>
        <w:spacing w:after="80" w:line="300" w:lineRule="auto"/>
      </w:pPr>
      <w:r>
        <w:rPr>
          <w:rFonts w:ascii="Calibri" w:hAnsi="Calibri"/>
          <w:b/>
          <w:color w:val="222222"/>
        </w:rPr>
        <w:t>Public file:</w:t>
      </w:r>
      <w:r>
        <w:rPr>
          <w:rFonts w:ascii="Calibri" w:hAnsi="Calibri"/>
          <w:color w:val="222222"/>
        </w:rPr>
        <w:t xml:space="preserve"> The local or Colab-style workflow may remain possible, subject to license, size, and terms. Replace the MW-specific retrieval adapter while retaining provenance and crosswalk logic.</w:t>
      </w:r>
    </w:p>
    <w:p>
      <w:pPr>
        <w:numPr>
          <w:ilvl w:val="0"/>
          <w:numId w:val="81"/>
        </w:numPr>
        <w:spacing w:after="80" w:line="300" w:lineRule="auto"/>
      </w:pPr>
      <w:r>
        <w:rPr>
          <w:rFonts w:ascii="Calibri" w:hAnsi="Calibri"/>
          <w:b/>
          <w:color w:val="222222"/>
        </w:rPr>
        <w:t>Restricted file:</w:t>
      </w:r>
      <w:r>
        <w:rPr>
          <w:rFonts w:ascii="Calibri" w:hAnsi="Calibri"/>
          <w:color w:val="222222"/>
        </w:rPr>
        <w:t xml:space="preserve"> Obtain authorization before access. Store and analyze only in permitted locations; do not add restricted content to the module cache. Adapt collaboration and output review to the DUA.</w:t>
      </w:r>
    </w:p>
    <w:p>
      <w:pPr>
        <w:numPr>
          <w:ilvl w:val="0"/>
          <w:numId w:val="81"/>
        </w:numPr>
        <w:spacing w:after="80" w:line="300" w:lineRule="auto"/>
      </w:pPr>
      <w:r>
        <w:rPr>
          <w:rFonts w:ascii="Calibri" w:hAnsi="Calibri"/>
          <w:b/>
          <w:color w:val="222222"/>
        </w:rPr>
        <w:t>Unclear status:</w:t>
      </w:r>
      <w:r>
        <w:rPr>
          <w:rFonts w:ascii="Calibri" w:hAnsi="Calibri"/>
          <w:color w:val="222222"/>
        </w:rPr>
        <w:t xml:space="preserve"> Pause data retrieval and ask the program help desk. Continue with public metadata or synthetic schema only.</w:t>
      </w:r>
    </w:p>
    <w:p>
      <w:pPr>
        <w:pStyle w:val="Heading3"/>
      </w:pPr>
      <w:r>
        <w:rPr>
          <w:rFonts w:ascii="Calibri" w:hAnsi="Calibri"/>
          <w:color w:val="222222"/>
        </w:rPr>
        <w:t>Scientific decision</w:t>
      </w:r>
    </w:p>
    <w:p>
      <w:r>
        <w:rPr>
          <w:rFonts w:ascii="Calibri" w:hAnsi="Calibri"/>
          <w:color w:val="222222"/>
        </w:rPr>
        <w:t xml:space="preserve">MoTrPAC's detailed exercise design can improve phenotype context, but repository membership does not make its measurements quantitatively compatible with </w:t>
      </w:r>
      <w:r>
        <w:rPr>
          <w:rFonts w:ascii="Consolas" w:hAnsi="Consolas"/>
          <w:color w:val="1F4D78"/>
          <w:sz w:val="21"/>
          <w:shd w:fill="EEF1F4"/>
        </w:rPr>
        <w:t>ST003348</w:t>
      </w:r>
      <w:r>
        <w:rPr>
          <w:rFonts w:ascii="Calibri" w:hAnsi="Calibri"/>
          <w:color w:val="222222"/>
        </w:rPr>
        <w:t>. Repeat the full platform, specimen, time, and unit assessment.</w:t>
      </w:r>
    </w:p>
    <w:p>
      <w:pPr>
        <w:pStyle w:val="Heading2"/>
      </w:pPr>
      <w:r>
        <w:rPr>
          <w:rFonts w:ascii="Calibri" w:hAnsi="Calibri"/>
          <w:color w:val="222222"/>
        </w:rPr>
        <w:t>4. Worked transfer case B: Nutrition for Precision Health in All of Us</w:t>
      </w:r>
    </w:p>
    <w:p>
      <w:pPr>
        <w:pStyle w:val="Heading3"/>
      </w:pPr>
      <w:r>
        <w:rPr>
          <w:rFonts w:ascii="Calibri" w:hAnsi="Calibri"/>
          <w:color w:val="222222"/>
        </w:rPr>
        <w:t>Scenario</w:t>
      </w:r>
    </w:p>
    <w:p>
      <w:r>
        <w:rPr>
          <w:rFonts w:ascii="Calibri" w:hAnsi="Calibri"/>
          <w:color w:val="222222"/>
        </w:rPr>
        <w:t>You want to adapt the diet harmonization workflow to NPH data stored in the All of Us Researcher Workbench.</w:t>
      </w:r>
    </w:p>
    <w:p>
      <w:pPr>
        <w:pStyle w:val="Heading3"/>
      </w:pPr>
      <w:r>
        <w:rPr>
          <w:rFonts w:ascii="Calibri" w:hAnsi="Calibri"/>
          <w:color w:val="222222"/>
        </w:rPr>
        <w:t>Verification sequence</w:t>
      </w:r>
    </w:p>
    <w:p>
      <w:pPr>
        <w:numPr>
          <w:ilvl w:val="0"/>
          <w:numId w:val="82"/>
        </w:numPr>
        <w:spacing w:after="80" w:line="300" w:lineRule="auto"/>
      </w:pPr>
      <w:r>
        <w:rPr>
          <w:rFonts w:ascii="Calibri" w:hAnsi="Calibri"/>
          <w:color w:val="222222"/>
        </w:rPr>
        <w:t>Confirm that the desired NPH data type and release are available.</w:t>
      </w:r>
    </w:p>
    <w:p>
      <w:pPr>
        <w:numPr>
          <w:ilvl w:val="0"/>
          <w:numId w:val="82"/>
        </w:numPr>
        <w:spacing w:after="80" w:line="300" w:lineRule="auto"/>
      </w:pPr>
      <w:r>
        <w:rPr>
          <w:rFonts w:ascii="Calibri" w:hAnsi="Calibri"/>
          <w:color w:val="222222"/>
        </w:rPr>
        <w:t>Determine whether the required collection is Registered or Controlled Tier.</w:t>
      </w:r>
    </w:p>
    <w:p>
      <w:pPr>
        <w:numPr>
          <w:ilvl w:val="0"/>
          <w:numId w:val="82"/>
        </w:numPr>
        <w:spacing w:after="80" w:line="300" w:lineRule="auto"/>
      </w:pPr>
      <w:r>
        <w:rPr>
          <w:rFonts w:ascii="Calibri" w:hAnsi="Calibri"/>
          <w:color w:val="222222"/>
        </w:rPr>
        <w:t>Verify current institutional, researcher, identity, training, workspace, and project requirements.</w:t>
      </w:r>
    </w:p>
    <w:p>
      <w:pPr>
        <w:numPr>
          <w:ilvl w:val="0"/>
          <w:numId w:val="82"/>
        </w:numPr>
        <w:spacing w:after="80" w:line="300" w:lineRule="auto"/>
      </w:pPr>
      <w:r>
        <w:rPr>
          <w:rFonts w:ascii="Calibri" w:hAnsi="Calibri"/>
          <w:color w:val="222222"/>
        </w:rPr>
        <w:t>Review the Data User Code of Conduct and Data and Statistics Dissemination Policy.</w:t>
      </w:r>
    </w:p>
    <w:p>
      <w:pPr>
        <w:numPr>
          <w:ilvl w:val="0"/>
          <w:numId w:val="82"/>
        </w:numPr>
        <w:spacing w:after="80" w:line="300" w:lineRule="auto"/>
      </w:pPr>
      <w:r>
        <w:rPr>
          <w:rFonts w:ascii="Calibri" w:hAnsi="Calibri"/>
          <w:color w:val="222222"/>
        </w:rPr>
        <w:t>Determine what participant-level data, code outputs, counts, plots, models, or aggregate results may leave the Workbench.</w:t>
      </w:r>
    </w:p>
    <w:p>
      <w:pPr>
        <w:pStyle w:val="Heading3"/>
      </w:pPr>
      <w:r>
        <w:rPr>
          <w:rFonts w:ascii="Calibri" w:hAnsi="Calibri"/>
          <w:color w:val="222222"/>
        </w:rPr>
        <w:t>Architecture decision</w:t>
      </w:r>
    </w:p>
    <w:p>
      <w:r>
        <w:rPr>
          <w:rFonts w:ascii="Calibri" w:hAnsi="Calibri"/>
          <w:color w:val="222222"/>
        </w:rPr>
        <w:t xml:space="preserve">The safe default is to move approved code and public reference mappings </w:t>
      </w:r>
      <w:r>
        <w:rPr>
          <w:rFonts w:ascii="Calibri" w:hAnsi="Calibri"/>
          <w:b/>
          <w:color w:val="222222"/>
        </w:rPr>
        <w:t>into</w:t>
      </w:r>
      <w:r>
        <w:rPr>
          <w:rFonts w:ascii="Calibri" w:hAnsi="Calibri"/>
          <w:color w:val="222222"/>
        </w:rPr>
        <w:t xml:space="preserve"> the governed workspace, run participant-level work there, and export only outputs permitted under current policy. Do not download NPH participant-level data to populate this module's local files or cached fallback. If external RefMet calls are unavailable or inappropriate, import a dated, approved reference table without participant data and record its version.</w:t>
      </w:r>
    </w:p>
    <w:p>
      <w:pPr>
        <w:pStyle w:val="Heading3"/>
      </w:pPr>
      <w:r>
        <w:rPr>
          <w:rFonts w:ascii="Calibri" w:hAnsi="Calibri"/>
          <w:color w:val="222222"/>
        </w:rPr>
        <w:t>Scientific decision</w:t>
      </w:r>
    </w:p>
    <w:p>
      <w:r>
        <w:rPr>
          <w:rFonts w:ascii="Calibri" w:hAnsi="Calibri"/>
          <w:color w:val="222222"/>
        </w:rPr>
        <w:t>NPH's modular diet design and multimodal context may support questions that the small FARMM case cannot. It does not remove the need to define diet period, test-meal timing, specimen, assay, repeated measures, and the intended estimand.</w:t>
      </w:r>
    </w:p>
    <w:p>
      <w:pPr>
        <w:pStyle w:val="Heading2"/>
      </w:pPr>
      <w:r>
        <w:rPr>
          <w:rFonts w:ascii="Calibri" w:hAnsi="Calibri"/>
          <w:color w:val="222222"/>
        </w:rPr>
        <w:t>5. Text-only concept sketch: transfer workflow</w:t>
      </w:r>
    </w:p>
    <w:p>
      <w:r>
        <w:rPr>
          <w:rFonts w:ascii="Calibri" w:hAnsi="Calibri"/>
          <w:color w:val="222222"/>
        </w:rPr>
        <w:t xml:space="preserve">No separate image appears here. Picture a central box labeled </w:t>
      </w:r>
      <w:r>
        <w:rPr>
          <w:rFonts w:ascii="Consolas" w:hAnsi="Consolas"/>
          <w:color w:val="1F4D78"/>
          <w:sz w:val="21"/>
          <w:shd w:fill="EEF1F4"/>
        </w:rPr>
        <w:t>portable harmonization logic</w:t>
      </w:r>
      <w:r>
        <w:rPr>
          <w:rFonts w:ascii="Calibri" w:hAnsi="Calibri"/>
          <w:color w:val="222222"/>
        </w:rPr>
        <w:t xml:space="preserve">. Three arrows point to an open laptop, a sign-in workspace, and a locked cloud workspace. The logic moves to all three. Raw data arrows move freely only into the open laptop; gated data remain in approved storage; controlled participant-level data remain inside the locked cloud. A single outbound arrow from the cloud is labeled </w:t>
      </w:r>
      <w:r>
        <w:rPr>
          <w:rFonts w:ascii="Consolas" w:hAnsi="Consolas"/>
          <w:color w:val="1F4D78"/>
          <w:sz w:val="21"/>
          <w:shd w:fill="EEF1F4"/>
        </w:rPr>
        <w:t>reviewed outputs permitted by policy</w:t>
      </w:r>
      <w:r>
        <w:rPr>
          <w:rFonts w:ascii="Calibri" w:hAnsi="Calibri"/>
          <w:color w:val="222222"/>
        </w:rPr>
        <w:t>.</w:t>
      </w:r>
    </w:p>
    <w:p>
      <w:pPr>
        <w:pStyle w:val="Heading2"/>
      </w:pPr>
      <w:r>
        <w:rPr>
          <w:rFonts w:ascii="Calibri" w:hAnsi="Calibri"/>
          <w:color w:val="222222"/>
        </w:rPr>
        <w:t>6. Hands-on activity: make a transfer decision</w:t>
      </w:r>
    </w:p>
    <w:p>
      <w:r>
        <w:rPr>
          <w:rFonts w:ascii="Calibri" w:hAnsi="Calibri"/>
          <w:color w:val="222222"/>
        </w:rPr>
        <w:t xml:space="preserve">Use </w:t>
      </w:r>
      <w:r>
        <w:rPr>
          <w:rFonts w:ascii="Consolas" w:hAnsi="Consolas"/>
          <w:color w:val="1F4D78"/>
          <w:sz w:val="21"/>
          <w:shd w:fill="EEF1F4"/>
        </w:rPr>
        <w:t>module/templates/access_tier_transfer_checklist_learner.md</w:t>
      </w:r>
      <w:r>
        <w:rPr>
          <w:rFonts w:ascii="Calibri" w:hAnsi="Calibri"/>
          <w:color w:val="222222"/>
        </w:rPr>
        <w:t xml:space="preserve"> for a resource of your choice. You may use a specific MoTrPAC release, an NPH/All of Us collection, another Metabolomics Workbench accession, MetaboLights, or a consortium repository relevant to your work.</w:t>
      </w:r>
    </w:p>
    <w:p>
      <w:r>
        <w:rPr>
          <w:rFonts w:ascii="Calibri" w:hAnsi="Calibri"/>
          <w:color w:val="222222"/>
        </w:rPr>
        <w:t xml:space="preserve">For the timed course, complete five items: the exact dataset and intended action, one first-party source with its check date, the access pattern, the compute/storage boundary, and a </w:t>
      </w:r>
      <w:r>
        <w:rPr>
          <w:rFonts w:ascii="Consolas" w:hAnsi="Consolas"/>
          <w:color w:val="1F4D78"/>
          <w:sz w:val="21"/>
          <w:shd w:fill="EEF1F4"/>
        </w:rPr>
        <w:t>GO</w:t>
      </w:r>
      <w:r>
        <w:rPr>
          <w:rFonts w:ascii="Calibri" w:hAnsi="Calibri"/>
          <w:color w:val="222222"/>
        </w:rPr>
        <w:t xml:space="preserve">, </w:t>
      </w:r>
      <w:r>
        <w:rPr>
          <w:rFonts w:ascii="Consolas" w:hAnsi="Consolas"/>
          <w:color w:val="1F4D78"/>
          <w:sz w:val="21"/>
          <w:shd w:fill="EEF1F4"/>
        </w:rPr>
        <w:t>REVISE</w:t>
      </w:r>
      <w:r>
        <w:rPr>
          <w:rFonts w:ascii="Calibri" w:hAnsi="Calibri"/>
          <w:color w:val="222222"/>
        </w:rPr>
        <w:t xml:space="preserve">, </w:t>
      </w:r>
      <w:r>
        <w:rPr>
          <w:rFonts w:ascii="Consolas" w:hAnsi="Consolas"/>
          <w:color w:val="1F4D78"/>
          <w:sz w:val="21"/>
          <w:shd w:fill="EEF1F4"/>
        </w:rPr>
        <w:t>WAIT</w:t>
      </w:r>
      <w:r>
        <w:rPr>
          <w:rFonts w:ascii="Calibri" w:hAnsi="Calibri"/>
          <w:color w:val="222222"/>
        </w:rPr>
        <w:t xml:space="preserve">, or </w:t>
      </w:r>
      <w:r>
        <w:rPr>
          <w:rFonts w:ascii="Consolas" w:hAnsi="Consolas"/>
          <w:color w:val="1F4D78"/>
          <w:sz w:val="21"/>
          <w:shd w:fill="EEF1F4"/>
        </w:rPr>
        <w:t>STOP</w:t>
      </w:r>
      <w:r>
        <w:rPr>
          <w:rFonts w:ascii="Calibri" w:hAnsi="Calibri"/>
          <w:color w:val="222222"/>
        </w:rPr>
        <w:t xml:space="preserve"> decision. The full checklist is a project extension.</w:t>
      </w:r>
    </w:p>
    <w:p>
      <w:pPr>
        <w:pStyle w:val="Heading3"/>
      </w:pPr>
      <w:r>
        <w:rPr>
          <w:rFonts w:ascii="Calibri" w:hAnsi="Calibri"/>
          <w:color w:val="222222"/>
        </w:rPr>
        <w:t>Required evidence</w:t>
      </w:r>
    </w:p>
    <w:p>
      <w:pPr>
        <w:numPr>
          <w:ilvl w:val="0"/>
          <w:numId w:val="83"/>
        </w:numPr>
        <w:spacing w:after="80" w:line="300" w:lineRule="auto"/>
      </w:pPr>
      <w:r>
        <w:rPr>
          <w:rFonts w:ascii="Calibri" w:hAnsi="Calibri"/>
          <w:color w:val="222222"/>
        </w:rPr>
        <w:t>Exact resource, dataset, and version or release.</w:t>
      </w:r>
    </w:p>
    <w:p>
      <w:pPr>
        <w:numPr>
          <w:ilvl w:val="0"/>
          <w:numId w:val="83"/>
        </w:numPr>
        <w:spacing w:after="80" w:line="300" w:lineRule="auto"/>
      </w:pPr>
      <w:r>
        <w:rPr>
          <w:rFonts w:ascii="Calibri" w:hAnsi="Calibri"/>
          <w:color w:val="222222"/>
        </w:rPr>
        <w:t>Intended data and action.</w:t>
      </w:r>
    </w:p>
    <w:p>
      <w:pPr>
        <w:numPr>
          <w:ilvl w:val="0"/>
          <w:numId w:val="83"/>
        </w:numPr>
        <w:spacing w:after="80" w:line="300" w:lineRule="auto"/>
      </w:pPr>
      <w:r>
        <w:rPr>
          <w:rFonts w:ascii="Calibri" w:hAnsi="Calibri"/>
          <w:color w:val="222222"/>
        </w:rPr>
        <w:t>First-party access documentation URL and check date.</w:t>
      </w:r>
    </w:p>
    <w:p>
      <w:pPr>
        <w:numPr>
          <w:ilvl w:val="0"/>
          <w:numId w:val="83"/>
        </w:numPr>
        <w:spacing w:after="80" w:line="300" w:lineRule="auto"/>
      </w:pPr>
      <w:r>
        <w:rPr>
          <w:rFonts w:ascii="Calibri" w:hAnsi="Calibri"/>
          <w:color w:val="222222"/>
        </w:rPr>
        <w:t>Account, agreement, institutional, training, or approval requirements.</w:t>
      </w:r>
    </w:p>
    <w:p>
      <w:pPr>
        <w:numPr>
          <w:ilvl w:val="0"/>
          <w:numId w:val="83"/>
        </w:numPr>
        <w:spacing w:after="80" w:line="300" w:lineRule="auto"/>
      </w:pPr>
      <w:r>
        <w:rPr>
          <w:rFonts w:ascii="Calibri" w:hAnsi="Calibri"/>
          <w:color w:val="222222"/>
        </w:rPr>
        <w:t>Permitted compute and storage location.</w:t>
      </w:r>
    </w:p>
    <w:p>
      <w:pPr>
        <w:numPr>
          <w:ilvl w:val="0"/>
          <w:numId w:val="83"/>
        </w:numPr>
        <w:spacing w:after="80" w:line="300" w:lineRule="auto"/>
      </w:pPr>
      <w:r>
        <w:rPr>
          <w:rFonts w:ascii="Calibri" w:hAnsi="Calibri"/>
          <w:color w:val="222222"/>
        </w:rPr>
        <w:t>Input and output movement rules.</w:t>
      </w:r>
    </w:p>
    <w:p>
      <w:pPr>
        <w:numPr>
          <w:ilvl w:val="0"/>
          <w:numId w:val="83"/>
        </w:numPr>
        <w:spacing w:after="80" w:line="300" w:lineRule="auto"/>
      </w:pPr>
      <w:r>
        <w:rPr>
          <w:rFonts w:ascii="Calibri" w:hAnsi="Calibri"/>
          <w:color w:val="222222"/>
        </w:rPr>
        <w:t>Metadata and identifier availability.</w:t>
      </w:r>
    </w:p>
    <w:p>
      <w:pPr>
        <w:numPr>
          <w:ilvl w:val="0"/>
          <w:numId w:val="83"/>
        </w:numPr>
        <w:spacing w:after="80" w:line="300" w:lineRule="auto"/>
      </w:pPr>
      <w:r>
        <w:rPr>
          <w:rFonts w:ascii="Calibri" w:hAnsi="Calibri"/>
          <w:color w:val="222222"/>
        </w:rPr>
        <w:t>Required changes to retrieval, cache, crosswalk, and reporting.</w:t>
      </w:r>
    </w:p>
    <w:p>
      <w:pPr>
        <w:numPr>
          <w:ilvl w:val="0"/>
          <w:numId w:val="83"/>
        </w:numPr>
        <w:spacing w:after="80" w:line="300" w:lineRule="auto"/>
      </w:pPr>
      <w:r>
        <w:rPr>
          <w:rFonts w:ascii="Calibri" w:hAnsi="Calibri"/>
          <w:color w:val="222222"/>
        </w:rPr>
        <w:t>One scientific compatibility risk distinct from access.</w:t>
      </w:r>
    </w:p>
    <w:p>
      <w:pPr>
        <w:pStyle w:val="Heading3"/>
      </w:pPr>
      <w:r>
        <w:rPr>
          <w:rFonts w:ascii="Calibri" w:hAnsi="Calibri"/>
          <w:color w:val="222222"/>
        </w:rPr>
        <w:t>Decision options</w:t>
      </w:r>
    </w:p>
    <w:p>
      <w:pPr>
        <w:numPr>
          <w:ilvl w:val="0"/>
          <w:numId w:val="84"/>
        </w:numPr>
        <w:spacing w:after="80" w:line="300" w:lineRule="auto"/>
      </w:pPr>
      <w:r>
        <w:rPr>
          <w:rFonts w:ascii="Consolas" w:hAnsi="Consolas"/>
          <w:color w:val="1F4D78"/>
          <w:sz w:val="21"/>
          <w:shd w:fill="EEF1F4"/>
        </w:rPr>
        <w:t>GO</w:t>
      </w:r>
      <w:r>
        <w:rPr>
          <w:rFonts w:ascii="Calibri" w:hAnsi="Calibri"/>
          <w:color w:val="222222"/>
        </w:rPr>
        <w:t>: Requirements are verified and the planned workflow is permitted and scientifically appropriate.</w:t>
      </w:r>
    </w:p>
    <w:p>
      <w:pPr>
        <w:numPr>
          <w:ilvl w:val="0"/>
          <w:numId w:val="84"/>
        </w:numPr>
        <w:spacing w:after="80" w:line="300" w:lineRule="auto"/>
      </w:pPr>
      <w:r>
        <w:rPr>
          <w:rFonts w:ascii="Consolas" w:hAnsi="Consolas"/>
          <w:color w:val="1F4D78"/>
          <w:sz w:val="21"/>
          <w:shd w:fill="EEF1F4"/>
        </w:rPr>
        <w:t>REVISE</w:t>
      </w:r>
      <w:r>
        <w:rPr>
          <w:rFonts w:ascii="Calibri" w:hAnsi="Calibri"/>
          <w:color w:val="222222"/>
        </w:rPr>
        <w:t>: The goal is possible, but architecture, scope, output, or analysis must change.</w:t>
      </w:r>
    </w:p>
    <w:p>
      <w:pPr>
        <w:numPr>
          <w:ilvl w:val="0"/>
          <w:numId w:val="84"/>
        </w:numPr>
        <w:spacing w:after="80" w:line="300" w:lineRule="auto"/>
      </w:pPr>
      <w:r>
        <w:rPr>
          <w:rFonts w:ascii="Consolas" w:hAnsi="Consolas"/>
          <w:color w:val="1F4D78"/>
          <w:sz w:val="21"/>
          <w:shd w:fill="EEF1F4"/>
        </w:rPr>
        <w:t>WAIT</w:t>
      </w:r>
      <w:r>
        <w:rPr>
          <w:rFonts w:ascii="Calibri" w:hAnsi="Calibri"/>
          <w:color w:val="222222"/>
        </w:rPr>
        <w:t>: A documented approval, release, or clarification is pending.</w:t>
      </w:r>
    </w:p>
    <w:p>
      <w:pPr>
        <w:numPr>
          <w:ilvl w:val="0"/>
          <w:numId w:val="84"/>
        </w:numPr>
        <w:spacing w:after="80" w:line="300" w:lineRule="auto"/>
      </w:pPr>
      <w:r>
        <w:rPr>
          <w:rFonts w:ascii="Consolas" w:hAnsi="Consolas"/>
          <w:color w:val="1F4D78"/>
          <w:sz w:val="21"/>
          <w:shd w:fill="EEF1F4"/>
        </w:rPr>
        <w:t>STOP</w:t>
      </w:r>
      <w:r>
        <w:rPr>
          <w:rFonts w:ascii="Calibri" w:hAnsi="Calibri"/>
          <w:color w:val="222222"/>
        </w:rPr>
        <w:t>: The planned action is prohibited or cannot answer the scientific question.</w:t>
      </w:r>
    </w:p>
    <w:p>
      <w:r>
        <w:rPr>
          <w:rFonts w:ascii="Calibri" w:hAnsi="Calibri"/>
          <w:color w:val="222222"/>
        </w:rPr>
        <w:t>Write one sentence that distinguishes policy evidence from your interpretation. Example:</w:t>
      </w:r>
    </w:p>
    <w:p>
      <w:pPr>
        <w:spacing w:before="100" w:after="120"/>
        <w:ind w:left="259" w:right="115"/>
        <w:shd w:fill="F4F6F9"/>
        <w:pBdr>
          <w:left w:val="single" w:sz="16" w:space="8" w:color="2E74B5"/>
        </w:pBdr>
      </w:pPr>
      <w:r>
        <w:rPr>
          <w:rFonts w:ascii="Calibri" w:hAnsi="Calibri"/>
          <w:color w:val="1F4D78"/>
        </w:rPr>
        <w:t>The first-party page states that this public release can be downloaded without an account; I infer that the local retrieval step is feasible, but I still need to confirm license and scientific compatibility before reuse.</w:t>
      </w:r>
    </w:p>
    <w:p>
      <w:pPr>
        <w:pStyle w:val="Heading2"/>
      </w:pPr>
      <w:r>
        <w:rPr>
          <w:rFonts w:ascii="Calibri" w:hAnsi="Calibri"/>
          <w:color w:val="222222"/>
        </w:rPr>
        <w:t>7. Safety and governance rules</w:t>
      </w:r>
    </w:p>
    <w:p>
      <w:pPr>
        <w:numPr>
          <w:ilvl w:val="0"/>
          <w:numId w:val="85"/>
        </w:numPr>
        <w:spacing w:after="80" w:line="300" w:lineRule="auto"/>
      </w:pPr>
      <w:r>
        <w:rPr>
          <w:rFonts w:ascii="Calibri" w:hAnsi="Calibri"/>
          <w:color w:val="222222"/>
        </w:rPr>
        <w:t>Verify current first-party terms; do not rely on this lesson as legal or policy authority.</w:t>
      </w:r>
    </w:p>
    <w:p>
      <w:pPr>
        <w:numPr>
          <w:ilvl w:val="0"/>
          <w:numId w:val="85"/>
        </w:numPr>
        <w:spacing w:after="80" w:line="300" w:lineRule="auto"/>
      </w:pPr>
      <w:r>
        <w:rPr>
          <w:rFonts w:ascii="Calibri" w:hAnsi="Calibri"/>
          <w:color w:val="222222"/>
        </w:rPr>
        <w:t>Dataset landing-page visibility does not prove participant-level download permission.</w:t>
      </w:r>
    </w:p>
    <w:p>
      <w:pPr>
        <w:numPr>
          <w:ilvl w:val="0"/>
          <w:numId w:val="85"/>
        </w:numPr>
        <w:spacing w:after="80" w:line="300" w:lineRule="auto"/>
      </w:pPr>
      <w:r>
        <w:rPr>
          <w:rFonts w:ascii="Calibri" w:hAnsi="Calibri"/>
          <w:color w:val="222222"/>
        </w:rPr>
        <w:t>Public metadata can be useful even when data are restricted, but it does not authorize reconstruction or access.</w:t>
      </w:r>
    </w:p>
    <w:p>
      <w:pPr>
        <w:numPr>
          <w:ilvl w:val="0"/>
          <w:numId w:val="85"/>
        </w:numPr>
        <w:spacing w:after="80" w:line="300" w:lineRule="auto"/>
      </w:pPr>
      <w:r>
        <w:rPr>
          <w:rFonts w:ascii="Calibri" w:hAnsi="Calibri"/>
          <w:color w:val="222222"/>
        </w:rPr>
        <w:t>Do not place credentials, tokens, signed URLs, or controlled data in notebooks, caches, logs, version control, or training artifacts.</w:t>
      </w:r>
    </w:p>
    <w:p>
      <w:pPr>
        <w:numPr>
          <w:ilvl w:val="0"/>
          <w:numId w:val="85"/>
        </w:numPr>
        <w:spacing w:after="80" w:line="300" w:lineRule="auto"/>
      </w:pPr>
      <w:r>
        <w:rPr>
          <w:rFonts w:ascii="Calibri" w:hAnsi="Calibri"/>
          <w:color w:val="222222"/>
        </w:rPr>
        <w:t>Do not evade a governed environment by exporting row-level data, small cells, recoverable embeddings, or model artifacts that policy treats as sensitive.</w:t>
      </w:r>
    </w:p>
    <w:p>
      <w:pPr>
        <w:numPr>
          <w:ilvl w:val="0"/>
          <w:numId w:val="85"/>
        </w:numPr>
        <w:spacing w:after="80" w:line="300" w:lineRule="auto"/>
      </w:pPr>
      <w:r>
        <w:rPr>
          <w:rFonts w:ascii="Calibri" w:hAnsi="Calibri"/>
          <w:color w:val="222222"/>
        </w:rPr>
        <w:t>Access approval does not establish scientific comparability.</w:t>
      </w:r>
    </w:p>
    <w:p>
      <w:pPr>
        <w:numPr>
          <w:ilvl w:val="0"/>
          <w:numId w:val="85"/>
        </w:numPr>
        <w:spacing w:after="80" w:line="300" w:lineRule="auto"/>
      </w:pPr>
      <w:r>
        <w:rPr>
          <w:rFonts w:ascii="Calibri" w:hAnsi="Calibri"/>
          <w:color w:val="222222"/>
        </w:rPr>
        <w:t>If rules conflict or remain unclear, pause the affected data movement and seek the resource's official support channel.</w:t>
      </w:r>
    </w:p>
    <w:p>
      <w:pPr>
        <w:pStyle w:val="Heading2"/>
      </w:pPr>
      <w:r>
        <w:rPr>
          <w:rFonts w:ascii="Calibri" w:hAnsi="Calibri"/>
          <w:color w:val="222222"/>
        </w:rPr>
        <w:t>8. Knowledge check</w:t>
      </w:r>
    </w:p>
    <w:p>
      <w:pPr>
        <w:keepNext/>
        <w:keepLines/>
      </w:pPr>
      <w:r>
        <w:rPr>
          <w:rFonts w:ascii="Calibri" w:hAnsi="Calibri"/>
          <w:b/>
          <w:color w:val="222222"/>
        </w:rPr>
        <w:t>KC5-01.</w:t>
      </w:r>
      <w:r>
        <w:rPr>
          <w:rFonts w:ascii="Calibri" w:hAnsi="Calibri"/>
          <w:color w:val="222222"/>
        </w:rPr>
        <w:t xml:space="preserve"> What is the most accurate access description for MoTrPAC?</w:t>
      </w:r>
    </w:p>
    <w:p>
      <w:pPr>
        <w:keepNext/>
        <w:keepLines/>
      </w:pPr>
      <w:r>
        <w:rPr>
          <w:rFonts w:ascii="Calibri" w:hAnsi="Calibri"/>
          <w:color w:val="222222"/>
        </w:rPr>
        <w:t>A. Every MoTrPAC dataset requires registration.</w:t>
      </w:r>
    </w:p>
    <w:p>
      <w:pPr>
        <w:keepNext/>
        <w:keepLines/>
      </w:pPr>
      <w:r>
        <w:rPr>
          <w:rFonts w:ascii="Calibri" w:hAnsi="Calibri"/>
          <w:color w:val="222222"/>
        </w:rPr>
        <w:t>B. Every MoTrPAC dataset is fully open.</w:t>
      </w:r>
    </w:p>
    <w:p>
      <w:pPr>
        <w:keepNext/>
        <w:keepLines/>
      </w:pPr>
      <w:r>
        <w:rPr>
          <w:rFonts w:ascii="Calibri" w:hAnsi="Calibri"/>
          <w:color w:val="222222"/>
        </w:rPr>
        <w:t>C. Access is dataset- and release-dependent; public and restricted paths exist and must be verified.</w:t>
      </w:r>
    </w:p>
    <w:p>
      <w:pPr>
        <w:keepNext w:val="0"/>
        <w:keepLines/>
      </w:pPr>
      <w:r>
        <w:rPr>
          <w:rFonts w:ascii="Calibri" w:hAnsi="Calibri"/>
          <w:color w:val="222222"/>
        </w:rPr>
        <w:t>D. MoTrPAC data can be used only inside All of Us.</w:t>
      </w:r>
    </w:p>
    <w:p>
      <w:pPr>
        <w:keepNext/>
        <w:keepLines/>
      </w:pPr>
      <w:r>
        <w:rPr>
          <w:rFonts w:ascii="Calibri" w:hAnsi="Calibri"/>
          <w:b/>
          <w:color w:val="222222"/>
        </w:rPr>
        <w:t>KC5-02.</w:t>
      </w:r>
      <w:r>
        <w:rPr>
          <w:rFonts w:ascii="Calibri" w:hAnsi="Calibri"/>
          <w:color w:val="222222"/>
        </w:rPr>
        <w:t xml:space="preserve"> What should move into a controlled-compute environment?</w:t>
      </w:r>
    </w:p>
    <w:p>
      <w:pPr>
        <w:keepNext/>
        <w:keepLines/>
      </w:pPr>
      <w:r>
        <w:rPr>
          <w:rFonts w:ascii="Calibri" w:hAnsi="Calibri"/>
          <w:color w:val="222222"/>
        </w:rPr>
        <w:t>A. Approved analysis code and public reference resources that comply with environment policy.</w:t>
      </w:r>
    </w:p>
    <w:p>
      <w:pPr>
        <w:keepNext/>
        <w:keepLines/>
      </w:pPr>
      <w:r>
        <w:rPr>
          <w:rFonts w:ascii="Calibri" w:hAnsi="Calibri"/>
          <w:color w:val="222222"/>
        </w:rPr>
        <w:t>B. A public link that silently downloads participant data to a local laptop.</w:t>
      </w:r>
    </w:p>
    <w:p>
      <w:pPr>
        <w:keepNext/>
        <w:keepLines/>
      </w:pPr>
      <w:r>
        <w:rPr>
          <w:rFonts w:ascii="Calibri" w:hAnsi="Calibri"/>
          <w:color w:val="222222"/>
        </w:rPr>
        <w:t>C. Shared credentials.</w:t>
      </w:r>
    </w:p>
    <w:p>
      <w:pPr>
        <w:keepNext w:val="0"/>
        <w:keepLines/>
      </w:pPr>
      <w:r>
        <w:rPr>
          <w:rFonts w:ascii="Calibri" w:hAnsi="Calibri"/>
          <w:color w:val="222222"/>
        </w:rPr>
        <w:t>D. A module cache populated with participant-level records.</w:t>
      </w:r>
    </w:p>
    <w:p>
      <w:pPr>
        <w:keepNext/>
        <w:keepLines/>
      </w:pPr>
      <w:r>
        <w:rPr>
          <w:rFonts w:ascii="Calibri" w:hAnsi="Calibri"/>
          <w:b/>
          <w:color w:val="222222"/>
        </w:rPr>
        <w:t>KC5-03.</w:t>
      </w:r>
      <w:r>
        <w:rPr>
          <w:rFonts w:ascii="Calibri" w:hAnsi="Calibri"/>
          <w:color w:val="222222"/>
        </w:rPr>
        <w:t xml:space="preserve"> A dataset is publicly downloadable and scientifically incompatible with your target estimand. What is the correct decision?</w:t>
      </w:r>
    </w:p>
    <w:p>
      <w:pPr>
        <w:keepNext/>
        <w:keepLines/>
      </w:pPr>
      <w:r>
        <w:rPr>
          <w:rFonts w:ascii="Calibri" w:hAnsi="Calibri"/>
          <w:color w:val="222222"/>
        </w:rPr>
        <w:t>A. Pool it because access is open.</w:t>
      </w:r>
    </w:p>
    <w:p>
      <w:pPr>
        <w:keepNext/>
        <w:keepLines/>
      </w:pPr>
      <w:r>
        <w:rPr>
          <w:rFonts w:ascii="Calibri" w:hAnsi="Calibri"/>
          <w:color w:val="222222"/>
        </w:rPr>
        <w:t>B. Treat access and scientific compatibility separately; revise or stop the integration.</w:t>
      </w:r>
    </w:p>
    <w:p>
      <w:pPr>
        <w:keepNext/>
        <w:keepLines/>
      </w:pPr>
      <w:r>
        <w:rPr>
          <w:rFonts w:ascii="Calibri" w:hAnsi="Calibri"/>
          <w:color w:val="222222"/>
        </w:rPr>
        <w:t>C. Standardize names and ignore the design.</w:t>
      </w:r>
    </w:p>
    <w:p>
      <w:pPr>
        <w:keepNext w:val="0"/>
        <w:keepLines/>
      </w:pPr>
      <w:r>
        <w:rPr>
          <w:rFonts w:ascii="Calibri" w:hAnsi="Calibri"/>
          <w:color w:val="222222"/>
        </w:rPr>
        <w:t>D. Call it controlled access.</w:t>
      </w:r>
    </w:p>
    <w:p>
      <w:pPr>
        <w:pStyle w:val="Heading2"/>
      </w:pPr>
      <w:r>
        <w:rPr>
          <w:rFonts w:ascii="Calibri" w:hAnsi="Calibri"/>
          <w:color w:val="222222"/>
        </w:rPr>
        <w:t>9. Posttest and transfer commitment</w:t>
      </w:r>
    </w:p>
    <w:p>
      <w:r>
        <w:rPr>
          <w:rFonts w:ascii="Calibri" w:hAnsi="Calibri"/>
          <w:color w:val="222222"/>
        </w:rPr>
        <w:t xml:space="preserve">Complete </w:t>
      </w:r>
      <w:r>
        <w:rPr>
          <w:rFonts w:ascii="Consolas" w:hAnsi="Consolas"/>
          <w:color w:val="1F4D78"/>
          <w:sz w:val="21"/>
          <w:shd w:fill="EEF1F4"/>
        </w:rPr>
        <w:t>module/assessments/posttest.json</w:t>
      </w:r>
      <w:r>
        <w:rPr>
          <w:rFonts w:ascii="Calibri" w:hAnsi="Calibri"/>
          <w:color w:val="222222"/>
        </w:rPr>
        <w:t xml:space="preserve"> through the delivery platform, then finish this statement:</w:t>
      </w:r>
    </w:p>
    <w:p>
      <w:pPr>
        <w:spacing w:before="100" w:after="120"/>
        <w:ind w:left="259" w:right="115"/>
        <w:shd w:fill="F4F6F9"/>
        <w:pBdr>
          <w:left w:val="single" w:sz="16" w:space="8" w:color="2E74B5"/>
        </w:pBdr>
      </w:pPr>
      <w:r>
        <w:rPr>
          <w:rFonts w:ascii="Calibri" w:hAnsi="Calibri"/>
          <w:color w:val="1F4D78"/>
        </w:rPr>
        <w:t>Within the next month, I will apply the workflow to ________. My first evidence check will be ________, and the first incompatibility I will test is ________.</w:t>
      </w:r>
    </w:p>
    <w:p>
      <w:pPr>
        <w:pStyle w:val="Heading2"/>
      </w:pPr>
      <w:r>
        <w:rPr>
          <w:rFonts w:ascii="Calibri" w:hAnsi="Calibri"/>
          <w:color w:val="222222"/>
        </w:rPr>
        <w:t>Final decision rule</w:t>
      </w:r>
    </w:p>
    <w:p>
      <w:r>
        <w:rPr>
          <w:rFonts w:ascii="Calibri" w:hAnsi="Calibri"/>
          <w:color w:val="222222"/>
        </w:rPr>
        <w:t>The harmonization workflow transfers when its logic, provenance, and guardrails are preserved. Access changes the analysis architecture; study design changes the claims. Both must be checked before data move or models run.</w:t>
      </w:r>
    </w:p>
    <w:p>
      <w:pPr>
        <w:pStyle w:val="Heading2"/>
      </w:pPr>
      <w:r>
        <w:rPr>
          <w:rFonts w:ascii="Calibri" w:hAnsi="Calibri"/>
          <w:color w:val="222222"/>
        </w:rPr>
        <w:t>Primary sources and first-party documentation</w:t>
      </w:r>
    </w:p>
    <w:p>
      <w:pPr>
        <w:numPr>
          <w:ilvl w:val="0"/>
          <w:numId w:val="86"/>
        </w:numPr>
        <w:spacing w:after="0" w:line="240" w:lineRule="auto"/>
      </w:pPr>
      <w:r>
        <w:rPr>
          <w:rFonts w:ascii="Calibri" w:hAnsi="Calibri"/>
          <w:color w:val="222222"/>
        </w:rPr>
        <w:t xml:space="preserve">MoTrPAC. </w:t>
      </w:r>
      <w:hyperlink r:id="rId20">
        <w:r>
          <w:rPr>
            <w:rFonts w:ascii="Calibri" w:hAnsi="Calibri"/>
            <w:color w:val="2E74B5"/>
            <w:u w:val="single"/>
            <w:sz w:val="22"/>
          </w:rPr>
          <w:t>Data access FAQ</w:t>
        </w:r>
      </w:hyperlink>
      <w:r>
        <w:rPr>
          <w:rFonts w:ascii="Calibri" w:hAnsi="Calibri"/>
          <w:color w:val="222222"/>
        </w:rPr>
        <w:t>. Accessed August 17, 2026.</w:t>
      </w:r>
    </w:p>
    <w:p>
      <w:pPr>
        <w:numPr>
          <w:ilvl w:val="0"/>
          <w:numId w:val="86"/>
        </w:numPr>
        <w:spacing w:after="0" w:line="240" w:lineRule="auto"/>
      </w:pPr>
      <w:r>
        <w:rPr>
          <w:rFonts w:ascii="Calibri" w:hAnsi="Calibri"/>
          <w:color w:val="222222"/>
        </w:rPr>
        <w:t xml:space="preserve">MoTrPAC. </w:t>
      </w:r>
      <w:hyperlink r:id="rId21">
        <w:r>
          <w:rPr>
            <w:rFonts w:ascii="Calibri" w:hAnsi="Calibri"/>
            <w:color w:val="2E74B5"/>
            <w:u w:val="single"/>
            <w:sz w:val="22"/>
          </w:rPr>
          <w:t>Data Hub access documentation</w:t>
        </w:r>
      </w:hyperlink>
      <w:r>
        <w:rPr>
          <w:rFonts w:ascii="Calibri" w:hAnsi="Calibri"/>
          <w:color w:val="222222"/>
        </w:rPr>
        <w:t xml:space="preserve"> and </w:t>
      </w:r>
      <w:hyperlink r:id="rId36">
        <w:r>
          <w:rPr>
            <w:rFonts w:ascii="Calibri" w:hAnsi="Calibri"/>
            <w:color w:val="2E74B5"/>
            <w:u w:val="single"/>
            <w:sz w:val="22"/>
          </w:rPr>
          <w:t>consortium/restricted onboarding</w:t>
        </w:r>
      </w:hyperlink>
      <w:r>
        <w:rPr>
          <w:rFonts w:ascii="Calibri" w:hAnsi="Calibri"/>
          <w:color w:val="222222"/>
        </w:rPr>
        <w:t>. Accessed August 17, 2026.</w:t>
      </w:r>
    </w:p>
    <w:p>
      <w:pPr>
        <w:numPr>
          <w:ilvl w:val="0"/>
          <w:numId w:val="86"/>
        </w:numPr>
        <w:spacing w:after="0" w:line="240" w:lineRule="auto"/>
      </w:pPr>
      <w:r>
        <w:rPr>
          <w:rFonts w:ascii="Calibri" w:hAnsi="Calibri"/>
          <w:color w:val="222222"/>
        </w:rPr>
        <w:t xml:space="preserve">NIH Common Fund. </w:t>
      </w:r>
      <w:hyperlink r:id="rId22">
        <w:r>
          <w:rPr>
            <w:rFonts w:ascii="Calibri" w:hAnsi="Calibri"/>
            <w:color w:val="2E74B5"/>
            <w:u w:val="single"/>
            <w:sz w:val="22"/>
          </w:rPr>
          <w:t>Nutrition for Precision Health FAQ</w:t>
        </w:r>
      </w:hyperlink>
      <w:r>
        <w:rPr>
          <w:rFonts w:ascii="Calibri" w:hAnsi="Calibri"/>
          <w:color w:val="222222"/>
        </w:rPr>
        <w:t>. Accessed August 10, 2026.</w:t>
      </w:r>
    </w:p>
    <w:p>
      <w:pPr>
        <w:numPr>
          <w:ilvl w:val="0"/>
          <w:numId w:val="86"/>
        </w:numPr>
        <w:spacing w:after="0" w:line="240" w:lineRule="auto"/>
      </w:pPr>
      <w:r>
        <w:rPr>
          <w:rFonts w:ascii="Calibri" w:hAnsi="Calibri"/>
          <w:color w:val="222222"/>
        </w:rPr>
        <w:t xml:space="preserve">All of Us Research Program. </w:t>
      </w:r>
      <w:hyperlink r:id="rId27">
        <w:r>
          <w:rPr>
            <w:rFonts w:ascii="Calibri" w:hAnsi="Calibri"/>
            <w:color w:val="2E74B5"/>
            <w:u w:val="single"/>
            <w:sz w:val="22"/>
          </w:rPr>
          <w:t>Researcher Workbench overview</w:t>
        </w:r>
      </w:hyperlink>
      <w:r>
        <w:rPr>
          <w:rFonts w:ascii="Calibri" w:hAnsi="Calibri"/>
          <w:color w:val="222222"/>
        </w:rPr>
        <w:t>. Accessed August 10, 2026.</w:t>
      </w:r>
    </w:p>
    <w:p>
      <w:pPr>
        <w:numPr>
          <w:ilvl w:val="0"/>
          <w:numId w:val="86"/>
        </w:numPr>
        <w:spacing w:after="0" w:line="240" w:lineRule="auto"/>
      </w:pPr>
      <w:r>
        <w:rPr>
          <w:rFonts w:ascii="Calibri" w:hAnsi="Calibri"/>
          <w:color w:val="222222"/>
        </w:rPr>
        <w:t xml:space="preserve">All of Us Research Program. </w:t>
      </w:r>
      <w:hyperlink r:id="rId37">
        <w:r>
          <w:rPr>
            <w:rFonts w:ascii="Calibri" w:hAnsi="Calibri"/>
            <w:color w:val="2E74B5"/>
            <w:u w:val="single"/>
            <w:sz w:val="22"/>
          </w:rPr>
          <w:t>Policy questions and dissemination guidance</w:t>
        </w:r>
      </w:hyperlink>
      <w:r>
        <w:rPr>
          <w:rFonts w:ascii="Calibri" w:hAnsi="Calibri"/>
          <w:color w:val="222222"/>
        </w:rPr>
        <w:t>. Accessed August 10, 2026.</w:t>
      </w:r>
    </w:p>
    <w:p>
      <w:pPr>
        <w:numPr>
          <w:ilvl w:val="0"/>
          <w:numId w:val="86"/>
        </w:numPr>
        <w:spacing w:after="0" w:line="240" w:lineRule="auto"/>
      </w:pPr>
      <w:r>
        <w:rPr>
          <w:rFonts w:ascii="Calibri" w:hAnsi="Calibri"/>
          <w:color w:val="222222"/>
        </w:rPr>
        <w:t xml:space="preserve">All of Us Research Program. </w:t>
      </w:r>
      <w:hyperlink r:id="rId38">
        <w:r>
          <w:rPr>
            <w:rFonts w:ascii="Calibri" w:hAnsi="Calibri"/>
            <w:color w:val="2E74B5"/>
            <w:u w:val="single"/>
            <w:sz w:val="22"/>
          </w:rPr>
          <w:t>Research project directory and access-tier requirements</w:t>
        </w:r>
      </w:hyperlink>
      <w:r>
        <w:rPr>
          <w:rFonts w:ascii="Calibri" w:hAnsi="Calibri"/>
          <w:color w:val="222222"/>
        </w:rPr>
        <w:t>. Accessed August 10, 2026.</w:t>
      </w:r>
    </w:p>
    <w:p>
      <w:pPr>
        <w:pStyle w:val="Heading1"/>
        <w:pageBreakBefore/>
      </w:pPr>
      <w:r>
        <w:t>Learner posttest</w:t>
      </w:r>
    </w:p>
    <w:p>
      <w:pPr>
        <w:spacing w:after="160"/>
      </w:pPr>
      <w:r>
        <w:rPr>
          <w:rFonts w:ascii="Calibri" w:hAnsi="Calibri"/>
          <w:color w:val="222222"/>
        </w:rPr>
        <w:t>Complete after all five lessons and the notebook. The delivery platform should hide answers and rationales until submission.</w:t>
      </w:r>
    </w:p>
    <w:p>
      <w:pPr>
        <w:spacing w:after="200"/>
      </w:pPr>
      <w:r>
        <w:rPr>
          <w:rFonts w:ascii="Calibri" w:hAnsi="Calibri"/>
          <w:color w:val="222222"/>
        </w:rPr>
        <w:t>Estimated time: 8 minutes</w:t>
      </w:r>
    </w:p>
    <w:p>
      <w:pPr>
        <w:pStyle w:val="Heading2"/>
        <w:keepNext/>
      </w:pPr>
      <w:r>
        <w:rPr>
          <w:rFonts w:ascii="Calibri" w:hAnsi="Calibri"/>
          <w:color w:val="222222"/>
        </w:rPr>
        <w:t>1. The ST001521 factors response contains 160 rows. Which interpretation is supported by the module audit?</w:t>
      </w:r>
    </w:p>
    <w:p>
      <w:pPr>
        <w:keepNext/>
        <w:spacing w:after="60"/>
        <w:ind w:left="547" w:hanging="317"/>
      </w:pPr>
      <w:r>
        <w:rPr>
          <w:rFonts w:ascii="Calibri" w:hAnsi="Calibri"/>
          <w:b/>
          <w:color w:val="1F4D78"/>
        </w:rPr>
        <w:t xml:space="preserve">[ ] A. </w:t>
      </w:r>
      <w:r>
        <w:rPr>
          <w:rFonts w:ascii="Calibri" w:hAnsi="Calibri"/>
          <w:color w:val="222222"/>
        </w:rPr>
        <w:t>There are 160 independent participants.</w:t>
      </w:r>
    </w:p>
    <w:p>
      <w:pPr>
        <w:keepNext/>
        <w:spacing w:after="60"/>
        <w:ind w:left="547" w:hanging="317"/>
      </w:pPr>
      <w:r>
        <w:rPr>
          <w:rFonts w:ascii="Calibri" w:hAnsi="Calibri"/>
          <w:b/>
          <w:color w:val="1F4D78"/>
        </w:rPr>
        <w:t xml:space="preserve">[ ] B. </w:t>
      </w:r>
      <w:r>
        <w:rPr>
          <w:rFonts w:ascii="Calibri" w:hAnsi="Calibri"/>
          <w:color w:val="222222"/>
        </w:rPr>
        <w:t>There are 150 participant-timepoint rows and 10 pooled QPP quality-control rows in the current record.</w:t>
      </w:r>
    </w:p>
    <w:p>
      <w:pPr>
        <w:keepNext/>
        <w:spacing w:after="60"/>
        <w:ind w:left="547" w:hanging="317"/>
      </w:pPr>
      <w:r>
        <w:rPr>
          <w:rFonts w:ascii="Calibri" w:hAnsi="Calibri"/>
          <w:b/>
          <w:color w:val="1F4D78"/>
        </w:rPr>
        <w:t xml:space="preserve">[ ] C. </w:t>
      </w:r>
      <w:r>
        <w:rPr>
          <w:rFonts w:ascii="Calibri" w:hAnsi="Calibri"/>
          <w:color w:val="222222"/>
        </w:rPr>
        <w:t>There are 40 participants measured four times.</w:t>
      </w:r>
    </w:p>
    <w:p>
      <w:pPr>
        <w:keepNext/>
        <w:spacing w:after="60"/>
        <w:ind w:left="547" w:hanging="317"/>
      </w:pPr>
      <w:r>
        <w:rPr>
          <w:rFonts w:ascii="Calibri" w:hAnsi="Calibri"/>
          <w:b/>
          <w:color w:val="1F4D78"/>
        </w:rPr>
        <w:t xml:space="preserve">[ ] D. </w:t>
      </w:r>
      <w:r>
        <w:rPr>
          <w:rFonts w:ascii="Calibri" w:hAnsi="Calibri"/>
          <w:color w:val="222222"/>
        </w:rPr>
        <w:t>The 10 QPP rows should be treated as a fourth diet group.</w:t>
      </w:r>
    </w:p>
    <w:p>
      <w:pPr>
        <w:spacing w:after="160"/>
      </w:pPr>
      <w:r>
        <w:rPr>
          <w:rFonts w:ascii="Calibri" w:hAnsi="Calibri"/>
          <w:i/>
          <w:color w:val="5A6570"/>
          <w:sz w:val="19"/>
        </w:rPr>
        <w:t>Response: ________    Confidence (1-5): ________</w:t>
      </w:r>
    </w:p>
    <w:p>
      <w:pPr>
        <w:pStyle w:val="Heading2"/>
        <w:keepNext/>
      </w:pPr>
      <w:r>
        <w:rPr>
          <w:rFonts w:ascii="Calibri" w:hAnsi="Calibri"/>
          <w:color w:val="222222"/>
        </w:rPr>
        <w:t>2. How should the ST001521 plasma and ST003348 serum specimens be handled?</w:t>
      </w:r>
    </w:p>
    <w:p>
      <w:pPr>
        <w:keepNext/>
        <w:spacing w:after="60"/>
        <w:ind w:left="547" w:hanging="317"/>
      </w:pPr>
      <w:r>
        <w:rPr>
          <w:rFonts w:ascii="Calibri" w:hAnsi="Calibri"/>
          <w:b/>
          <w:color w:val="1F4D78"/>
        </w:rPr>
        <w:t xml:space="preserve">[ ] A. </w:t>
      </w:r>
      <w:r>
        <w:rPr>
          <w:rFonts w:ascii="Calibri" w:hAnsi="Calibri"/>
          <w:color w:val="222222"/>
        </w:rPr>
        <w:t>Rename both blood and pool their peak areas.</w:t>
      </w:r>
    </w:p>
    <w:p>
      <w:pPr>
        <w:keepNext/>
        <w:spacing w:after="60"/>
        <w:ind w:left="547" w:hanging="317"/>
      </w:pPr>
      <w:r>
        <w:rPr>
          <w:rFonts w:ascii="Calibri" w:hAnsi="Calibri"/>
          <w:b/>
          <w:color w:val="1F4D78"/>
        </w:rPr>
        <w:t xml:space="preserve">[ ] B. </w:t>
      </w:r>
      <w:r>
        <w:rPr>
          <w:rFonts w:ascii="Calibri" w:hAnsi="Calibri"/>
          <w:color w:val="222222"/>
        </w:rPr>
        <w:t>Keep exact matrix labels, optionally use a broader blood-derived-fluid category for discovery, and prohibit matrix-equivalent quantitative pooling.</w:t>
      </w:r>
    </w:p>
    <w:p>
      <w:pPr>
        <w:keepNext/>
        <w:spacing w:after="60"/>
        <w:ind w:left="547" w:hanging="317"/>
      </w:pPr>
      <w:r>
        <w:rPr>
          <w:rFonts w:ascii="Calibri" w:hAnsi="Calibri"/>
          <w:b/>
          <w:color w:val="1F4D78"/>
        </w:rPr>
        <w:t xml:space="preserve">[ ] C. </w:t>
      </w:r>
      <w:r>
        <w:rPr>
          <w:rFonts w:ascii="Calibri" w:hAnsi="Calibri"/>
          <w:color w:val="222222"/>
        </w:rPr>
        <w:t>Discard both studies.</w:t>
      </w:r>
    </w:p>
    <w:p>
      <w:pPr>
        <w:keepNext/>
        <w:spacing w:after="60"/>
        <w:ind w:left="547" w:hanging="317"/>
      </w:pPr>
      <w:r>
        <w:rPr>
          <w:rFonts w:ascii="Calibri" w:hAnsi="Calibri"/>
          <w:b/>
          <w:color w:val="1F4D78"/>
        </w:rPr>
        <w:t xml:space="preserve">[ ] D. </w:t>
      </w:r>
      <w:r>
        <w:rPr>
          <w:rFonts w:ascii="Calibri" w:hAnsi="Calibri"/>
          <w:color w:val="222222"/>
        </w:rPr>
        <w:t>Convert serum to plasma using z-scores.</w:t>
      </w:r>
    </w:p>
    <w:p>
      <w:pPr>
        <w:spacing w:after="160"/>
      </w:pPr>
      <w:r>
        <w:rPr>
          <w:rFonts w:ascii="Calibri" w:hAnsi="Calibri"/>
          <w:i/>
          <w:color w:val="5A6570"/>
          <w:sz w:val="19"/>
        </w:rPr>
        <w:t>Response: ________    Confidence (1-5): ________</w:t>
      </w:r>
    </w:p>
    <w:p>
      <w:pPr>
        <w:pStyle w:val="Heading2"/>
        <w:keepNext/>
      </w:pPr>
      <w:r>
        <w:rPr>
          <w:rFonts w:ascii="Calibri" w:hAnsi="Calibri"/>
          <w:color w:val="222222"/>
        </w:rPr>
        <w:t>3. Why should ST001521 Day 9 not be mapped to ST003348 REC3 as a generic post timepoint?</w:t>
      </w:r>
    </w:p>
    <w:p>
      <w:pPr>
        <w:keepNext/>
        <w:spacing w:after="60"/>
        <w:ind w:left="547" w:hanging="317"/>
      </w:pPr>
      <w:r>
        <w:rPr>
          <w:rFonts w:ascii="Calibri" w:hAnsi="Calibri"/>
          <w:b/>
          <w:color w:val="1F4D78"/>
        </w:rPr>
        <w:t xml:space="preserve">[ ] A. </w:t>
      </w:r>
      <w:r>
        <w:rPr>
          <w:rFonts w:ascii="Calibri" w:hAnsi="Calibri"/>
          <w:color w:val="222222"/>
        </w:rPr>
        <w:t>Day 9 is not numeric.</w:t>
      </w:r>
    </w:p>
    <w:p>
      <w:pPr>
        <w:keepNext/>
        <w:spacing w:after="60"/>
        <w:ind w:left="547" w:hanging="317"/>
      </w:pPr>
      <w:r>
        <w:rPr>
          <w:rFonts w:ascii="Calibri" w:hAnsi="Calibri"/>
          <w:b/>
          <w:color w:val="1F4D78"/>
        </w:rPr>
        <w:t xml:space="preserve">[ ] B. </w:t>
      </w:r>
      <w:r>
        <w:rPr>
          <w:rFonts w:ascii="Calibri" w:hAnsi="Calibri"/>
          <w:color w:val="222222"/>
        </w:rPr>
        <w:t>Day 9 belongs to a feeding and antibiotic/PEG protocol, while REC3 is 3 hours after an endurance exercise bout.</w:t>
      </w:r>
    </w:p>
    <w:p>
      <w:pPr>
        <w:keepNext/>
        <w:spacing w:after="60"/>
        <w:ind w:left="547" w:hanging="317"/>
      </w:pPr>
      <w:r>
        <w:rPr>
          <w:rFonts w:ascii="Calibri" w:hAnsi="Calibri"/>
          <w:b/>
          <w:color w:val="1F4D78"/>
        </w:rPr>
        <w:t xml:space="preserve">[ ] C. </w:t>
      </w:r>
      <w:r>
        <w:rPr>
          <w:rFonts w:ascii="Calibri" w:hAnsi="Calibri"/>
          <w:color w:val="222222"/>
        </w:rPr>
        <w:t>REC3 is a quality-control sample.</w:t>
      </w:r>
    </w:p>
    <w:p>
      <w:pPr>
        <w:keepNext/>
        <w:spacing w:after="60"/>
        <w:ind w:left="547" w:hanging="317"/>
      </w:pPr>
      <w:r>
        <w:rPr>
          <w:rFonts w:ascii="Calibri" w:hAnsi="Calibri"/>
          <w:b/>
          <w:color w:val="1F4D78"/>
        </w:rPr>
        <w:t xml:space="preserve">[ ] D. </w:t>
      </w:r>
      <w:r>
        <w:rPr>
          <w:rFonts w:ascii="Calibri" w:hAnsi="Calibri"/>
          <w:color w:val="222222"/>
        </w:rPr>
        <w:t>Metabolomics Workbench prohibits time mapping.</w:t>
      </w:r>
    </w:p>
    <w:p>
      <w:pPr>
        <w:spacing w:after="160"/>
      </w:pPr>
      <w:r>
        <w:rPr>
          <w:rFonts w:ascii="Calibri" w:hAnsi="Calibri"/>
          <w:i/>
          <w:color w:val="5A6570"/>
          <w:sz w:val="19"/>
        </w:rPr>
        <w:t>Response: ________    Confidence (1-5): ________</w:t>
      </w:r>
    </w:p>
    <w:p>
      <w:pPr>
        <w:pStyle w:val="Heading2"/>
        <w:keepNext/>
      </w:pPr>
      <w:r>
        <w:rPr>
          <w:rFonts w:ascii="Calibri" w:hAnsi="Calibri"/>
          <w:color w:val="222222"/>
        </w:rPr>
        <w:t>4. Which statement best describes a direct cross-study diet-versus-exercise quantitative contrast?</w:t>
      </w:r>
    </w:p>
    <w:p>
      <w:pPr>
        <w:keepNext/>
        <w:spacing w:after="60"/>
        <w:ind w:left="547" w:hanging="317"/>
      </w:pPr>
      <w:r>
        <w:rPr>
          <w:rFonts w:ascii="Calibri" w:hAnsi="Calibri"/>
          <w:b/>
          <w:color w:val="1F4D78"/>
        </w:rPr>
        <w:t xml:space="preserve">[ ] A. </w:t>
      </w:r>
      <w:r>
        <w:rPr>
          <w:rFonts w:ascii="Calibri" w:hAnsi="Calibri"/>
          <w:color w:val="222222"/>
        </w:rPr>
        <w:t>It isolates phenotype because both studies use LC-MS.</w:t>
      </w:r>
    </w:p>
    <w:p>
      <w:pPr>
        <w:keepNext/>
        <w:spacing w:after="60"/>
        <w:ind w:left="547" w:hanging="317"/>
      </w:pPr>
      <w:r>
        <w:rPr>
          <w:rFonts w:ascii="Calibri" w:hAnsi="Calibri"/>
          <w:b/>
          <w:color w:val="1F4D78"/>
        </w:rPr>
        <w:t xml:space="preserve">[ ] B. </w:t>
      </w:r>
      <w:r>
        <w:rPr>
          <w:rFonts w:ascii="Calibri" w:hAnsi="Calibri"/>
          <w:color w:val="222222"/>
        </w:rPr>
        <w:t>It is confounded by study, population, matrix, laboratory, platform implementation, time, and protocol, so the module does not use it for causal inference.</w:t>
      </w:r>
    </w:p>
    <w:p>
      <w:pPr>
        <w:keepNext/>
        <w:spacing w:after="60"/>
        <w:ind w:left="547" w:hanging="317"/>
      </w:pPr>
      <w:r>
        <w:rPr>
          <w:rFonts w:ascii="Calibri" w:hAnsi="Calibri"/>
          <w:b/>
          <w:color w:val="1F4D78"/>
        </w:rPr>
        <w:t xml:space="preserve">[ ] C. </w:t>
      </w:r>
      <w:r>
        <w:rPr>
          <w:rFonts w:ascii="Calibri" w:hAnsi="Calibri"/>
          <w:color w:val="222222"/>
        </w:rPr>
        <w:t>It becomes causal after RefMet mapping.</w:t>
      </w:r>
    </w:p>
    <w:p>
      <w:pPr>
        <w:keepNext/>
        <w:spacing w:after="60"/>
        <w:ind w:left="547" w:hanging="317"/>
      </w:pPr>
      <w:r>
        <w:rPr>
          <w:rFonts w:ascii="Calibri" w:hAnsi="Calibri"/>
          <w:b/>
          <w:color w:val="1F4D78"/>
        </w:rPr>
        <w:t xml:space="preserve">[ ] D. </w:t>
      </w:r>
      <w:r>
        <w:rPr>
          <w:rFonts w:ascii="Calibri" w:hAnsi="Calibri"/>
          <w:color w:val="222222"/>
        </w:rPr>
        <w:t>It is valid whenever sample sizes exceed 20.</w:t>
      </w:r>
    </w:p>
    <w:p>
      <w:pPr>
        <w:spacing w:after="160"/>
      </w:pPr>
      <w:r>
        <w:rPr>
          <w:rFonts w:ascii="Calibri" w:hAnsi="Calibri"/>
          <w:i/>
          <w:color w:val="5A6570"/>
          <w:sz w:val="19"/>
        </w:rPr>
        <w:t>Response: ________    Confidence (1-5): ________</w:t>
      </w:r>
    </w:p>
    <w:p>
      <w:pPr>
        <w:pStyle w:val="Heading2"/>
        <w:keepNext/>
      </w:pPr>
      <w:r>
        <w:rPr>
          <w:rFonts w:ascii="Calibri" w:hAnsi="Calibri"/>
          <w:color w:val="222222"/>
        </w:rPr>
        <w:t>5. ST003348 contains isotope/internal-standard labels that map to ordinary RefMet names. What should the biological overlap workflow do?</w:t>
      </w:r>
    </w:p>
    <w:p>
      <w:pPr>
        <w:keepNext/>
        <w:spacing w:after="60"/>
        <w:ind w:left="547" w:hanging="317"/>
      </w:pPr>
      <w:r>
        <w:rPr>
          <w:rFonts w:ascii="Calibri" w:hAnsi="Calibri"/>
          <w:b/>
          <w:color w:val="1F4D78"/>
        </w:rPr>
        <w:t xml:space="preserve">[ ] A. </w:t>
      </w:r>
      <w:r>
        <w:rPr>
          <w:rFonts w:ascii="Calibri" w:hAnsi="Calibri"/>
          <w:color w:val="222222"/>
        </w:rPr>
        <w:t>Count them as endogenous overlaps because RefMet is nonblank.</w:t>
      </w:r>
    </w:p>
    <w:p>
      <w:pPr>
        <w:keepNext/>
        <w:spacing w:after="60"/>
        <w:ind w:left="547" w:hanging="317"/>
      </w:pPr>
      <w:r>
        <w:rPr>
          <w:rFonts w:ascii="Calibri" w:hAnsi="Calibri"/>
          <w:b/>
          <w:color w:val="1F4D78"/>
        </w:rPr>
        <w:t xml:space="preserve">[ ] B. </w:t>
      </w:r>
      <w:r>
        <w:rPr>
          <w:rFonts w:ascii="Calibri" w:hAnsi="Calibri"/>
          <w:color w:val="222222"/>
        </w:rPr>
        <w:t>Preserve the source labels, classify their nonbiological analytical role, and exclude them from biological overlap with a reason.</w:t>
      </w:r>
    </w:p>
    <w:p>
      <w:pPr>
        <w:keepNext/>
        <w:spacing w:after="60"/>
        <w:ind w:left="547" w:hanging="317"/>
      </w:pPr>
      <w:r>
        <w:rPr>
          <w:rFonts w:ascii="Calibri" w:hAnsi="Calibri"/>
          <w:b/>
          <w:color w:val="1F4D78"/>
        </w:rPr>
        <w:t xml:space="preserve">[ ] C. </w:t>
      </w:r>
      <w:r>
        <w:rPr>
          <w:rFonts w:ascii="Calibri" w:hAnsi="Calibri"/>
          <w:color w:val="222222"/>
        </w:rPr>
        <w:t>Delete them without a record.</w:t>
      </w:r>
    </w:p>
    <w:p>
      <w:pPr>
        <w:keepNext/>
        <w:spacing w:after="60"/>
        <w:ind w:left="547" w:hanging="317"/>
      </w:pPr>
      <w:r>
        <w:rPr>
          <w:rFonts w:ascii="Calibri" w:hAnsi="Calibri"/>
          <w:b/>
          <w:color w:val="1F4D78"/>
        </w:rPr>
        <w:t xml:space="preserve">[ ] D. </w:t>
      </w:r>
      <w:r>
        <w:rPr>
          <w:rFonts w:ascii="Calibri" w:hAnsi="Calibri"/>
          <w:color w:val="222222"/>
        </w:rPr>
        <w:t>Use them to calibrate ST001521 automatically.</w:t>
      </w:r>
    </w:p>
    <w:p>
      <w:pPr>
        <w:spacing w:after="160"/>
      </w:pPr>
      <w:r>
        <w:rPr>
          <w:rFonts w:ascii="Calibri" w:hAnsi="Calibri"/>
          <w:i/>
          <w:color w:val="5A6570"/>
          <w:sz w:val="19"/>
        </w:rPr>
        <w:t>Response: ________    Confidence (1-5): ________</w:t>
      </w:r>
    </w:p>
    <w:p>
      <w:pPr>
        <w:pStyle w:val="Heading2"/>
        <w:keepNext/>
      </w:pPr>
      <w:r>
        <w:rPr>
          <w:rFonts w:ascii="Calibri" w:hAnsi="Calibri"/>
          <w:color w:val="222222"/>
        </w:rPr>
        <w:t>6. Two source features in one analysis map to the same RefMet name. What is the reproducible approach?</w:t>
      </w:r>
    </w:p>
    <w:p>
      <w:pPr>
        <w:keepNext/>
        <w:spacing w:after="60"/>
        <w:ind w:left="547" w:hanging="317"/>
      </w:pPr>
      <w:r>
        <w:rPr>
          <w:rFonts w:ascii="Calibri" w:hAnsi="Calibri"/>
          <w:b/>
          <w:color w:val="1F4D78"/>
        </w:rPr>
        <w:t xml:space="preserve">[ ] A. </w:t>
      </w:r>
      <w:r>
        <w:rPr>
          <w:rFonts w:ascii="Calibri" w:hAnsi="Calibri"/>
          <w:color w:val="222222"/>
        </w:rPr>
        <w:t>Average their intensities immediately and discard source IDs.</w:t>
      </w:r>
    </w:p>
    <w:p>
      <w:pPr>
        <w:keepNext/>
        <w:spacing w:after="60"/>
        <w:ind w:left="547" w:hanging="317"/>
      </w:pPr>
      <w:r>
        <w:rPr>
          <w:rFonts w:ascii="Calibri" w:hAnsi="Calibri"/>
          <w:b/>
          <w:color w:val="1F4D78"/>
        </w:rPr>
        <w:t xml:space="preserve">[ ] B. </w:t>
      </w:r>
      <w:r>
        <w:rPr>
          <w:rFonts w:ascii="Calibri" w:hAnsi="Calibri"/>
          <w:color w:val="222222"/>
        </w:rPr>
        <w:t>Keep feature-level rows and provenance, flag the many-to-one mapping, and define a separate collapse rule for any set-level summary.</w:t>
      </w:r>
    </w:p>
    <w:p>
      <w:pPr>
        <w:keepNext/>
        <w:spacing w:after="60"/>
        <w:ind w:left="547" w:hanging="317"/>
      </w:pPr>
      <w:r>
        <w:rPr>
          <w:rFonts w:ascii="Calibri" w:hAnsi="Calibri"/>
          <w:b/>
          <w:color w:val="1F4D78"/>
        </w:rPr>
        <w:t xml:space="preserve">[ ] C. </w:t>
      </w:r>
      <w:r>
        <w:rPr>
          <w:rFonts w:ascii="Calibri" w:hAnsi="Calibri"/>
          <w:color w:val="222222"/>
        </w:rPr>
        <w:t>Choose the feature with the larger mean.</w:t>
      </w:r>
    </w:p>
    <w:p>
      <w:pPr>
        <w:keepNext/>
        <w:spacing w:after="60"/>
        <w:ind w:left="547" w:hanging="317"/>
      </w:pPr>
      <w:r>
        <w:rPr>
          <w:rFonts w:ascii="Calibri" w:hAnsi="Calibri"/>
          <w:b/>
          <w:color w:val="1F4D78"/>
        </w:rPr>
        <w:t xml:space="preserve">[ ] D. </w:t>
      </w:r>
      <w:r>
        <w:rPr>
          <w:rFonts w:ascii="Calibri" w:hAnsi="Calibri"/>
          <w:color w:val="222222"/>
        </w:rPr>
        <w:t>Count the RefMet name twice in the overlap set.</w:t>
      </w:r>
    </w:p>
    <w:p>
      <w:pPr>
        <w:spacing w:after="160"/>
      </w:pPr>
      <w:r>
        <w:rPr>
          <w:rFonts w:ascii="Calibri" w:hAnsi="Calibri"/>
          <w:i/>
          <w:color w:val="5A6570"/>
          <w:sz w:val="19"/>
        </w:rPr>
        <w:t>Response: ________    Confidence (1-5): ________</w:t>
      </w:r>
    </w:p>
    <w:p>
      <w:pPr>
        <w:pStyle w:val="Heading2"/>
        <w:keepNext/>
      </w:pPr>
      <w:r>
        <w:rPr>
          <w:rFonts w:ascii="Calibri" w:hAnsi="Calibri"/>
          <w:color w:val="222222"/>
        </w:rPr>
        <w:t>7. Which overlap report matches the audited module build?</w:t>
      </w:r>
    </w:p>
    <w:p>
      <w:pPr>
        <w:keepNext/>
        <w:spacing w:after="60"/>
        <w:ind w:left="547" w:hanging="317"/>
      </w:pPr>
      <w:r>
        <w:rPr>
          <w:rFonts w:ascii="Calibri" w:hAnsi="Calibri"/>
          <w:b/>
          <w:color w:val="1F4D78"/>
        </w:rPr>
        <w:t xml:space="preserve">[ ] A. </w:t>
      </w:r>
      <w:r>
        <w:rPr>
          <w:rFonts w:ascii="Calibri" w:hAnsi="Calibri"/>
          <w:color w:val="222222"/>
        </w:rPr>
        <w:t>153 proven shared biological responses</w:t>
      </w:r>
    </w:p>
    <w:p>
      <w:pPr>
        <w:keepNext/>
        <w:spacing w:after="60"/>
        <w:ind w:left="547" w:hanging="317"/>
      </w:pPr>
      <w:r>
        <w:rPr>
          <w:rFonts w:ascii="Calibri" w:hAnsi="Calibri"/>
          <w:b/>
          <w:color w:val="1F4D78"/>
        </w:rPr>
        <w:t xml:space="preserve">[ ] B. </w:t>
      </w:r>
      <w:r>
        <w:rPr>
          <w:rFonts w:ascii="Calibri" w:hAnsi="Calibri"/>
          <w:color w:val="222222"/>
        </w:rPr>
        <w:t>153 shared nonblank exact RefMet strings before exclusions; 145 in the conservative biological set after excluding eight ST003348 isotope/internal-standard rows, with all rules versioned</w:t>
      </w:r>
    </w:p>
    <w:p>
      <w:pPr>
        <w:keepNext/>
        <w:spacing w:after="60"/>
        <w:ind w:left="547" w:hanging="317"/>
      </w:pPr>
      <w:r>
        <w:rPr>
          <w:rFonts w:ascii="Calibri" w:hAnsi="Calibri"/>
          <w:b/>
          <w:color w:val="1F4D78"/>
        </w:rPr>
        <w:t xml:space="preserve">[ ] C. </w:t>
      </w:r>
      <w:r>
        <w:rPr>
          <w:rFonts w:ascii="Calibri" w:hAnsi="Calibri"/>
          <w:color w:val="222222"/>
        </w:rPr>
        <w:t>145 directly comparable concentrations</w:t>
      </w:r>
    </w:p>
    <w:p>
      <w:pPr>
        <w:keepNext/>
        <w:spacing w:after="60"/>
        <w:ind w:left="547" w:hanging="317"/>
      </w:pPr>
      <w:r>
        <w:rPr>
          <w:rFonts w:ascii="Calibri" w:hAnsi="Calibri"/>
          <w:b/>
          <w:color w:val="1F4D78"/>
        </w:rPr>
        <w:t xml:space="preserve">[ ] D. </w:t>
      </w:r>
      <w:r>
        <w:rPr>
          <w:rFonts w:ascii="Calibri" w:hAnsi="Calibri"/>
          <w:color w:val="222222"/>
        </w:rPr>
        <w:t>The overlap is undefined because no names can ever be compared</w:t>
      </w:r>
    </w:p>
    <w:p>
      <w:pPr>
        <w:spacing w:after="160"/>
      </w:pPr>
      <w:r>
        <w:rPr>
          <w:rFonts w:ascii="Calibri" w:hAnsi="Calibri"/>
          <w:i/>
          <w:color w:val="5A6570"/>
          <w:sz w:val="19"/>
        </w:rPr>
        <w:t>Response: ________    Confidence (1-5): ________</w:t>
      </w:r>
    </w:p>
    <w:p>
      <w:pPr>
        <w:pStyle w:val="Heading2"/>
        <w:keepNext/>
      </w:pPr>
      <w:r>
        <w:rPr>
          <w:rFonts w:ascii="Calibri" w:hAnsi="Calibri"/>
          <w:color w:val="222222"/>
        </w:rPr>
        <w:t>8. Which PCA plan follows the module guardrails?</w:t>
      </w:r>
    </w:p>
    <w:p>
      <w:pPr>
        <w:keepNext/>
        <w:spacing w:after="60"/>
        <w:ind w:left="547" w:hanging="317"/>
      </w:pPr>
      <w:r>
        <w:rPr>
          <w:rFonts w:ascii="Calibri" w:hAnsi="Calibri"/>
          <w:b/>
          <w:color w:val="1F4D78"/>
        </w:rPr>
        <w:t xml:space="preserve">[ ] A. </w:t>
      </w:r>
      <w:r>
        <w:rPr>
          <w:rFonts w:ascii="Calibri" w:hAnsi="Calibri"/>
          <w:color w:val="222222"/>
        </w:rPr>
        <w:t>Fit separate, documented within-study PCAs; keep repeated measures and sample roles visible; do not stack the uncalibrated raw matrices.</w:t>
      </w:r>
    </w:p>
    <w:p>
      <w:pPr>
        <w:keepNext/>
        <w:spacing w:after="60"/>
        <w:ind w:left="547" w:hanging="317"/>
      </w:pPr>
      <w:r>
        <w:rPr>
          <w:rFonts w:ascii="Calibri" w:hAnsi="Calibri"/>
          <w:b/>
          <w:color w:val="1F4D78"/>
        </w:rPr>
        <w:t xml:space="preserve">[ ] B. </w:t>
      </w:r>
      <w:r>
        <w:rPr>
          <w:rFonts w:ascii="Calibri" w:hAnsi="Calibri"/>
          <w:color w:val="222222"/>
        </w:rPr>
        <w:t>Pool both studies and label the first component diet versus exercise.</w:t>
      </w:r>
    </w:p>
    <w:p>
      <w:pPr>
        <w:keepNext/>
        <w:spacing w:after="60"/>
        <w:ind w:left="547" w:hanging="317"/>
      </w:pPr>
      <w:r>
        <w:rPr>
          <w:rFonts w:ascii="Calibri" w:hAnsi="Calibri"/>
          <w:b/>
          <w:color w:val="1F4D78"/>
        </w:rPr>
        <w:t xml:space="preserve">[ ] C. </w:t>
      </w:r>
      <w:r>
        <w:rPr>
          <w:rFonts w:ascii="Calibri" w:hAnsi="Calibri"/>
          <w:color w:val="222222"/>
        </w:rPr>
        <w:t>Include pooled QPP samples as participants.</w:t>
      </w:r>
    </w:p>
    <w:p>
      <w:pPr>
        <w:keepNext/>
        <w:spacing w:after="60"/>
        <w:ind w:left="547" w:hanging="317"/>
      </w:pPr>
      <w:r>
        <w:rPr>
          <w:rFonts w:ascii="Calibri" w:hAnsi="Calibri"/>
          <w:b/>
          <w:color w:val="1F4D78"/>
        </w:rPr>
        <w:t xml:space="preserve">[ ] D. </w:t>
      </w:r>
      <w:r>
        <w:rPr>
          <w:rFonts w:ascii="Calibri" w:hAnsi="Calibri"/>
          <w:color w:val="222222"/>
        </w:rPr>
        <w:t>Hide preprocessing because PCA is objective.</w:t>
      </w:r>
    </w:p>
    <w:p>
      <w:pPr>
        <w:spacing w:after="160"/>
      </w:pPr>
      <w:r>
        <w:rPr>
          <w:rFonts w:ascii="Calibri" w:hAnsi="Calibri"/>
          <w:i/>
          <w:color w:val="5A6570"/>
          <w:sz w:val="19"/>
        </w:rPr>
        <w:t>Response: ________    Confidence (1-5): ________</w:t>
      </w:r>
    </w:p>
    <w:p>
      <w:pPr>
        <w:pStyle w:val="Heading2"/>
        <w:keepNext/>
      </w:pPr>
      <w:r>
        <w:rPr>
          <w:rFonts w:ascii="Calibri" w:hAnsi="Calibri"/>
          <w:color w:val="222222"/>
        </w:rPr>
        <w:t>9. The live REST request fails and the notebook uses a cached response. What must the analysis report?</w:t>
      </w:r>
    </w:p>
    <w:p>
      <w:pPr>
        <w:keepNext/>
        <w:spacing w:after="60"/>
        <w:ind w:left="547" w:hanging="317"/>
      </w:pPr>
      <w:r>
        <w:rPr>
          <w:rFonts w:ascii="Calibri" w:hAnsi="Calibri"/>
          <w:b/>
          <w:color w:val="1F4D78"/>
        </w:rPr>
        <w:t xml:space="preserve">[ ] A. </w:t>
      </w:r>
      <w:r>
        <w:rPr>
          <w:rFonts w:ascii="Calibri" w:hAnsi="Calibri"/>
          <w:color w:val="222222"/>
        </w:rPr>
        <w:t>Nothing; cache use is invisible to learners.</w:t>
      </w:r>
    </w:p>
    <w:p>
      <w:pPr>
        <w:keepNext/>
        <w:spacing w:after="60"/>
        <w:ind w:left="547" w:hanging="317"/>
      </w:pPr>
      <w:r>
        <w:rPr>
          <w:rFonts w:ascii="Calibri" w:hAnsi="Calibri"/>
          <w:b/>
          <w:color w:val="1F4D78"/>
        </w:rPr>
        <w:t xml:space="preserve">[ ] B. </w:t>
      </w:r>
      <w:r>
        <w:rPr>
          <w:rFonts w:ascii="Calibri" w:hAnsi="Calibri"/>
          <w:color w:val="222222"/>
        </w:rPr>
        <w:t>The failed endpoint/status, cached retrieval time, integrity check, and a visible cached-source flag.</w:t>
      </w:r>
    </w:p>
    <w:p>
      <w:pPr>
        <w:keepNext/>
        <w:spacing w:after="60"/>
        <w:ind w:left="547" w:hanging="317"/>
      </w:pPr>
      <w:r>
        <w:rPr>
          <w:rFonts w:ascii="Calibri" w:hAnsi="Calibri"/>
          <w:b/>
          <w:color w:val="1F4D78"/>
        </w:rPr>
        <w:t xml:space="preserve">[ ] C. </w:t>
      </w:r>
      <w:r>
        <w:rPr>
          <w:rFonts w:ascii="Calibri" w:hAnsi="Calibri"/>
          <w:color w:val="222222"/>
        </w:rPr>
        <w:t>Only the final figure.</w:t>
      </w:r>
    </w:p>
    <w:p>
      <w:pPr>
        <w:keepNext/>
        <w:spacing w:after="60"/>
        <w:ind w:left="547" w:hanging="317"/>
      </w:pPr>
      <w:r>
        <w:rPr>
          <w:rFonts w:ascii="Calibri" w:hAnsi="Calibri"/>
          <w:b/>
          <w:color w:val="1F4D78"/>
        </w:rPr>
        <w:t xml:space="preserve">[ ] D. </w:t>
      </w:r>
      <w:r>
        <w:rPr>
          <w:rFonts w:ascii="Calibri" w:hAnsi="Calibri"/>
          <w:color w:val="222222"/>
        </w:rPr>
        <w:t>A fabricated current access time.</w:t>
      </w:r>
    </w:p>
    <w:p>
      <w:pPr>
        <w:spacing w:after="160"/>
      </w:pPr>
      <w:r>
        <w:rPr>
          <w:rFonts w:ascii="Calibri" w:hAnsi="Calibri"/>
          <w:i/>
          <w:color w:val="5A6570"/>
          <w:sz w:val="19"/>
        </w:rPr>
        <w:t>Response: ________    Confidence (1-5): ________</w:t>
      </w:r>
    </w:p>
    <w:p>
      <w:pPr>
        <w:pStyle w:val="Heading2"/>
        <w:keepNext/>
      </w:pPr>
      <w:r>
        <w:rPr>
          <w:rFonts w:ascii="Calibri" w:hAnsi="Calibri"/>
          <w:color w:val="222222"/>
        </w:rPr>
        <w:t>10. How should MoTrPAC access be described when transferring this workflow?</w:t>
      </w:r>
    </w:p>
    <w:p>
      <w:pPr>
        <w:keepNext/>
        <w:spacing w:after="60"/>
        <w:ind w:left="547" w:hanging="317"/>
      </w:pPr>
      <w:r>
        <w:rPr>
          <w:rFonts w:ascii="Calibri" w:hAnsi="Calibri"/>
          <w:b/>
          <w:color w:val="1F4D78"/>
        </w:rPr>
        <w:t xml:space="preserve">[ ] A. </w:t>
      </w:r>
      <w:r>
        <w:rPr>
          <w:rFonts w:ascii="Calibri" w:hAnsi="Calibri"/>
          <w:color w:val="222222"/>
        </w:rPr>
        <w:t>Uniformly registration-gated</w:t>
      </w:r>
    </w:p>
    <w:p>
      <w:pPr>
        <w:keepNext/>
        <w:spacing w:after="60"/>
        <w:ind w:left="547" w:hanging="317"/>
      </w:pPr>
      <w:r>
        <w:rPr>
          <w:rFonts w:ascii="Calibri" w:hAnsi="Calibri"/>
          <w:b/>
          <w:color w:val="1F4D78"/>
        </w:rPr>
        <w:t xml:space="preserve">[ ] B. </w:t>
      </w:r>
      <w:r>
        <w:rPr>
          <w:rFonts w:ascii="Calibri" w:hAnsi="Calibri"/>
          <w:color w:val="222222"/>
        </w:rPr>
        <w:t>Uniformly unrestricted</w:t>
      </w:r>
    </w:p>
    <w:p>
      <w:pPr>
        <w:keepNext/>
        <w:spacing w:after="60"/>
        <w:ind w:left="547" w:hanging="317"/>
      </w:pPr>
      <w:r>
        <w:rPr>
          <w:rFonts w:ascii="Calibri" w:hAnsi="Calibri"/>
          <w:b/>
          <w:color w:val="1F4D78"/>
        </w:rPr>
        <w:t xml:space="preserve">[ ] C. </w:t>
      </w:r>
      <w:r>
        <w:rPr>
          <w:rFonts w:ascii="Calibri" w:hAnsi="Calibri"/>
          <w:color w:val="222222"/>
        </w:rPr>
        <w:t>Dataset- and release-dependent, with public and restricted paths that require a current first-party check</w:t>
      </w:r>
    </w:p>
    <w:p>
      <w:pPr>
        <w:keepNext/>
        <w:spacing w:after="60"/>
        <w:ind w:left="547" w:hanging="317"/>
      </w:pPr>
      <w:r>
        <w:rPr>
          <w:rFonts w:ascii="Calibri" w:hAnsi="Calibri"/>
          <w:b/>
          <w:color w:val="1F4D78"/>
        </w:rPr>
        <w:t xml:space="preserve">[ ] D. </w:t>
      </w:r>
      <w:r>
        <w:rPr>
          <w:rFonts w:ascii="Calibri" w:hAnsi="Calibri"/>
          <w:color w:val="222222"/>
        </w:rPr>
        <w:t>Available only through the Metabolomics Workbench REST API</w:t>
      </w:r>
    </w:p>
    <w:p>
      <w:pPr>
        <w:spacing w:after="160"/>
      </w:pPr>
      <w:r>
        <w:rPr>
          <w:rFonts w:ascii="Calibri" w:hAnsi="Calibri"/>
          <w:i/>
          <w:color w:val="5A6570"/>
          <w:sz w:val="19"/>
        </w:rPr>
        <w:t>Response: ________    Confidence (1-5): ________</w:t>
      </w:r>
    </w:p>
    <w:p>
      <w:pPr>
        <w:pStyle w:val="Heading2"/>
        <w:keepNext/>
      </w:pPr>
      <w:r>
        <w:rPr>
          <w:rFonts w:ascii="Calibri" w:hAnsi="Calibri"/>
          <w:color w:val="222222"/>
        </w:rPr>
        <w:t>11. What is the appropriate default plan for participant-level NPH data in All of Us?</w:t>
      </w:r>
    </w:p>
    <w:p>
      <w:pPr>
        <w:keepNext/>
        <w:spacing w:after="60"/>
        <w:ind w:left="547" w:hanging="317"/>
      </w:pPr>
      <w:r>
        <w:rPr>
          <w:rFonts w:ascii="Calibri" w:hAnsi="Calibri"/>
          <w:b/>
          <w:color w:val="1F4D78"/>
        </w:rPr>
        <w:t xml:space="preserve">[ ] A. </w:t>
      </w:r>
      <w:r>
        <w:rPr>
          <w:rFonts w:ascii="Calibri" w:hAnsi="Calibri"/>
          <w:color w:val="222222"/>
        </w:rPr>
        <w:t>Copy data to the module's public cache.</w:t>
      </w:r>
    </w:p>
    <w:p>
      <w:pPr>
        <w:keepNext/>
        <w:spacing w:after="60"/>
        <w:ind w:left="547" w:hanging="317"/>
      </w:pPr>
      <w:r>
        <w:rPr>
          <w:rFonts w:ascii="Calibri" w:hAnsi="Calibri"/>
          <w:b/>
          <w:color w:val="1F4D78"/>
        </w:rPr>
        <w:t xml:space="preserve">[ ] B. </w:t>
      </w:r>
      <w:r>
        <w:rPr>
          <w:rFonts w:ascii="Calibri" w:hAnsi="Calibri"/>
          <w:color w:val="222222"/>
        </w:rPr>
        <w:t>Run approved code in the Researcher Workbench, keep governed data there, and export only policy-permitted outputs after checking current requirements.</w:t>
      </w:r>
    </w:p>
    <w:p>
      <w:pPr>
        <w:keepNext/>
        <w:spacing w:after="60"/>
        <w:ind w:left="547" w:hanging="317"/>
      </w:pPr>
      <w:r>
        <w:rPr>
          <w:rFonts w:ascii="Calibri" w:hAnsi="Calibri"/>
          <w:b/>
          <w:color w:val="1F4D78"/>
        </w:rPr>
        <w:t xml:space="preserve">[ ] C. </w:t>
      </w:r>
      <w:r>
        <w:rPr>
          <w:rFonts w:ascii="Calibri" w:hAnsi="Calibri"/>
          <w:color w:val="222222"/>
        </w:rPr>
        <w:t>Share a colleague's credentials.</w:t>
      </w:r>
    </w:p>
    <w:p>
      <w:pPr>
        <w:keepNext/>
        <w:spacing w:after="60"/>
        <w:ind w:left="547" w:hanging="317"/>
      </w:pPr>
      <w:r>
        <w:rPr>
          <w:rFonts w:ascii="Calibri" w:hAnsi="Calibri"/>
          <w:b/>
          <w:color w:val="1F4D78"/>
        </w:rPr>
        <w:t xml:space="preserve">[ ] D. </w:t>
      </w:r>
      <w:r>
        <w:rPr>
          <w:rFonts w:ascii="Calibri" w:hAnsi="Calibri"/>
          <w:color w:val="222222"/>
        </w:rPr>
        <w:t>Assume the MW license applies.</w:t>
      </w:r>
    </w:p>
    <w:p>
      <w:pPr>
        <w:spacing w:after="160"/>
      </w:pPr>
      <w:r>
        <w:rPr>
          <w:rFonts w:ascii="Calibri" w:hAnsi="Calibri"/>
          <w:i/>
          <w:color w:val="5A6570"/>
          <w:sz w:val="19"/>
        </w:rPr>
        <w:t>Response: ________    Confidence (1-5): ________</w:t>
      </w:r>
    </w:p>
    <w:p>
      <w:pPr>
        <w:pStyle w:val="Heading2"/>
        <w:keepNext/>
      </w:pPr>
      <w:r>
        <w:rPr>
          <w:rFonts w:ascii="Calibri" w:hAnsi="Calibri"/>
          <w:color w:val="222222"/>
        </w:rPr>
        <w:t>12. A crosswalk join unexpectedly doubles the number of measurement rows. What should happen next?</w:t>
      </w:r>
    </w:p>
    <w:p>
      <w:pPr>
        <w:keepNext/>
        <w:spacing w:after="60"/>
        <w:ind w:left="547" w:hanging="317"/>
      </w:pPr>
      <w:r>
        <w:rPr>
          <w:rFonts w:ascii="Calibri" w:hAnsi="Calibri"/>
          <w:b/>
          <w:color w:val="1F4D78"/>
        </w:rPr>
        <w:t xml:space="preserve">[ ] A. </w:t>
      </w:r>
      <w:r>
        <w:rPr>
          <w:rFonts w:ascii="Calibri" w:hAnsi="Calibri"/>
          <w:color w:val="222222"/>
        </w:rPr>
        <w:t>Proceed because more rows improve power.</w:t>
      </w:r>
    </w:p>
    <w:p>
      <w:pPr>
        <w:keepNext/>
        <w:spacing w:after="60"/>
        <w:ind w:left="547" w:hanging="317"/>
      </w:pPr>
      <w:r>
        <w:rPr>
          <w:rFonts w:ascii="Calibri" w:hAnsi="Calibri"/>
          <w:b/>
          <w:color w:val="1F4D78"/>
        </w:rPr>
        <w:t xml:space="preserve">[ ] B. </w:t>
      </w:r>
      <w:r>
        <w:rPr>
          <w:rFonts w:ascii="Calibri" w:hAnsi="Calibri"/>
          <w:color w:val="222222"/>
        </w:rPr>
        <w:t>Drop duplicated rows at random.</w:t>
      </w:r>
    </w:p>
    <w:p>
      <w:pPr>
        <w:keepNext/>
        <w:spacing w:after="60"/>
        <w:ind w:left="547" w:hanging="317"/>
      </w:pPr>
      <w:r>
        <w:rPr>
          <w:rFonts w:ascii="Calibri" w:hAnsi="Calibri"/>
          <w:b/>
          <w:color w:val="1F4D78"/>
        </w:rPr>
        <w:t xml:space="preserve">[ ] C. </w:t>
      </w:r>
      <w:r>
        <w:rPr>
          <w:rFonts w:ascii="Calibri" w:hAnsi="Calibri"/>
          <w:color w:val="222222"/>
        </w:rPr>
        <w:t>Stop, inspect key uniqueness and join cardinality, and revise the documented join rule before analysis.</w:t>
      </w:r>
    </w:p>
    <w:p>
      <w:pPr>
        <w:keepNext/>
        <w:spacing w:after="60"/>
        <w:ind w:left="547" w:hanging="317"/>
      </w:pPr>
      <w:r>
        <w:rPr>
          <w:rFonts w:ascii="Calibri" w:hAnsi="Calibri"/>
          <w:b/>
          <w:color w:val="1F4D78"/>
        </w:rPr>
        <w:t xml:space="preserve">[ ] D. </w:t>
      </w:r>
      <w:r>
        <w:rPr>
          <w:rFonts w:ascii="Calibri" w:hAnsi="Calibri"/>
          <w:color w:val="222222"/>
        </w:rPr>
        <w:t>Average all values across both studies.</w:t>
      </w:r>
    </w:p>
    <w:p>
      <w:pPr>
        <w:spacing w:after="160"/>
      </w:pPr>
      <w:r>
        <w:rPr>
          <w:rFonts w:ascii="Calibri" w:hAnsi="Calibri"/>
          <w:i/>
          <w:color w:val="5A6570"/>
          <w:sz w:val="19"/>
        </w:rPr>
        <w:t>Response: ________    Confidence (1-5): ________</w:t>
      </w:r>
    </w:p>
    <w:p>
      <w:r>
        <w:br w:type="page"/>
      </w:r>
    </w:p>
    <w:p>
      <w:pPr>
        <w:pStyle w:val="Heading1"/>
      </w:pPr>
      <w:r>
        <w:rPr>
          <w:rFonts w:ascii="Calibri" w:hAnsi="Calibri"/>
          <w:color w:val="222222"/>
        </w:rPr>
        <w:t>Cohort-comparison worksheet - learner version</w:t>
      </w:r>
    </w:p>
    <w:p>
      <w:r>
        <w:rPr>
          <w:rFonts w:ascii="Calibri" w:hAnsi="Calibri"/>
          <w:b/>
          <w:color w:val="222222"/>
        </w:rPr>
        <w:t>Module:</w:t>
      </w:r>
      <w:r>
        <w:rPr>
          <w:rFonts w:ascii="Calibri" w:hAnsi="Calibri"/>
          <w:color w:val="222222"/>
        </w:rPr>
        <w:t xml:space="preserve"> Metabo-Diet</w:t>
      </w:r>
    </w:p>
    <w:p>
      <w:r>
        <w:rPr>
          <w:rFonts w:ascii="Calibri" w:hAnsi="Calibri"/>
          <w:b/>
          <w:color w:val="222222"/>
        </w:rPr>
        <w:t>Learner:</w:t>
      </w:r>
      <w:r>
        <w:rPr>
          <w:rFonts w:ascii="Calibri" w:hAnsi="Calibri"/>
          <w:color w:val="222222"/>
        </w:rPr>
        <w:t xml:space="preserve"> ____________________</w:t>
      </w:r>
    </w:p>
    <w:p>
      <w:r>
        <w:rPr>
          <w:rFonts w:ascii="Calibri" w:hAnsi="Calibri"/>
          <w:b/>
          <w:color w:val="222222"/>
        </w:rPr>
        <w:t>Date:</w:t>
      </w:r>
      <w:r>
        <w:rPr>
          <w:rFonts w:ascii="Calibri" w:hAnsi="Calibri"/>
          <w:color w:val="222222"/>
        </w:rPr>
        <w:t xml:space="preserve"> ____________________</w:t>
      </w:r>
    </w:p>
    <w:p>
      <w:r>
        <w:rPr>
          <w:rFonts w:ascii="Calibri" w:hAnsi="Calibri"/>
          <w:b/>
          <w:color w:val="222222"/>
        </w:rPr>
        <w:t>Retrieval timezone:</w:t>
      </w:r>
      <w:r>
        <w:rPr>
          <w:rFonts w:ascii="Calibri" w:hAnsi="Calibri"/>
          <w:color w:val="222222"/>
        </w:rPr>
        <w:t xml:space="preserve"> ____________________</w:t>
      </w:r>
    </w:p>
    <w:p>
      <w:pPr>
        <w:pStyle w:val="Heading2"/>
      </w:pPr>
      <w:r>
        <w:rPr>
          <w:rFonts w:ascii="Calibri" w:hAnsi="Calibri"/>
          <w:color w:val="222222"/>
        </w:rPr>
        <w:t>Purpose</w:t>
      </w:r>
    </w:p>
    <w:p>
      <w:r>
        <w:rPr>
          <w:rFonts w:ascii="Calibri" w:hAnsi="Calibri"/>
          <w:color w:val="222222"/>
        </w:rPr>
        <w:t xml:space="preserve">Use this worksheet to compare </w:t>
      </w:r>
      <w:r>
        <w:rPr>
          <w:rFonts w:ascii="Consolas" w:hAnsi="Consolas"/>
          <w:color w:val="1F4D78"/>
          <w:sz w:val="21"/>
          <w:shd w:fill="EEF1F4"/>
        </w:rPr>
        <w:t>DIET_ACCESSION = ST001521</w:t>
      </w:r>
      <w:r>
        <w:rPr>
          <w:rFonts w:ascii="Calibri" w:hAnsi="Calibri"/>
          <w:color w:val="222222"/>
        </w:rPr>
        <w:t xml:space="preserve"> and </w:t>
      </w:r>
      <w:r>
        <w:rPr>
          <w:rFonts w:ascii="Consolas" w:hAnsi="Consolas"/>
          <w:color w:val="1F4D78"/>
          <w:sz w:val="21"/>
          <w:shd w:fill="EEF1F4"/>
        </w:rPr>
        <w:t>EXERCISE_ACCESSION = ST003348</w:t>
      </w:r>
      <w:r>
        <w:rPr>
          <w:rFonts w:ascii="Calibri" w:hAnsi="Calibri"/>
          <w:color w:val="222222"/>
        </w:rPr>
        <w:t xml:space="preserve"> without assuming that a shared label makes records quantitatively exchangeable.</w:t>
      </w:r>
    </w:p>
    <w:p>
      <w:r>
        <w:rPr>
          <w:rFonts w:ascii="Calibri" w:hAnsi="Calibri"/>
          <w:color w:val="222222"/>
        </w:rPr>
        <w:t>Use these codes:</w:t>
      </w:r>
    </w:p>
    <w:p>
      <w:pPr>
        <w:numPr>
          <w:ilvl w:val="0"/>
          <w:numId w:val="87"/>
        </w:numPr>
        <w:spacing w:after="80" w:line="300" w:lineRule="auto"/>
      </w:pPr>
      <w:r>
        <w:rPr>
          <w:rFonts w:ascii="Consolas" w:hAnsi="Consolas"/>
          <w:color w:val="1F4D78"/>
          <w:sz w:val="21"/>
          <w:shd w:fill="EEF1F4"/>
        </w:rPr>
        <w:t>D</w:t>
      </w:r>
      <w:r>
        <w:rPr>
          <w:rFonts w:ascii="Calibri" w:hAnsi="Calibri"/>
          <w:color w:val="222222"/>
        </w:rPr>
        <w:t xml:space="preserve"> - directly comparable for the stated purpose</w:t>
      </w:r>
    </w:p>
    <w:p>
      <w:pPr>
        <w:numPr>
          <w:ilvl w:val="0"/>
          <w:numId w:val="87"/>
        </w:numPr>
        <w:spacing w:after="80" w:line="300" w:lineRule="auto"/>
      </w:pPr>
      <w:r>
        <w:rPr>
          <w:rFonts w:ascii="Consolas" w:hAnsi="Consolas"/>
          <w:color w:val="1F4D78"/>
          <w:sz w:val="21"/>
          <w:shd w:fill="EEF1F4"/>
        </w:rPr>
        <w:t>P</w:t>
      </w:r>
      <w:r>
        <w:rPr>
          <w:rFonts w:ascii="Calibri" w:hAnsi="Calibri"/>
          <w:color w:val="222222"/>
        </w:rPr>
        <w:t xml:space="preserve"> - partially comparable; retain the difference and information loss</w:t>
      </w:r>
    </w:p>
    <w:p>
      <w:pPr>
        <w:numPr>
          <w:ilvl w:val="0"/>
          <w:numId w:val="87"/>
        </w:numPr>
        <w:spacing w:after="80" w:line="300" w:lineRule="auto"/>
      </w:pPr>
      <w:r>
        <w:rPr>
          <w:rFonts w:ascii="Consolas" w:hAnsi="Consolas"/>
          <w:color w:val="1F4D78"/>
          <w:sz w:val="21"/>
          <w:shd w:fill="EEF1F4"/>
        </w:rPr>
        <w:t>N</w:t>
      </w:r>
      <w:r>
        <w:rPr>
          <w:rFonts w:ascii="Calibri" w:hAnsi="Calibri"/>
          <w:color w:val="222222"/>
        </w:rPr>
        <w:t xml:space="preserve"> - not comparable for the stated purpose</w:t>
      </w:r>
    </w:p>
    <w:p>
      <w:pPr>
        <w:numPr>
          <w:ilvl w:val="0"/>
          <w:numId w:val="87"/>
        </w:numPr>
        <w:spacing w:after="80" w:line="300" w:lineRule="auto"/>
      </w:pPr>
      <w:r>
        <w:rPr>
          <w:rFonts w:ascii="Consolas" w:hAnsi="Consolas"/>
          <w:color w:val="1F4D78"/>
          <w:sz w:val="21"/>
          <w:shd w:fill="EEF1F4"/>
        </w:rPr>
        <w:t>U</w:t>
      </w:r>
      <w:r>
        <w:rPr>
          <w:rFonts w:ascii="Calibri" w:hAnsi="Calibri"/>
          <w:color w:val="222222"/>
        </w:rPr>
        <w:t xml:space="preserve"> - not yet assessable from available evidence</w:t>
      </w:r>
    </w:p>
    <w:p>
      <w:pPr>
        <w:numPr>
          <w:ilvl w:val="0"/>
          <w:numId w:val="87"/>
        </w:numPr>
        <w:spacing w:after="80" w:line="300" w:lineRule="auto"/>
      </w:pPr>
      <w:r>
        <w:rPr>
          <w:rFonts w:ascii="Consolas" w:hAnsi="Consolas"/>
          <w:color w:val="1F4D78"/>
          <w:sz w:val="21"/>
          <w:shd w:fill="EEF1F4"/>
        </w:rPr>
        <w:t>NR</w:t>
      </w:r>
      <w:r>
        <w:rPr>
          <w:rFonts w:ascii="Calibri" w:hAnsi="Calibri"/>
          <w:color w:val="222222"/>
        </w:rPr>
        <w:t xml:space="preserve"> - searched but not reported</w:t>
      </w:r>
    </w:p>
    <w:p>
      <w:pPr>
        <w:numPr>
          <w:ilvl w:val="0"/>
          <w:numId w:val="87"/>
        </w:numPr>
        <w:spacing w:after="80" w:line="300" w:lineRule="auto"/>
      </w:pPr>
      <w:r>
        <w:rPr>
          <w:rFonts w:ascii="Consolas" w:hAnsi="Consolas"/>
          <w:color w:val="1F4D78"/>
          <w:sz w:val="21"/>
          <w:shd w:fill="EEF1F4"/>
        </w:rPr>
        <w:t>NA</w:t>
      </w:r>
      <w:r>
        <w:rPr>
          <w:rFonts w:ascii="Calibri" w:hAnsi="Calibri"/>
          <w:color w:val="222222"/>
        </w:rPr>
        <w:t xml:space="preserve"> - not applicable</w:t>
      </w:r>
    </w:p>
    <w:p>
      <w:r>
        <w:rPr>
          <w:rFonts w:ascii="Calibri" w:hAnsi="Calibri"/>
          <w:color w:val="222222"/>
        </w:rPr>
        <w:t>Every factual entry needs a source URL, mwTab block, REST endpoint, publication location, or explicit missingness code.</w:t>
      </w:r>
    </w:p>
    <w:p>
      <w:pPr>
        <w:pStyle w:val="Heading2"/>
      </w:pPr>
      <w:r>
        <w:rPr>
          <w:rFonts w:ascii="Calibri" w:hAnsi="Calibri"/>
          <w:color w:val="222222"/>
        </w:rPr>
        <w:t>1. Comparison purpose and estimand sketch</w:t>
      </w:r>
    </w:p>
    <w:p>
      <w:r>
        <w:rPr>
          <w:rFonts w:ascii="Calibri" w:hAnsi="Calibri"/>
          <w:b/>
          <w:color w:val="222222"/>
        </w:rPr>
        <w:t>Choose one primary purpose:</w:t>
      </w:r>
    </w:p>
    <w:p>
      <w:pPr>
        <w:numPr>
          <w:ilvl w:val="0"/>
          <w:numId w:val="88"/>
        </w:numPr>
        <w:spacing w:after="80" w:line="300" w:lineRule="auto"/>
      </w:pPr>
      <w:r>
        <w:rPr>
          <w:rFonts w:ascii="Calibri" w:hAnsi="Calibri"/>
          <w:color w:val="222222"/>
        </w:rPr>
        <w:t>[ ] Metadata inventory</w:t>
      </w:r>
    </w:p>
    <w:p>
      <w:pPr>
        <w:numPr>
          <w:ilvl w:val="0"/>
          <w:numId w:val="88"/>
        </w:numPr>
        <w:spacing w:after="80" w:line="300" w:lineRule="auto"/>
      </w:pPr>
      <w:r>
        <w:rPr>
          <w:rFonts w:ascii="Calibri" w:hAnsi="Calibri"/>
          <w:color w:val="222222"/>
        </w:rPr>
        <w:t>[ ] Exact standardized-name overlap</w:t>
      </w:r>
    </w:p>
    <w:p>
      <w:pPr>
        <w:numPr>
          <w:ilvl w:val="0"/>
          <w:numId w:val="88"/>
        </w:numPr>
        <w:spacing w:after="80" w:line="300" w:lineRule="auto"/>
      </w:pPr>
      <w:r>
        <w:rPr>
          <w:rFonts w:ascii="Calibri" w:hAnsi="Calibri"/>
          <w:color w:val="222222"/>
        </w:rPr>
        <w:t>[ ] Broad RefMet class coverage</w:t>
      </w:r>
    </w:p>
    <w:p>
      <w:pPr>
        <w:numPr>
          <w:ilvl w:val="0"/>
          <w:numId w:val="88"/>
        </w:numPr>
        <w:spacing w:after="80" w:line="300" w:lineRule="auto"/>
      </w:pPr>
      <w:r>
        <w:rPr>
          <w:rFonts w:ascii="Calibri" w:hAnsi="Calibri"/>
          <w:color w:val="222222"/>
        </w:rPr>
        <w:t>[ ] Within-study change followed by qualitative pattern comparison</w:t>
      </w:r>
    </w:p>
    <w:p>
      <w:pPr>
        <w:numPr>
          <w:ilvl w:val="0"/>
          <w:numId w:val="88"/>
        </w:numPr>
        <w:spacing w:after="80" w:line="300" w:lineRule="auto"/>
      </w:pPr>
      <w:r>
        <w:rPr>
          <w:rFonts w:ascii="Calibri" w:hAnsi="Calibri"/>
          <w:color w:val="222222"/>
        </w:rPr>
        <w:t>[ ] Other non-pooled purpose: ______________________________________</w:t>
      </w:r>
    </w:p>
    <w:p>
      <w:r>
        <w:rPr>
          <w:rFonts w:ascii="Calibri" w:hAnsi="Calibri"/>
          <w:b/>
          <w:color w:val="222222"/>
        </w:rPr>
        <w:t>Population:</w:t>
      </w:r>
      <w:r>
        <w:rPr>
          <w:rFonts w:ascii="Calibri" w:hAnsi="Calibri"/>
          <w:color w:val="222222"/>
        </w:rPr>
        <w:t xml:space="preserve"> ____________________________________________________________</w:t>
      </w:r>
    </w:p>
    <w:p>
      <w:r>
        <w:rPr>
          <w:rFonts w:ascii="Calibri" w:hAnsi="Calibri"/>
          <w:b/>
          <w:color w:val="222222"/>
        </w:rPr>
        <w:t>Exposure/intervention:</w:t>
      </w:r>
      <w:r>
        <w:rPr>
          <w:rFonts w:ascii="Calibri" w:hAnsi="Calibri"/>
          <w:color w:val="222222"/>
        </w:rPr>
        <w:t xml:space="preserve"> _________________________________________________</w:t>
      </w:r>
    </w:p>
    <w:p>
      <w:r>
        <w:rPr>
          <w:rFonts w:ascii="Calibri" w:hAnsi="Calibri"/>
          <w:b/>
          <w:color w:val="222222"/>
        </w:rPr>
        <w:t>Outcome or analyte set:</w:t>
      </w:r>
      <w:r>
        <w:rPr>
          <w:rFonts w:ascii="Calibri" w:hAnsi="Calibri"/>
          <w:color w:val="222222"/>
        </w:rPr>
        <w:t xml:space="preserve"> ________________________________________________</w:t>
      </w:r>
    </w:p>
    <w:p>
      <w:r>
        <w:rPr>
          <w:rFonts w:ascii="Calibri" w:hAnsi="Calibri"/>
          <w:b/>
          <w:color w:val="222222"/>
        </w:rPr>
        <w:t>Biological time definition:</w:t>
      </w:r>
      <w:r>
        <w:rPr>
          <w:rFonts w:ascii="Calibri" w:hAnsi="Calibri"/>
          <w:color w:val="222222"/>
        </w:rPr>
        <w:t xml:space="preserve"> ___________________________________________</w:t>
      </w:r>
    </w:p>
    <w:p>
      <w:r>
        <w:rPr>
          <w:rFonts w:ascii="Calibri" w:hAnsi="Calibri"/>
          <w:b/>
          <w:color w:val="222222"/>
        </w:rPr>
        <w:t>Summary measure:</w:t>
      </w:r>
      <w:r>
        <w:rPr>
          <w:rFonts w:ascii="Calibri" w:hAnsi="Calibri"/>
          <w:color w:val="222222"/>
        </w:rPr>
        <w:t xml:space="preserve"> ______________________________________________________</w:t>
      </w:r>
    </w:p>
    <w:p>
      <w:r>
        <w:rPr>
          <w:rFonts w:ascii="Calibri" w:hAnsi="Calibri"/>
          <w:b/>
          <w:color w:val="222222"/>
        </w:rPr>
        <w:t>What you will not use this comparison to claim:</w:t>
      </w:r>
      <w:r>
        <w:rPr>
          <w:rFonts w:ascii="Calibri" w:hAnsi="Calibri"/>
          <w:color w:val="222222"/>
        </w:rPr>
        <w:t xml:space="preserve"> _______________________</w:t>
      </w:r>
    </w:p>
    <w:p>
      <w:r>
        <w:rPr>
          <w:rFonts w:ascii="Calibri" w:hAnsi="Calibri"/>
          <w:color w:val="222222"/>
        </w:rPr>
        <w:t>For the timed lesson, complete the eight named rows in Section 9 plus the supporting fields in Sections 2, 3, 5, and 6. The remaining rows are a project extension.</w:t>
      </w:r>
    </w:p>
    <w:p>
      <w:pPr>
        <w:pStyle w:val="Heading2"/>
      </w:pPr>
      <w:r>
        <w:rPr>
          <w:rFonts w:ascii="Calibri" w:hAnsi="Calibri"/>
          <w:color w:val="222222"/>
        </w:rPr>
        <w:t>2. Dataset identity and access evidence</w:t>
      </w:r>
    </w:p>
    <w:tbl>
      <w:tblPr>
        <w:tblStyle w:val="TableGrid"/>
        <w:tblW w:type="dxa" w:w="9360"/>
        <w:jc w:val="left"/>
        <w:tblLayout w:type="fixed"/>
        <w:tblLook w:firstColumn="1" w:firstRow="1" w:lastColumn="0" w:lastRow="0" w:noHBand="0" w:noVBand="1" w:val="04A0"/>
        <w:tblInd w:w="120" w:type="dxa"/>
      </w:tblPr>
      <w:tblGrid>
        <w:gridCol w:w="3824"/>
        <w:gridCol w:w="2626"/>
        <w:gridCol w:w="2910"/>
      </w:tblGrid>
      <w:tr>
        <w:trPr>
          <w:cantSplit w:val="true"/>
          <w:tblHeader w:val="true"/>
        </w:trPr>
        <w:tc>
          <w:tcPr>
            <w:tcW w:type="dxa" w:w="3824"/>
            <w:tcMar>
              <w:top w:w="80" w:type="dxa"/>
              <w:bottom w:w="80" w:type="dxa"/>
              <w:start w:w="120" w:type="dxa"/>
              <w:end w:w="120" w:type="dxa"/>
            </w:tcMar>
            <w:vAlign w:val="center"/>
            <w:shd w:fill="E8EEF5"/>
          </w:tcPr>
          <w:p>
            <w:pPr>
              <w:spacing w:before="0" w:after="0" w:line="269" w:lineRule="auto"/>
              <w:jc w:val="left"/>
            </w:pPr>
            <w:r>
              <w:rPr>
                <w:b/>
                <w:color w:val="203748"/>
              </w:rPr>
            </w:r>
            <w:r>
              <w:rPr>
                <w:rFonts w:ascii="Calibri" w:hAnsi="Calibri"/>
                <w:b/>
                <w:color w:val="203748"/>
                <w:sz w:val="18"/>
              </w:rPr>
              <w:t>Field</w:t>
            </w:r>
          </w:p>
        </w:tc>
        <w:tc>
          <w:tcPr>
            <w:tcW w:type="dxa" w:w="2626"/>
            <w:tcMar>
              <w:top w:w="80" w:type="dxa"/>
              <w:bottom w:w="80" w:type="dxa"/>
              <w:start w:w="120" w:type="dxa"/>
              <w:end w:w="120" w:type="dxa"/>
            </w:tcMar>
            <w:vAlign w:val="center"/>
            <w:shd w:fill="E8EEF5"/>
          </w:tcPr>
          <w:p>
            <w:pPr>
              <w:spacing w:before="0" w:after="0" w:line="269" w:lineRule="auto"/>
              <w:jc w:val="center"/>
            </w:pPr>
            <w:r>
              <w:rPr>
                <w:b/>
                <w:color w:val="203748"/>
              </w:rPr>
            </w:r>
            <w:r>
              <w:rPr>
                <w:rFonts w:ascii="Calibri" w:hAnsi="Calibri"/>
                <w:b/>
                <w:color w:val="203748"/>
                <w:sz w:val="18"/>
              </w:rPr>
              <w:t>Diet study</w:t>
            </w:r>
          </w:p>
        </w:tc>
        <w:tc>
          <w:tcPr>
            <w:tcW w:type="dxa" w:w="2910"/>
            <w:tcMar>
              <w:top w:w="80" w:type="dxa"/>
              <w:bottom w:w="80" w:type="dxa"/>
              <w:start w:w="120" w:type="dxa"/>
              <w:end w:w="120" w:type="dxa"/>
            </w:tcMar>
            <w:vAlign w:val="center"/>
            <w:shd w:fill="E8EEF5"/>
          </w:tcPr>
          <w:p>
            <w:pPr>
              <w:spacing w:before="0" w:after="0" w:line="269" w:lineRule="auto"/>
              <w:jc w:val="center"/>
            </w:pPr>
            <w:r>
              <w:rPr>
                <w:b/>
                <w:color w:val="203748"/>
              </w:rPr>
            </w:r>
            <w:r>
              <w:rPr>
                <w:rFonts w:ascii="Calibri" w:hAnsi="Calibri"/>
                <w:b/>
                <w:color w:val="203748"/>
                <w:sz w:val="18"/>
              </w:rPr>
              <w:t>Exercise study</w:t>
            </w:r>
          </w:p>
        </w:tc>
      </w:tr>
      <w:tr>
        <w:trPr>
          <w:cantSplit w:val="true"/>
        </w:trPr>
        <w:tc>
          <w:tcPr>
            <w:tcW w:type="dxa" w:w="3824"/>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Configuration key</w:t>
            </w:r>
          </w:p>
        </w:tc>
        <w:tc>
          <w:tcPr>
            <w:tcW w:type="dxa" w:w="2626"/>
            <w:tcMar>
              <w:top w:w="80" w:type="dxa"/>
              <w:bottom w:w="80" w:type="dxa"/>
              <w:start w:w="120" w:type="dxa"/>
              <w:end w:w="120" w:type="dxa"/>
            </w:tcMar>
            <w:vAlign w:val="center"/>
          </w:tcPr>
          <w:p>
            <w:pPr>
              <w:spacing w:before="0" w:after="0" w:line="269" w:lineRule="auto"/>
              <w:jc w:val="center"/>
            </w:pPr>
            <w:r/>
            <w:r>
              <w:rPr>
                <w:rFonts w:ascii="Consolas" w:hAnsi="Consolas"/>
                <w:color w:val="1F4D78"/>
                <w:sz w:val="17"/>
                <w:shd w:fill="EEF1F4"/>
              </w:rPr>
              <w:t>DIET_ACCESSION</w:t>
            </w:r>
          </w:p>
        </w:tc>
        <w:tc>
          <w:tcPr>
            <w:tcW w:type="dxa" w:w="2910"/>
            <w:tcMar>
              <w:top w:w="80" w:type="dxa"/>
              <w:bottom w:w="80" w:type="dxa"/>
              <w:start w:w="120" w:type="dxa"/>
              <w:end w:w="120" w:type="dxa"/>
            </w:tcMar>
            <w:vAlign w:val="center"/>
          </w:tcPr>
          <w:p>
            <w:pPr>
              <w:spacing w:before="0" w:after="0" w:line="269" w:lineRule="auto"/>
              <w:jc w:val="left"/>
            </w:pPr>
            <w:r/>
            <w:r>
              <w:rPr>
                <w:rFonts w:ascii="Consolas" w:hAnsi="Consolas"/>
                <w:color w:val="1F4D78"/>
                <w:sz w:val="17"/>
                <w:shd w:fill="EEF1F4"/>
              </w:rPr>
              <w:t>EXERCISE_ACCESSION</w:t>
            </w:r>
          </w:p>
        </w:tc>
      </w:tr>
      <w:tr>
        <w:trPr>
          <w:cantSplit w:val="true"/>
        </w:trPr>
        <w:tc>
          <w:tcPr>
            <w:tcW w:type="dxa" w:w="3824"/>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Resolved accession</w:t>
            </w:r>
          </w:p>
        </w:tc>
        <w:tc>
          <w:tcPr>
            <w:tcW w:type="dxa" w:w="2626"/>
            <w:tcMar>
              <w:top w:w="80" w:type="dxa"/>
              <w:bottom w:w="80" w:type="dxa"/>
              <w:start w:w="120" w:type="dxa"/>
              <w:end w:w="120" w:type="dxa"/>
            </w:tcMar>
            <w:vAlign w:val="center"/>
          </w:tcPr>
          <w:p>
            <w:pPr>
              <w:spacing w:before="0" w:after="0" w:line="269" w:lineRule="auto"/>
              <w:jc w:val="center"/>
            </w:pPr>
            <w:r/>
          </w:p>
        </w:tc>
        <w:tc>
          <w:tcPr>
            <w:tcW w:type="dxa" w:w="2910"/>
            <w:tcMar>
              <w:top w:w="80" w:type="dxa"/>
              <w:bottom w:w="80" w:type="dxa"/>
              <w:start w:w="120" w:type="dxa"/>
              <w:end w:w="120" w:type="dxa"/>
            </w:tcMar>
            <w:vAlign w:val="center"/>
          </w:tcPr>
          <w:p>
            <w:pPr>
              <w:spacing w:before="0" w:after="0" w:line="269" w:lineRule="auto"/>
              <w:jc w:val="center"/>
            </w:pPr>
            <w:r/>
          </w:p>
        </w:tc>
      </w:tr>
      <w:tr>
        <w:trPr>
          <w:cantSplit w:val="true"/>
        </w:trPr>
        <w:tc>
          <w:tcPr>
            <w:tcW w:type="dxa" w:w="3824"/>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Study title</w:t>
            </w:r>
          </w:p>
        </w:tc>
        <w:tc>
          <w:tcPr>
            <w:tcW w:type="dxa" w:w="2626"/>
            <w:tcMar>
              <w:top w:w="80" w:type="dxa"/>
              <w:bottom w:w="80" w:type="dxa"/>
              <w:start w:w="120" w:type="dxa"/>
              <w:end w:w="120" w:type="dxa"/>
            </w:tcMar>
            <w:vAlign w:val="center"/>
          </w:tcPr>
          <w:p>
            <w:pPr>
              <w:spacing w:before="0" w:after="0" w:line="269" w:lineRule="auto"/>
              <w:jc w:val="center"/>
            </w:pPr>
            <w:r/>
          </w:p>
        </w:tc>
        <w:tc>
          <w:tcPr>
            <w:tcW w:type="dxa" w:w="2910"/>
            <w:tcMar>
              <w:top w:w="80" w:type="dxa"/>
              <w:bottom w:w="80" w:type="dxa"/>
              <w:start w:w="120" w:type="dxa"/>
              <w:end w:w="120" w:type="dxa"/>
            </w:tcMar>
            <w:vAlign w:val="center"/>
          </w:tcPr>
          <w:p>
            <w:pPr>
              <w:spacing w:before="0" w:after="0" w:line="269" w:lineRule="auto"/>
              <w:jc w:val="center"/>
            </w:pPr>
            <w:r/>
          </w:p>
        </w:tc>
      </w:tr>
      <w:tr>
        <w:trPr>
          <w:cantSplit w:val="true"/>
        </w:trPr>
        <w:tc>
          <w:tcPr>
            <w:tcW w:type="dxa" w:w="3824"/>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Project/study DOI</w:t>
            </w:r>
          </w:p>
        </w:tc>
        <w:tc>
          <w:tcPr>
            <w:tcW w:type="dxa" w:w="2626"/>
            <w:tcMar>
              <w:top w:w="80" w:type="dxa"/>
              <w:bottom w:w="80" w:type="dxa"/>
              <w:start w:w="120" w:type="dxa"/>
              <w:end w:w="120" w:type="dxa"/>
            </w:tcMar>
            <w:vAlign w:val="center"/>
          </w:tcPr>
          <w:p>
            <w:pPr>
              <w:spacing w:before="0" w:after="0" w:line="269" w:lineRule="auto"/>
              <w:jc w:val="center"/>
            </w:pPr>
            <w:r/>
          </w:p>
        </w:tc>
        <w:tc>
          <w:tcPr>
            <w:tcW w:type="dxa" w:w="2910"/>
            <w:tcMar>
              <w:top w:w="80" w:type="dxa"/>
              <w:bottom w:w="80" w:type="dxa"/>
              <w:start w:w="120" w:type="dxa"/>
              <w:end w:w="120" w:type="dxa"/>
            </w:tcMar>
            <w:vAlign w:val="center"/>
          </w:tcPr>
          <w:p>
            <w:pPr>
              <w:spacing w:before="0" w:after="0" w:line="269" w:lineRule="auto"/>
              <w:jc w:val="center"/>
            </w:pPr>
            <w:r/>
          </w:p>
        </w:tc>
      </w:tr>
      <w:tr>
        <w:trPr>
          <w:cantSplit w:val="true"/>
        </w:trPr>
        <w:tc>
          <w:tcPr>
            <w:tcW w:type="dxa" w:w="3824"/>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Study landing page</w:t>
            </w:r>
          </w:p>
        </w:tc>
        <w:tc>
          <w:tcPr>
            <w:tcW w:type="dxa" w:w="2626"/>
            <w:tcMar>
              <w:top w:w="80" w:type="dxa"/>
              <w:bottom w:w="80" w:type="dxa"/>
              <w:start w:w="120" w:type="dxa"/>
              <w:end w:w="120" w:type="dxa"/>
            </w:tcMar>
            <w:vAlign w:val="center"/>
          </w:tcPr>
          <w:p>
            <w:pPr>
              <w:spacing w:before="0" w:after="0" w:line="269" w:lineRule="auto"/>
              <w:jc w:val="center"/>
            </w:pPr>
            <w:r/>
          </w:p>
        </w:tc>
        <w:tc>
          <w:tcPr>
            <w:tcW w:type="dxa" w:w="2910"/>
            <w:tcMar>
              <w:top w:w="80" w:type="dxa"/>
              <w:bottom w:w="80" w:type="dxa"/>
              <w:start w:w="120" w:type="dxa"/>
              <w:end w:w="120" w:type="dxa"/>
            </w:tcMar>
            <w:vAlign w:val="center"/>
          </w:tcPr>
          <w:p>
            <w:pPr>
              <w:spacing w:before="0" w:after="0" w:line="269" w:lineRule="auto"/>
              <w:jc w:val="center"/>
            </w:pPr>
            <w:r/>
          </w:p>
        </w:tc>
      </w:tr>
      <w:tr>
        <w:trPr>
          <w:cantSplit w:val="true"/>
        </w:trPr>
        <w:tc>
          <w:tcPr>
            <w:tcW w:type="dxa" w:w="3824"/>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REST summary endpoint</w:t>
            </w:r>
          </w:p>
        </w:tc>
        <w:tc>
          <w:tcPr>
            <w:tcW w:type="dxa" w:w="2626"/>
            <w:tcMar>
              <w:top w:w="80" w:type="dxa"/>
              <w:bottom w:w="80" w:type="dxa"/>
              <w:start w:w="120" w:type="dxa"/>
              <w:end w:w="120" w:type="dxa"/>
            </w:tcMar>
            <w:vAlign w:val="center"/>
          </w:tcPr>
          <w:p>
            <w:pPr>
              <w:spacing w:before="0" w:after="0" w:line="269" w:lineRule="auto"/>
              <w:jc w:val="center"/>
            </w:pPr>
            <w:r/>
          </w:p>
        </w:tc>
        <w:tc>
          <w:tcPr>
            <w:tcW w:type="dxa" w:w="2910"/>
            <w:tcMar>
              <w:top w:w="80" w:type="dxa"/>
              <w:bottom w:w="80" w:type="dxa"/>
              <w:start w:w="120" w:type="dxa"/>
              <w:end w:w="120" w:type="dxa"/>
            </w:tcMar>
            <w:vAlign w:val="center"/>
          </w:tcPr>
          <w:p>
            <w:pPr>
              <w:spacing w:before="0" w:after="0" w:line="269" w:lineRule="auto"/>
              <w:jc w:val="center"/>
            </w:pPr>
            <w:r/>
          </w:p>
        </w:tc>
      </w:tr>
      <w:tr>
        <w:trPr>
          <w:cantSplit w:val="true"/>
        </w:trPr>
        <w:tc>
          <w:tcPr>
            <w:tcW w:type="dxa" w:w="3824"/>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License shown</w:t>
            </w:r>
          </w:p>
        </w:tc>
        <w:tc>
          <w:tcPr>
            <w:tcW w:type="dxa" w:w="2626"/>
            <w:tcMar>
              <w:top w:w="80" w:type="dxa"/>
              <w:bottom w:w="80" w:type="dxa"/>
              <w:start w:w="120" w:type="dxa"/>
              <w:end w:w="120" w:type="dxa"/>
            </w:tcMar>
            <w:vAlign w:val="center"/>
          </w:tcPr>
          <w:p>
            <w:pPr>
              <w:spacing w:before="0" w:after="0" w:line="269" w:lineRule="auto"/>
              <w:jc w:val="center"/>
            </w:pPr>
            <w:r/>
          </w:p>
        </w:tc>
        <w:tc>
          <w:tcPr>
            <w:tcW w:type="dxa" w:w="2910"/>
            <w:tcMar>
              <w:top w:w="80" w:type="dxa"/>
              <w:bottom w:w="80" w:type="dxa"/>
              <w:start w:w="120" w:type="dxa"/>
              <w:end w:w="120" w:type="dxa"/>
            </w:tcMar>
            <w:vAlign w:val="center"/>
          </w:tcPr>
          <w:p>
            <w:pPr>
              <w:spacing w:before="0" w:after="0" w:line="269" w:lineRule="auto"/>
              <w:jc w:val="center"/>
            </w:pPr>
            <w:r/>
          </w:p>
        </w:tc>
      </w:tr>
      <w:tr>
        <w:trPr>
          <w:cantSplit w:val="true"/>
        </w:trPr>
        <w:tc>
          <w:tcPr>
            <w:tcW w:type="dxa" w:w="3824"/>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Public status check result</w:t>
            </w:r>
          </w:p>
        </w:tc>
        <w:tc>
          <w:tcPr>
            <w:tcW w:type="dxa" w:w="2626"/>
            <w:tcMar>
              <w:top w:w="80" w:type="dxa"/>
              <w:bottom w:w="80" w:type="dxa"/>
              <w:start w:w="120" w:type="dxa"/>
              <w:end w:w="120" w:type="dxa"/>
            </w:tcMar>
            <w:vAlign w:val="center"/>
          </w:tcPr>
          <w:p>
            <w:pPr>
              <w:spacing w:before="0" w:after="0" w:line="269" w:lineRule="auto"/>
              <w:jc w:val="center"/>
            </w:pPr>
            <w:r/>
          </w:p>
        </w:tc>
        <w:tc>
          <w:tcPr>
            <w:tcW w:type="dxa" w:w="2910"/>
            <w:tcMar>
              <w:top w:w="80" w:type="dxa"/>
              <w:bottom w:w="80" w:type="dxa"/>
              <w:start w:w="120" w:type="dxa"/>
              <w:end w:w="120" w:type="dxa"/>
            </w:tcMar>
            <w:vAlign w:val="center"/>
          </w:tcPr>
          <w:p>
            <w:pPr>
              <w:spacing w:before="0" w:after="0" w:line="269" w:lineRule="auto"/>
              <w:jc w:val="center"/>
            </w:pPr>
            <w:r/>
          </w:p>
        </w:tc>
      </w:tr>
      <w:tr>
        <w:trPr>
          <w:cantSplit w:val="true"/>
        </w:trPr>
        <w:tc>
          <w:tcPr>
            <w:tcW w:type="dxa" w:w="3824"/>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Check timestamp, UTC</w:t>
            </w:r>
          </w:p>
        </w:tc>
        <w:tc>
          <w:tcPr>
            <w:tcW w:type="dxa" w:w="2626"/>
            <w:tcMar>
              <w:top w:w="80" w:type="dxa"/>
              <w:bottom w:w="80" w:type="dxa"/>
              <w:start w:w="120" w:type="dxa"/>
              <w:end w:w="120" w:type="dxa"/>
            </w:tcMar>
            <w:vAlign w:val="center"/>
          </w:tcPr>
          <w:p>
            <w:pPr>
              <w:spacing w:before="0" w:after="0" w:line="269" w:lineRule="auto"/>
              <w:jc w:val="center"/>
            </w:pPr>
            <w:r/>
          </w:p>
        </w:tc>
        <w:tc>
          <w:tcPr>
            <w:tcW w:type="dxa" w:w="2910"/>
            <w:tcMar>
              <w:top w:w="80" w:type="dxa"/>
              <w:bottom w:w="80" w:type="dxa"/>
              <w:start w:w="120" w:type="dxa"/>
              <w:end w:w="120" w:type="dxa"/>
            </w:tcMar>
            <w:vAlign w:val="center"/>
          </w:tcPr>
          <w:p>
            <w:pPr>
              <w:spacing w:before="0" w:after="0" w:line="269" w:lineRule="auto"/>
              <w:jc w:val="center"/>
            </w:pPr>
            <w:r/>
          </w:p>
        </w:tc>
      </w:tr>
      <w:tr>
        <w:trPr>
          <w:cantSplit w:val="true"/>
        </w:trPr>
        <w:tc>
          <w:tcPr>
            <w:tcW w:type="dxa" w:w="3824"/>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Live or cached retrieval</w:t>
            </w:r>
          </w:p>
        </w:tc>
        <w:tc>
          <w:tcPr>
            <w:tcW w:type="dxa" w:w="2626"/>
            <w:tcMar>
              <w:top w:w="80" w:type="dxa"/>
              <w:bottom w:w="80" w:type="dxa"/>
              <w:start w:w="120" w:type="dxa"/>
              <w:end w:w="120" w:type="dxa"/>
            </w:tcMar>
            <w:vAlign w:val="center"/>
          </w:tcPr>
          <w:p>
            <w:pPr>
              <w:spacing w:before="0" w:after="0" w:line="269" w:lineRule="auto"/>
              <w:jc w:val="center"/>
            </w:pPr>
            <w:r/>
          </w:p>
        </w:tc>
        <w:tc>
          <w:tcPr>
            <w:tcW w:type="dxa" w:w="2910"/>
            <w:tcMar>
              <w:top w:w="80" w:type="dxa"/>
              <w:bottom w:w="80" w:type="dxa"/>
              <w:start w:w="120" w:type="dxa"/>
              <w:end w:w="120" w:type="dxa"/>
            </w:tcMar>
            <w:vAlign w:val="center"/>
          </w:tcPr>
          <w:p>
            <w:pPr>
              <w:spacing w:before="0" w:after="0" w:line="269" w:lineRule="auto"/>
              <w:jc w:val="center"/>
            </w:pPr>
            <w:r/>
          </w:p>
        </w:tc>
      </w:tr>
      <w:tr>
        <w:trPr>
          <w:cantSplit w:val="true"/>
        </w:trPr>
        <w:tc>
          <w:tcPr>
            <w:tcW w:type="dxa" w:w="3824"/>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Cache timestamp/checksum, if used</w:t>
            </w:r>
          </w:p>
        </w:tc>
        <w:tc>
          <w:tcPr>
            <w:tcW w:type="dxa" w:w="2626"/>
            <w:tcMar>
              <w:top w:w="80" w:type="dxa"/>
              <w:bottom w:w="80" w:type="dxa"/>
              <w:start w:w="120" w:type="dxa"/>
              <w:end w:w="120" w:type="dxa"/>
            </w:tcMar>
            <w:vAlign w:val="center"/>
          </w:tcPr>
          <w:p>
            <w:pPr>
              <w:spacing w:before="0" w:after="0" w:line="269" w:lineRule="auto"/>
              <w:jc w:val="center"/>
            </w:pPr>
            <w:r/>
          </w:p>
        </w:tc>
        <w:tc>
          <w:tcPr>
            <w:tcW w:type="dxa" w:w="2910"/>
            <w:tcMar>
              <w:top w:w="80" w:type="dxa"/>
              <w:bottom w:w="80" w:type="dxa"/>
              <w:start w:w="120" w:type="dxa"/>
              <w:end w:w="120" w:type="dxa"/>
            </w:tcMar>
            <w:vAlign w:val="center"/>
          </w:tcPr>
          <w:p>
            <w:pPr>
              <w:spacing w:before="0" w:after="0" w:line="269" w:lineRule="auto"/>
              <w:jc w:val="center"/>
            </w:pPr>
            <w:r/>
          </w:p>
        </w:tc>
      </w:tr>
    </w:tbl>
    <w:p>
      <w:pPr>
        <w:spacing w:before="0" w:after="40"/>
      </w:pPr>
    </w:p>
    <w:p>
      <w:pPr>
        <w:pStyle w:val="Heading2"/>
      </w:pPr>
      <w:r>
        <w:rPr>
          <w:rFonts w:ascii="Calibri" w:hAnsi="Calibri"/>
          <w:color w:val="222222"/>
        </w:rPr>
        <w:t>3. Study design and population</w:t>
      </w:r>
    </w:p>
    <w:tbl>
      <w:tblPr>
        <w:tblStyle w:val="TableGrid"/>
        <w:tblW w:type="dxa" w:w="9360"/>
        <w:jc w:val="left"/>
        <w:tblLayout w:type="fixed"/>
        <w:tblLook w:firstColumn="1" w:firstRow="1" w:lastColumn="0" w:lastRow="0" w:noHBand="0" w:noVBand="1" w:val="04A0"/>
        <w:tblInd w:w="120" w:type="dxa"/>
      </w:tblPr>
      <w:tblGrid>
        <w:gridCol w:w="2171"/>
        <w:gridCol w:w="1762"/>
        <w:gridCol w:w="1944"/>
        <w:gridCol w:w="1217"/>
        <w:gridCol w:w="2266"/>
      </w:tblGrid>
      <w:tr>
        <w:trPr>
          <w:cantSplit w:val="true"/>
          <w:tblHeader w:val="true"/>
        </w:trPr>
        <w:tc>
          <w:tcPr>
            <w:tcW w:type="dxa" w:w="2171"/>
            <w:tcMar>
              <w:top w:w="80" w:type="dxa"/>
              <w:bottom w:w="80" w:type="dxa"/>
              <w:start w:w="120" w:type="dxa"/>
              <w:end w:w="120" w:type="dxa"/>
            </w:tcMar>
            <w:vAlign w:val="center"/>
            <w:shd w:fill="E8EEF5"/>
          </w:tcPr>
          <w:p>
            <w:pPr>
              <w:spacing w:before="0" w:after="0" w:line="269" w:lineRule="auto"/>
              <w:jc w:val="left"/>
            </w:pPr>
            <w:r>
              <w:rPr>
                <w:b/>
                <w:color w:val="203748"/>
              </w:rPr>
            </w:r>
            <w:r>
              <w:rPr>
                <w:rFonts w:ascii="Calibri" w:hAnsi="Calibri"/>
                <w:b/>
                <w:color w:val="203748"/>
                <w:sz w:val="16"/>
              </w:rPr>
              <w:t>Field</w:t>
            </w:r>
          </w:p>
        </w:tc>
        <w:tc>
          <w:tcPr>
            <w:tcW w:type="dxa" w:w="1762"/>
            <w:tcMar>
              <w:top w:w="80" w:type="dxa"/>
              <w:bottom w:w="80" w:type="dxa"/>
              <w:start w:w="120" w:type="dxa"/>
              <w:end w:w="120" w:type="dxa"/>
            </w:tcMar>
            <w:vAlign w:val="center"/>
            <w:shd w:fill="E8EEF5"/>
          </w:tcPr>
          <w:p>
            <w:pPr>
              <w:spacing w:before="0" w:after="0" w:line="269" w:lineRule="auto"/>
              <w:jc w:val="left"/>
            </w:pPr>
            <w:r>
              <w:rPr>
                <w:b/>
                <w:color w:val="203748"/>
              </w:rPr>
            </w:r>
            <w:r>
              <w:rPr>
                <w:rFonts w:ascii="Calibri" w:hAnsi="Calibri"/>
                <w:b/>
                <w:color w:val="203748"/>
                <w:sz w:val="16"/>
              </w:rPr>
              <w:t>Diet study evidence</w:t>
            </w:r>
          </w:p>
        </w:tc>
        <w:tc>
          <w:tcPr>
            <w:tcW w:type="dxa" w:w="1944"/>
            <w:tcMar>
              <w:top w:w="80" w:type="dxa"/>
              <w:bottom w:w="80" w:type="dxa"/>
              <w:start w:w="120" w:type="dxa"/>
              <w:end w:w="120" w:type="dxa"/>
            </w:tcMar>
            <w:vAlign w:val="center"/>
            <w:shd w:fill="E8EEF5"/>
          </w:tcPr>
          <w:p>
            <w:pPr>
              <w:spacing w:before="0" w:after="0" w:line="269" w:lineRule="auto"/>
              <w:jc w:val="left"/>
            </w:pPr>
            <w:r>
              <w:rPr>
                <w:b/>
                <w:color w:val="203748"/>
              </w:rPr>
            </w:r>
            <w:r>
              <w:rPr>
                <w:rFonts w:ascii="Calibri" w:hAnsi="Calibri"/>
                <w:b/>
                <w:color w:val="203748"/>
                <w:sz w:val="16"/>
              </w:rPr>
              <w:t>Exercise study evidence</w:t>
            </w:r>
          </w:p>
        </w:tc>
        <w:tc>
          <w:tcPr>
            <w:tcW w:type="dxa" w:w="1217"/>
            <w:tcMar>
              <w:top w:w="80" w:type="dxa"/>
              <w:bottom w:w="80" w:type="dxa"/>
              <w:start w:w="120" w:type="dxa"/>
              <w:end w:w="120" w:type="dxa"/>
            </w:tcMar>
            <w:vAlign w:val="center"/>
            <w:shd w:fill="E8EEF5"/>
          </w:tcPr>
          <w:p>
            <w:pPr>
              <w:spacing w:before="0" w:after="0" w:line="269" w:lineRule="auto"/>
              <w:jc w:val="center"/>
            </w:pPr>
            <w:r>
              <w:rPr>
                <w:b/>
                <w:color w:val="203748"/>
              </w:rPr>
            </w:r>
            <w:r>
              <w:rPr>
                <w:rFonts w:ascii="Calibri" w:hAnsi="Calibri"/>
                <w:b/>
                <w:color w:val="203748"/>
                <w:sz w:val="16"/>
              </w:rPr>
              <w:t>D/P/N/U</w:t>
            </w:r>
          </w:p>
        </w:tc>
        <w:tc>
          <w:tcPr>
            <w:tcW w:type="dxa" w:w="2266"/>
            <w:tcMar>
              <w:top w:w="80" w:type="dxa"/>
              <w:bottom w:w="80" w:type="dxa"/>
              <w:start w:w="120" w:type="dxa"/>
              <w:end w:w="120" w:type="dxa"/>
            </w:tcMar>
            <w:vAlign w:val="center"/>
            <w:shd w:fill="E8EEF5"/>
          </w:tcPr>
          <w:p>
            <w:pPr>
              <w:spacing w:before="0" w:after="0" w:line="269" w:lineRule="auto"/>
              <w:jc w:val="left"/>
            </w:pPr>
            <w:r>
              <w:rPr>
                <w:b/>
                <w:color w:val="203748"/>
              </w:rPr>
            </w:r>
            <w:r>
              <w:rPr>
                <w:rFonts w:ascii="Calibri" w:hAnsi="Calibri"/>
                <w:b/>
                <w:color w:val="203748"/>
                <w:sz w:val="16"/>
              </w:rPr>
              <w:t>Justification and intended use</w:t>
            </w:r>
          </w:p>
        </w:tc>
      </w:tr>
      <w:tr>
        <w:trPr>
          <w:cantSplit w:val="true"/>
        </w:trPr>
        <w:tc>
          <w:tcPr>
            <w:tcW w:type="dxa" w:w="2171"/>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Species</w:t>
            </w:r>
          </w:p>
        </w:tc>
        <w:tc>
          <w:tcPr>
            <w:tcW w:type="dxa" w:w="1762"/>
            <w:tcMar>
              <w:top w:w="80" w:type="dxa"/>
              <w:bottom w:w="80" w:type="dxa"/>
              <w:start w:w="120" w:type="dxa"/>
              <w:end w:w="120" w:type="dxa"/>
            </w:tcMar>
            <w:vAlign w:val="center"/>
          </w:tcPr>
          <w:p>
            <w:pPr>
              <w:spacing w:before="0" w:after="0" w:line="269" w:lineRule="auto"/>
              <w:jc w:val="center"/>
            </w:pPr>
            <w:r/>
          </w:p>
        </w:tc>
        <w:tc>
          <w:tcPr>
            <w:tcW w:type="dxa" w:w="1944"/>
            <w:tcMar>
              <w:top w:w="80" w:type="dxa"/>
              <w:bottom w:w="80" w:type="dxa"/>
              <w:start w:w="120" w:type="dxa"/>
              <w:end w:w="120" w:type="dxa"/>
            </w:tcMar>
            <w:vAlign w:val="center"/>
          </w:tcPr>
          <w:p>
            <w:pPr>
              <w:spacing w:before="0" w:after="0" w:line="269" w:lineRule="auto"/>
              <w:jc w:val="center"/>
            </w:pPr>
            <w:r/>
          </w:p>
        </w:tc>
        <w:tc>
          <w:tcPr>
            <w:tcW w:type="dxa" w:w="1217"/>
            <w:tcMar>
              <w:top w:w="80" w:type="dxa"/>
              <w:bottom w:w="80" w:type="dxa"/>
              <w:start w:w="120" w:type="dxa"/>
              <w:end w:w="120" w:type="dxa"/>
            </w:tcMar>
            <w:vAlign w:val="center"/>
          </w:tcPr>
          <w:p>
            <w:pPr>
              <w:spacing w:before="0" w:after="0" w:line="269" w:lineRule="auto"/>
              <w:jc w:val="center"/>
            </w:pPr>
            <w:r/>
          </w:p>
        </w:tc>
        <w:tc>
          <w:tcPr>
            <w:tcW w:type="dxa" w:w="2266"/>
            <w:tcMar>
              <w:top w:w="80" w:type="dxa"/>
              <w:bottom w:w="80" w:type="dxa"/>
              <w:start w:w="120" w:type="dxa"/>
              <w:end w:w="120" w:type="dxa"/>
            </w:tcMar>
            <w:vAlign w:val="center"/>
          </w:tcPr>
          <w:p>
            <w:pPr>
              <w:spacing w:before="0" w:after="0" w:line="269" w:lineRule="auto"/>
              <w:jc w:val="center"/>
            </w:pPr>
            <w:r/>
          </w:p>
        </w:tc>
      </w:tr>
      <w:tr>
        <w:trPr>
          <w:cantSplit w:val="true"/>
        </w:trPr>
        <w:tc>
          <w:tcPr>
            <w:tcW w:type="dxa" w:w="2171"/>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Study design</w:t>
            </w:r>
          </w:p>
        </w:tc>
        <w:tc>
          <w:tcPr>
            <w:tcW w:type="dxa" w:w="1762"/>
            <w:tcMar>
              <w:top w:w="80" w:type="dxa"/>
              <w:bottom w:w="80" w:type="dxa"/>
              <w:start w:w="120" w:type="dxa"/>
              <w:end w:w="120" w:type="dxa"/>
            </w:tcMar>
            <w:vAlign w:val="center"/>
          </w:tcPr>
          <w:p>
            <w:pPr>
              <w:spacing w:before="0" w:after="0" w:line="269" w:lineRule="auto"/>
              <w:jc w:val="center"/>
            </w:pPr>
            <w:r/>
          </w:p>
        </w:tc>
        <w:tc>
          <w:tcPr>
            <w:tcW w:type="dxa" w:w="1944"/>
            <w:tcMar>
              <w:top w:w="80" w:type="dxa"/>
              <w:bottom w:w="80" w:type="dxa"/>
              <w:start w:w="120" w:type="dxa"/>
              <w:end w:w="120" w:type="dxa"/>
            </w:tcMar>
            <w:vAlign w:val="center"/>
          </w:tcPr>
          <w:p>
            <w:pPr>
              <w:spacing w:before="0" w:after="0" w:line="269" w:lineRule="auto"/>
              <w:jc w:val="center"/>
            </w:pPr>
            <w:r/>
          </w:p>
        </w:tc>
        <w:tc>
          <w:tcPr>
            <w:tcW w:type="dxa" w:w="1217"/>
            <w:tcMar>
              <w:top w:w="80" w:type="dxa"/>
              <w:bottom w:w="80" w:type="dxa"/>
              <w:start w:w="120" w:type="dxa"/>
              <w:end w:w="120" w:type="dxa"/>
            </w:tcMar>
            <w:vAlign w:val="center"/>
          </w:tcPr>
          <w:p>
            <w:pPr>
              <w:spacing w:before="0" w:after="0" w:line="269" w:lineRule="auto"/>
              <w:jc w:val="center"/>
            </w:pPr>
            <w:r/>
          </w:p>
        </w:tc>
        <w:tc>
          <w:tcPr>
            <w:tcW w:type="dxa" w:w="2266"/>
            <w:tcMar>
              <w:top w:w="80" w:type="dxa"/>
              <w:bottom w:w="80" w:type="dxa"/>
              <w:start w:w="120" w:type="dxa"/>
              <w:end w:w="120" w:type="dxa"/>
            </w:tcMar>
            <w:vAlign w:val="center"/>
          </w:tcPr>
          <w:p>
            <w:pPr>
              <w:spacing w:before="0" w:after="0" w:line="269" w:lineRule="auto"/>
              <w:jc w:val="center"/>
            </w:pPr>
            <w:r/>
          </w:p>
        </w:tc>
      </w:tr>
      <w:tr>
        <w:trPr>
          <w:cantSplit w:val="true"/>
        </w:trPr>
        <w:tc>
          <w:tcPr>
            <w:tcW w:type="dxa" w:w="2171"/>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Recruitment/setting</w:t>
            </w:r>
          </w:p>
        </w:tc>
        <w:tc>
          <w:tcPr>
            <w:tcW w:type="dxa" w:w="1762"/>
            <w:tcMar>
              <w:top w:w="80" w:type="dxa"/>
              <w:bottom w:w="80" w:type="dxa"/>
              <w:start w:w="120" w:type="dxa"/>
              <w:end w:w="120" w:type="dxa"/>
            </w:tcMar>
            <w:vAlign w:val="center"/>
          </w:tcPr>
          <w:p>
            <w:pPr>
              <w:spacing w:before="0" w:after="0" w:line="269" w:lineRule="auto"/>
              <w:jc w:val="center"/>
            </w:pPr>
            <w:r/>
          </w:p>
        </w:tc>
        <w:tc>
          <w:tcPr>
            <w:tcW w:type="dxa" w:w="1944"/>
            <w:tcMar>
              <w:top w:w="80" w:type="dxa"/>
              <w:bottom w:w="80" w:type="dxa"/>
              <w:start w:w="120" w:type="dxa"/>
              <w:end w:w="120" w:type="dxa"/>
            </w:tcMar>
            <w:vAlign w:val="center"/>
          </w:tcPr>
          <w:p>
            <w:pPr>
              <w:spacing w:before="0" w:after="0" w:line="269" w:lineRule="auto"/>
              <w:jc w:val="center"/>
            </w:pPr>
            <w:r/>
          </w:p>
        </w:tc>
        <w:tc>
          <w:tcPr>
            <w:tcW w:type="dxa" w:w="1217"/>
            <w:tcMar>
              <w:top w:w="80" w:type="dxa"/>
              <w:bottom w:w="80" w:type="dxa"/>
              <w:start w:w="120" w:type="dxa"/>
              <w:end w:w="120" w:type="dxa"/>
            </w:tcMar>
            <w:vAlign w:val="center"/>
          </w:tcPr>
          <w:p>
            <w:pPr>
              <w:spacing w:before="0" w:after="0" w:line="269" w:lineRule="auto"/>
              <w:jc w:val="center"/>
            </w:pPr>
            <w:r/>
          </w:p>
        </w:tc>
        <w:tc>
          <w:tcPr>
            <w:tcW w:type="dxa" w:w="2266"/>
            <w:tcMar>
              <w:top w:w="80" w:type="dxa"/>
              <w:bottom w:w="80" w:type="dxa"/>
              <w:start w:w="120" w:type="dxa"/>
              <w:end w:w="120" w:type="dxa"/>
            </w:tcMar>
            <w:vAlign w:val="center"/>
          </w:tcPr>
          <w:p>
            <w:pPr>
              <w:spacing w:before="0" w:after="0" w:line="269" w:lineRule="auto"/>
              <w:jc w:val="center"/>
            </w:pPr>
            <w:r/>
          </w:p>
        </w:tc>
      </w:tr>
      <w:tr>
        <w:trPr>
          <w:cantSplit w:val="true"/>
        </w:trPr>
        <w:tc>
          <w:tcPr>
            <w:tcW w:type="dxa" w:w="2171"/>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Inclusion/exclusion features</w:t>
            </w:r>
          </w:p>
        </w:tc>
        <w:tc>
          <w:tcPr>
            <w:tcW w:type="dxa" w:w="1762"/>
            <w:tcMar>
              <w:top w:w="80" w:type="dxa"/>
              <w:bottom w:w="80" w:type="dxa"/>
              <w:start w:w="120" w:type="dxa"/>
              <w:end w:w="120" w:type="dxa"/>
            </w:tcMar>
            <w:vAlign w:val="center"/>
          </w:tcPr>
          <w:p>
            <w:pPr>
              <w:spacing w:before="0" w:after="0" w:line="269" w:lineRule="auto"/>
              <w:jc w:val="center"/>
            </w:pPr>
            <w:r/>
          </w:p>
        </w:tc>
        <w:tc>
          <w:tcPr>
            <w:tcW w:type="dxa" w:w="1944"/>
            <w:tcMar>
              <w:top w:w="80" w:type="dxa"/>
              <w:bottom w:w="80" w:type="dxa"/>
              <w:start w:w="120" w:type="dxa"/>
              <w:end w:w="120" w:type="dxa"/>
            </w:tcMar>
            <w:vAlign w:val="center"/>
          </w:tcPr>
          <w:p>
            <w:pPr>
              <w:spacing w:before="0" w:after="0" w:line="269" w:lineRule="auto"/>
              <w:jc w:val="center"/>
            </w:pPr>
            <w:r/>
          </w:p>
        </w:tc>
        <w:tc>
          <w:tcPr>
            <w:tcW w:type="dxa" w:w="1217"/>
            <w:tcMar>
              <w:top w:w="80" w:type="dxa"/>
              <w:bottom w:w="80" w:type="dxa"/>
              <w:start w:w="120" w:type="dxa"/>
              <w:end w:w="120" w:type="dxa"/>
            </w:tcMar>
            <w:vAlign w:val="center"/>
          </w:tcPr>
          <w:p>
            <w:pPr>
              <w:spacing w:before="0" w:after="0" w:line="269" w:lineRule="auto"/>
              <w:jc w:val="center"/>
            </w:pPr>
            <w:r/>
          </w:p>
        </w:tc>
        <w:tc>
          <w:tcPr>
            <w:tcW w:type="dxa" w:w="2266"/>
            <w:tcMar>
              <w:top w:w="80" w:type="dxa"/>
              <w:bottom w:w="80" w:type="dxa"/>
              <w:start w:w="120" w:type="dxa"/>
              <w:end w:w="120" w:type="dxa"/>
            </w:tcMar>
            <w:vAlign w:val="center"/>
          </w:tcPr>
          <w:p>
            <w:pPr>
              <w:spacing w:before="0" w:after="0" w:line="269" w:lineRule="auto"/>
              <w:jc w:val="center"/>
            </w:pPr>
            <w:r/>
          </w:p>
        </w:tc>
      </w:tr>
      <w:tr>
        <w:trPr>
          <w:cantSplit w:val="true"/>
        </w:trPr>
        <w:tc>
          <w:tcPr>
            <w:tcW w:type="dxa" w:w="2171"/>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Participants recruited</w:t>
            </w:r>
          </w:p>
        </w:tc>
        <w:tc>
          <w:tcPr>
            <w:tcW w:type="dxa" w:w="1762"/>
            <w:tcMar>
              <w:top w:w="80" w:type="dxa"/>
              <w:bottom w:w="80" w:type="dxa"/>
              <w:start w:w="120" w:type="dxa"/>
              <w:end w:w="120" w:type="dxa"/>
            </w:tcMar>
            <w:vAlign w:val="center"/>
          </w:tcPr>
          <w:p>
            <w:pPr>
              <w:spacing w:before="0" w:after="0" w:line="269" w:lineRule="auto"/>
              <w:jc w:val="center"/>
            </w:pPr>
            <w:r/>
          </w:p>
        </w:tc>
        <w:tc>
          <w:tcPr>
            <w:tcW w:type="dxa" w:w="1944"/>
            <w:tcMar>
              <w:top w:w="80" w:type="dxa"/>
              <w:bottom w:w="80" w:type="dxa"/>
              <w:start w:w="120" w:type="dxa"/>
              <w:end w:w="120" w:type="dxa"/>
            </w:tcMar>
            <w:vAlign w:val="center"/>
          </w:tcPr>
          <w:p>
            <w:pPr>
              <w:spacing w:before="0" w:after="0" w:line="269" w:lineRule="auto"/>
              <w:jc w:val="center"/>
            </w:pPr>
            <w:r/>
          </w:p>
        </w:tc>
        <w:tc>
          <w:tcPr>
            <w:tcW w:type="dxa" w:w="1217"/>
            <w:tcMar>
              <w:top w:w="80" w:type="dxa"/>
              <w:bottom w:w="80" w:type="dxa"/>
              <w:start w:w="120" w:type="dxa"/>
              <w:end w:w="120" w:type="dxa"/>
            </w:tcMar>
            <w:vAlign w:val="center"/>
          </w:tcPr>
          <w:p>
            <w:pPr>
              <w:spacing w:before="0" w:after="0" w:line="269" w:lineRule="auto"/>
              <w:jc w:val="center"/>
            </w:pPr>
            <w:r/>
          </w:p>
        </w:tc>
        <w:tc>
          <w:tcPr>
            <w:tcW w:type="dxa" w:w="2266"/>
            <w:tcMar>
              <w:top w:w="80" w:type="dxa"/>
              <w:bottom w:w="80" w:type="dxa"/>
              <w:start w:w="120" w:type="dxa"/>
              <w:end w:w="120" w:type="dxa"/>
            </w:tcMar>
            <w:vAlign w:val="center"/>
          </w:tcPr>
          <w:p>
            <w:pPr>
              <w:spacing w:before="0" w:after="0" w:line="269" w:lineRule="auto"/>
              <w:jc w:val="center"/>
            </w:pPr>
            <w:r/>
          </w:p>
        </w:tc>
      </w:tr>
      <w:tr>
        <w:trPr>
          <w:cantSplit w:val="true"/>
        </w:trPr>
        <w:tc>
          <w:tcPr>
            <w:tcW w:type="dxa" w:w="2171"/>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Participants analyzed</w:t>
            </w:r>
          </w:p>
        </w:tc>
        <w:tc>
          <w:tcPr>
            <w:tcW w:type="dxa" w:w="1762"/>
            <w:tcMar>
              <w:top w:w="80" w:type="dxa"/>
              <w:bottom w:w="80" w:type="dxa"/>
              <w:start w:w="120" w:type="dxa"/>
              <w:end w:w="120" w:type="dxa"/>
            </w:tcMar>
            <w:vAlign w:val="center"/>
          </w:tcPr>
          <w:p>
            <w:pPr>
              <w:spacing w:before="0" w:after="0" w:line="269" w:lineRule="auto"/>
              <w:jc w:val="center"/>
            </w:pPr>
            <w:r/>
          </w:p>
        </w:tc>
        <w:tc>
          <w:tcPr>
            <w:tcW w:type="dxa" w:w="1944"/>
            <w:tcMar>
              <w:top w:w="80" w:type="dxa"/>
              <w:bottom w:w="80" w:type="dxa"/>
              <w:start w:w="120" w:type="dxa"/>
              <w:end w:w="120" w:type="dxa"/>
            </w:tcMar>
            <w:vAlign w:val="center"/>
          </w:tcPr>
          <w:p>
            <w:pPr>
              <w:spacing w:before="0" w:after="0" w:line="269" w:lineRule="auto"/>
              <w:jc w:val="center"/>
            </w:pPr>
            <w:r/>
          </w:p>
        </w:tc>
        <w:tc>
          <w:tcPr>
            <w:tcW w:type="dxa" w:w="1217"/>
            <w:tcMar>
              <w:top w:w="80" w:type="dxa"/>
              <w:bottom w:w="80" w:type="dxa"/>
              <w:start w:w="120" w:type="dxa"/>
              <w:end w:w="120" w:type="dxa"/>
            </w:tcMar>
            <w:vAlign w:val="center"/>
          </w:tcPr>
          <w:p>
            <w:pPr>
              <w:spacing w:before="0" w:after="0" w:line="269" w:lineRule="auto"/>
              <w:jc w:val="center"/>
            </w:pPr>
            <w:r/>
          </w:p>
        </w:tc>
        <w:tc>
          <w:tcPr>
            <w:tcW w:type="dxa" w:w="2266"/>
            <w:tcMar>
              <w:top w:w="80" w:type="dxa"/>
              <w:bottom w:w="80" w:type="dxa"/>
              <w:start w:w="120" w:type="dxa"/>
              <w:end w:w="120" w:type="dxa"/>
            </w:tcMar>
            <w:vAlign w:val="center"/>
          </w:tcPr>
          <w:p>
            <w:pPr>
              <w:spacing w:before="0" w:after="0" w:line="269" w:lineRule="auto"/>
              <w:jc w:val="center"/>
            </w:pPr>
            <w:r/>
          </w:p>
        </w:tc>
      </w:tr>
      <w:tr>
        <w:trPr>
          <w:cantSplit w:val="true"/>
        </w:trPr>
        <w:tc>
          <w:tcPr>
            <w:tcW w:type="dxa" w:w="2171"/>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Biological samples</w:t>
            </w:r>
          </w:p>
        </w:tc>
        <w:tc>
          <w:tcPr>
            <w:tcW w:type="dxa" w:w="1762"/>
            <w:tcMar>
              <w:top w:w="80" w:type="dxa"/>
              <w:bottom w:w="80" w:type="dxa"/>
              <w:start w:w="120" w:type="dxa"/>
              <w:end w:w="120" w:type="dxa"/>
            </w:tcMar>
            <w:vAlign w:val="center"/>
          </w:tcPr>
          <w:p>
            <w:pPr>
              <w:spacing w:before="0" w:after="0" w:line="269" w:lineRule="auto"/>
              <w:jc w:val="center"/>
            </w:pPr>
            <w:r/>
          </w:p>
        </w:tc>
        <w:tc>
          <w:tcPr>
            <w:tcW w:type="dxa" w:w="1944"/>
            <w:tcMar>
              <w:top w:w="80" w:type="dxa"/>
              <w:bottom w:w="80" w:type="dxa"/>
              <w:start w:w="120" w:type="dxa"/>
              <w:end w:w="120" w:type="dxa"/>
            </w:tcMar>
            <w:vAlign w:val="center"/>
          </w:tcPr>
          <w:p>
            <w:pPr>
              <w:spacing w:before="0" w:after="0" w:line="269" w:lineRule="auto"/>
              <w:jc w:val="center"/>
            </w:pPr>
            <w:r/>
          </w:p>
        </w:tc>
        <w:tc>
          <w:tcPr>
            <w:tcW w:type="dxa" w:w="1217"/>
            <w:tcMar>
              <w:top w:w="80" w:type="dxa"/>
              <w:bottom w:w="80" w:type="dxa"/>
              <w:start w:w="120" w:type="dxa"/>
              <w:end w:w="120" w:type="dxa"/>
            </w:tcMar>
            <w:vAlign w:val="center"/>
          </w:tcPr>
          <w:p>
            <w:pPr>
              <w:spacing w:before="0" w:after="0" w:line="269" w:lineRule="auto"/>
              <w:jc w:val="center"/>
            </w:pPr>
            <w:r/>
          </w:p>
        </w:tc>
        <w:tc>
          <w:tcPr>
            <w:tcW w:type="dxa" w:w="2266"/>
            <w:tcMar>
              <w:top w:w="80" w:type="dxa"/>
              <w:bottom w:w="80" w:type="dxa"/>
              <w:start w:w="120" w:type="dxa"/>
              <w:end w:w="120" w:type="dxa"/>
            </w:tcMar>
            <w:vAlign w:val="center"/>
          </w:tcPr>
          <w:p>
            <w:pPr>
              <w:spacing w:before="0" w:after="0" w:line="269" w:lineRule="auto"/>
              <w:jc w:val="center"/>
            </w:pPr>
            <w:r/>
          </w:p>
        </w:tc>
      </w:tr>
      <w:tr>
        <w:trPr>
          <w:cantSplit w:val="true"/>
        </w:trPr>
        <w:tc>
          <w:tcPr>
            <w:tcW w:type="dxa" w:w="2171"/>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QC/blank/other samples</w:t>
            </w:r>
          </w:p>
        </w:tc>
        <w:tc>
          <w:tcPr>
            <w:tcW w:type="dxa" w:w="1762"/>
            <w:tcMar>
              <w:top w:w="80" w:type="dxa"/>
              <w:bottom w:w="80" w:type="dxa"/>
              <w:start w:w="120" w:type="dxa"/>
              <w:end w:w="120" w:type="dxa"/>
            </w:tcMar>
            <w:vAlign w:val="center"/>
          </w:tcPr>
          <w:p>
            <w:pPr>
              <w:spacing w:before="0" w:after="0" w:line="269" w:lineRule="auto"/>
              <w:jc w:val="center"/>
            </w:pPr>
            <w:r/>
          </w:p>
        </w:tc>
        <w:tc>
          <w:tcPr>
            <w:tcW w:type="dxa" w:w="1944"/>
            <w:tcMar>
              <w:top w:w="80" w:type="dxa"/>
              <w:bottom w:w="80" w:type="dxa"/>
              <w:start w:w="120" w:type="dxa"/>
              <w:end w:w="120" w:type="dxa"/>
            </w:tcMar>
            <w:vAlign w:val="center"/>
          </w:tcPr>
          <w:p>
            <w:pPr>
              <w:spacing w:before="0" w:after="0" w:line="269" w:lineRule="auto"/>
              <w:jc w:val="center"/>
            </w:pPr>
            <w:r/>
          </w:p>
        </w:tc>
        <w:tc>
          <w:tcPr>
            <w:tcW w:type="dxa" w:w="1217"/>
            <w:tcMar>
              <w:top w:w="80" w:type="dxa"/>
              <w:bottom w:w="80" w:type="dxa"/>
              <w:start w:w="120" w:type="dxa"/>
              <w:end w:w="120" w:type="dxa"/>
            </w:tcMar>
            <w:vAlign w:val="center"/>
          </w:tcPr>
          <w:p>
            <w:pPr>
              <w:spacing w:before="0" w:after="0" w:line="269" w:lineRule="auto"/>
              <w:jc w:val="center"/>
            </w:pPr>
            <w:r/>
          </w:p>
        </w:tc>
        <w:tc>
          <w:tcPr>
            <w:tcW w:type="dxa" w:w="2266"/>
            <w:tcMar>
              <w:top w:w="80" w:type="dxa"/>
              <w:bottom w:w="80" w:type="dxa"/>
              <w:start w:w="120" w:type="dxa"/>
              <w:end w:w="120" w:type="dxa"/>
            </w:tcMar>
            <w:vAlign w:val="center"/>
          </w:tcPr>
          <w:p>
            <w:pPr>
              <w:spacing w:before="0" w:after="0" w:line="269" w:lineRule="auto"/>
              <w:jc w:val="center"/>
            </w:pPr>
            <w:r/>
          </w:p>
        </w:tc>
      </w:tr>
      <w:tr>
        <w:trPr>
          <w:cantSplit w:val="true"/>
        </w:trPr>
        <w:tc>
          <w:tcPr>
            <w:tcW w:type="dxa" w:w="2171"/>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Unit of assignment</w:t>
            </w:r>
          </w:p>
        </w:tc>
        <w:tc>
          <w:tcPr>
            <w:tcW w:type="dxa" w:w="1762"/>
            <w:tcMar>
              <w:top w:w="80" w:type="dxa"/>
              <w:bottom w:w="80" w:type="dxa"/>
              <w:start w:w="120" w:type="dxa"/>
              <w:end w:w="120" w:type="dxa"/>
            </w:tcMar>
            <w:vAlign w:val="center"/>
          </w:tcPr>
          <w:p>
            <w:pPr>
              <w:spacing w:before="0" w:after="0" w:line="269" w:lineRule="auto"/>
              <w:jc w:val="center"/>
            </w:pPr>
            <w:r/>
          </w:p>
        </w:tc>
        <w:tc>
          <w:tcPr>
            <w:tcW w:type="dxa" w:w="1944"/>
            <w:tcMar>
              <w:top w:w="80" w:type="dxa"/>
              <w:bottom w:w="80" w:type="dxa"/>
              <w:start w:w="120" w:type="dxa"/>
              <w:end w:w="120" w:type="dxa"/>
            </w:tcMar>
            <w:vAlign w:val="center"/>
          </w:tcPr>
          <w:p>
            <w:pPr>
              <w:spacing w:before="0" w:after="0" w:line="269" w:lineRule="auto"/>
              <w:jc w:val="center"/>
            </w:pPr>
            <w:r/>
          </w:p>
        </w:tc>
        <w:tc>
          <w:tcPr>
            <w:tcW w:type="dxa" w:w="1217"/>
            <w:tcMar>
              <w:top w:w="80" w:type="dxa"/>
              <w:bottom w:w="80" w:type="dxa"/>
              <w:start w:w="120" w:type="dxa"/>
              <w:end w:w="120" w:type="dxa"/>
            </w:tcMar>
            <w:vAlign w:val="center"/>
          </w:tcPr>
          <w:p>
            <w:pPr>
              <w:spacing w:before="0" w:after="0" w:line="269" w:lineRule="auto"/>
              <w:jc w:val="center"/>
            </w:pPr>
            <w:r/>
          </w:p>
        </w:tc>
        <w:tc>
          <w:tcPr>
            <w:tcW w:type="dxa" w:w="2266"/>
            <w:tcMar>
              <w:top w:w="80" w:type="dxa"/>
              <w:bottom w:w="80" w:type="dxa"/>
              <w:start w:w="120" w:type="dxa"/>
              <w:end w:w="120" w:type="dxa"/>
            </w:tcMar>
            <w:vAlign w:val="center"/>
          </w:tcPr>
          <w:p>
            <w:pPr>
              <w:spacing w:before="0" w:after="0" w:line="269" w:lineRule="auto"/>
              <w:jc w:val="center"/>
            </w:pPr>
            <w:r/>
          </w:p>
        </w:tc>
      </w:tr>
      <w:tr>
        <w:trPr>
          <w:cantSplit w:val="true"/>
        </w:trPr>
        <w:tc>
          <w:tcPr>
            <w:tcW w:type="dxa" w:w="2171"/>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Unit of analysis</w:t>
            </w:r>
          </w:p>
        </w:tc>
        <w:tc>
          <w:tcPr>
            <w:tcW w:type="dxa" w:w="1762"/>
            <w:tcMar>
              <w:top w:w="80" w:type="dxa"/>
              <w:bottom w:w="80" w:type="dxa"/>
              <w:start w:w="120" w:type="dxa"/>
              <w:end w:w="120" w:type="dxa"/>
            </w:tcMar>
            <w:vAlign w:val="center"/>
          </w:tcPr>
          <w:p>
            <w:pPr>
              <w:spacing w:before="0" w:after="0" w:line="269" w:lineRule="auto"/>
              <w:jc w:val="center"/>
            </w:pPr>
            <w:r/>
          </w:p>
        </w:tc>
        <w:tc>
          <w:tcPr>
            <w:tcW w:type="dxa" w:w="1944"/>
            <w:tcMar>
              <w:top w:w="80" w:type="dxa"/>
              <w:bottom w:w="80" w:type="dxa"/>
              <w:start w:w="120" w:type="dxa"/>
              <w:end w:w="120" w:type="dxa"/>
            </w:tcMar>
            <w:vAlign w:val="center"/>
          </w:tcPr>
          <w:p>
            <w:pPr>
              <w:spacing w:before="0" w:after="0" w:line="269" w:lineRule="auto"/>
              <w:jc w:val="center"/>
            </w:pPr>
            <w:r/>
          </w:p>
        </w:tc>
        <w:tc>
          <w:tcPr>
            <w:tcW w:type="dxa" w:w="1217"/>
            <w:tcMar>
              <w:top w:w="80" w:type="dxa"/>
              <w:bottom w:w="80" w:type="dxa"/>
              <w:start w:w="120" w:type="dxa"/>
              <w:end w:w="120" w:type="dxa"/>
            </w:tcMar>
            <w:vAlign w:val="center"/>
          </w:tcPr>
          <w:p>
            <w:pPr>
              <w:spacing w:before="0" w:after="0" w:line="269" w:lineRule="auto"/>
              <w:jc w:val="center"/>
            </w:pPr>
            <w:r/>
          </w:p>
        </w:tc>
        <w:tc>
          <w:tcPr>
            <w:tcW w:type="dxa" w:w="2266"/>
            <w:tcMar>
              <w:top w:w="80" w:type="dxa"/>
              <w:bottom w:w="80" w:type="dxa"/>
              <w:start w:w="120" w:type="dxa"/>
              <w:end w:w="120" w:type="dxa"/>
            </w:tcMar>
            <w:vAlign w:val="center"/>
          </w:tcPr>
          <w:p>
            <w:pPr>
              <w:spacing w:before="0" w:after="0" w:line="269" w:lineRule="auto"/>
              <w:jc w:val="center"/>
            </w:pPr>
            <w:r/>
          </w:p>
        </w:tc>
      </w:tr>
      <w:tr>
        <w:trPr>
          <w:cantSplit w:val="true"/>
        </w:trPr>
        <w:tc>
          <w:tcPr>
            <w:tcW w:type="dxa" w:w="2171"/>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Repeated-measures linkage</w:t>
            </w:r>
          </w:p>
        </w:tc>
        <w:tc>
          <w:tcPr>
            <w:tcW w:type="dxa" w:w="1762"/>
            <w:tcMar>
              <w:top w:w="80" w:type="dxa"/>
              <w:bottom w:w="80" w:type="dxa"/>
              <w:start w:w="120" w:type="dxa"/>
              <w:end w:w="120" w:type="dxa"/>
            </w:tcMar>
            <w:vAlign w:val="center"/>
          </w:tcPr>
          <w:p>
            <w:pPr>
              <w:spacing w:before="0" w:after="0" w:line="269" w:lineRule="auto"/>
              <w:jc w:val="center"/>
            </w:pPr>
            <w:r/>
          </w:p>
        </w:tc>
        <w:tc>
          <w:tcPr>
            <w:tcW w:type="dxa" w:w="1944"/>
            <w:tcMar>
              <w:top w:w="80" w:type="dxa"/>
              <w:bottom w:w="80" w:type="dxa"/>
              <w:start w:w="120" w:type="dxa"/>
              <w:end w:w="120" w:type="dxa"/>
            </w:tcMar>
            <w:vAlign w:val="center"/>
          </w:tcPr>
          <w:p>
            <w:pPr>
              <w:spacing w:before="0" w:after="0" w:line="269" w:lineRule="auto"/>
              <w:jc w:val="center"/>
            </w:pPr>
            <w:r/>
          </w:p>
        </w:tc>
        <w:tc>
          <w:tcPr>
            <w:tcW w:type="dxa" w:w="1217"/>
            <w:tcMar>
              <w:top w:w="80" w:type="dxa"/>
              <w:bottom w:w="80" w:type="dxa"/>
              <w:start w:w="120" w:type="dxa"/>
              <w:end w:w="120" w:type="dxa"/>
            </w:tcMar>
            <w:vAlign w:val="center"/>
          </w:tcPr>
          <w:p>
            <w:pPr>
              <w:spacing w:before="0" w:after="0" w:line="269" w:lineRule="auto"/>
              <w:jc w:val="center"/>
            </w:pPr>
            <w:r/>
          </w:p>
        </w:tc>
        <w:tc>
          <w:tcPr>
            <w:tcW w:type="dxa" w:w="2266"/>
            <w:tcMar>
              <w:top w:w="80" w:type="dxa"/>
              <w:bottom w:w="80" w:type="dxa"/>
              <w:start w:w="120" w:type="dxa"/>
              <w:end w:w="120" w:type="dxa"/>
            </w:tcMar>
            <w:vAlign w:val="center"/>
          </w:tcPr>
          <w:p>
            <w:pPr>
              <w:spacing w:before="0" w:after="0" w:line="269" w:lineRule="auto"/>
              <w:jc w:val="center"/>
            </w:pPr>
            <w:r/>
          </w:p>
        </w:tc>
      </w:tr>
      <w:tr>
        <w:trPr>
          <w:cantSplit w:val="true"/>
        </w:trPr>
        <w:tc>
          <w:tcPr>
            <w:tcW w:type="dxa" w:w="2171"/>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Randomization</w:t>
            </w:r>
          </w:p>
        </w:tc>
        <w:tc>
          <w:tcPr>
            <w:tcW w:type="dxa" w:w="1762"/>
            <w:tcMar>
              <w:top w:w="80" w:type="dxa"/>
              <w:bottom w:w="80" w:type="dxa"/>
              <w:start w:w="120" w:type="dxa"/>
              <w:end w:w="120" w:type="dxa"/>
            </w:tcMar>
            <w:vAlign w:val="center"/>
          </w:tcPr>
          <w:p>
            <w:pPr>
              <w:spacing w:before="0" w:after="0" w:line="269" w:lineRule="auto"/>
              <w:jc w:val="center"/>
            </w:pPr>
            <w:r/>
          </w:p>
        </w:tc>
        <w:tc>
          <w:tcPr>
            <w:tcW w:type="dxa" w:w="1944"/>
            <w:tcMar>
              <w:top w:w="80" w:type="dxa"/>
              <w:bottom w:w="80" w:type="dxa"/>
              <w:start w:w="120" w:type="dxa"/>
              <w:end w:w="120" w:type="dxa"/>
            </w:tcMar>
            <w:vAlign w:val="center"/>
          </w:tcPr>
          <w:p>
            <w:pPr>
              <w:spacing w:before="0" w:after="0" w:line="269" w:lineRule="auto"/>
              <w:jc w:val="center"/>
            </w:pPr>
            <w:r/>
          </w:p>
        </w:tc>
        <w:tc>
          <w:tcPr>
            <w:tcW w:type="dxa" w:w="1217"/>
            <w:tcMar>
              <w:top w:w="80" w:type="dxa"/>
              <w:bottom w:w="80" w:type="dxa"/>
              <w:start w:w="120" w:type="dxa"/>
              <w:end w:w="120" w:type="dxa"/>
            </w:tcMar>
            <w:vAlign w:val="center"/>
          </w:tcPr>
          <w:p>
            <w:pPr>
              <w:spacing w:before="0" w:after="0" w:line="269" w:lineRule="auto"/>
              <w:jc w:val="center"/>
            </w:pPr>
            <w:r/>
          </w:p>
        </w:tc>
        <w:tc>
          <w:tcPr>
            <w:tcW w:type="dxa" w:w="2266"/>
            <w:tcMar>
              <w:top w:w="80" w:type="dxa"/>
              <w:bottom w:w="80" w:type="dxa"/>
              <w:start w:w="120" w:type="dxa"/>
              <w:end w:w="120" w:type="dxa"/>
            </w:tcMar>
            <w:vAlign w:val="center"/>
          </w:tcPr>
          <w:p>
            <w:pPr>
              <w:spacing w:before="0" w:after="0" w:line="269" w:lineRule="auto"/>
              <w:jc w:val="center"/>
            </w:pPr>
            <w:r/>
          </w:p>
        </w:tc>
      </w:tr>
      <w:tr>
        <w:trPr>
          <w:cantSplit w:val="true"/>
        </w:trPr>
        <w:tc>
          <w:tcPr>
            <w:tcW w:type="dxa" w:w="2171"/>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Blinding/masking</w:t>
            </w:r>
          </w:p>
        </w:tc>
        <w:tc>
          <w:tcPr>
            <w:tcW w:type="dxa" w:w="1762"/>
            <w:tcMar>
              <w:top w:w="80" w:type="dxa"/>
              <w:bottom w:w="80" w:type="dxa"/>
              <w:start w:w="120" w:type="dxa"/>
              <w:end w:w="120" w:type="dxa"/>
            </w:tcMar>
            <w:vAlign w:val="center"/>
          </w:tcPr>
          <w:p>
            <w:pPr>
              <w:spacing w:before="0" w:after="0" w:line="269" w:lineRule="auto"/>
              <w:jc w:val="center"/>
            </w:pPr>
            <w:r/>
          </w:p>
        </w:tc>
        <w:tc>
          <w:tcPr>
            <w:tcW w:type="dxa" w:w="1944"/>
            <w:tcMar>
              <w:top w:w="80" w:type="dxa"/>
              <w:bottom w:w="80" w:type="dxa"/>
              <w:start w:w="120" w:type="dxa"/>
              <w:end w:w="120" w:type="dxa"/>
            </w:tcMar>
            <w:vAlign w:val="center"/>
          </w:tcPr>
          <w:p>
            <w:pPr>
              <w:spacing w:before="0" w:after="0" w:line="269" w:lineRule="auto"/>
              <w:jc w:val="center"/>
            </w:pPr>
            <w:r/>
          </w:p>
        </w:tc>
        <w:tc>
          <w:tcPr>
            <w:tcW w:type="dxa" w:w="1217"/>
            <w:tcMar>
              <w:top w:w="80" w:type="dxa"/>
              <w:bottom w:w="80" w:type="dxa"/>
              <w:start w:w="120" w:type="dxa"/>
              <w:end w:w="120" w:type="dxa"/>
            </w:tcMar>
            <w:vAlign w:val="center"/>
          </w:tcPr>
          <w:p>
            <w:pPr>
              <w:spacing w:before="0" w:after="0" w:line="269" w:lineRule="auto"/>
              <w:jc w:val="center"/>
            </w:pPr>
            <w:r/>
          </w:p>
        </w:tc>
        <w:tc>
          <w:tcPr>
            <w:tcW w:type="dxa" w:w="2266"/>
            <w:tcMar>
              <w:top w:w="80" w:type="dxa"/>
              <w:bottom w:w="80" w:type="dxa"/>
              <w:start w:w="120" w:type="dxa"/>
              <w:end w:w="120" w:type="dxa"/>
            </w:tcMar>
            <w:vAlign w:val="center"/>
          </w:tcPr>
          <w:p>
            <w:pPr>
              <w:spacing w:before="0" w:after="0" w:line="269" w:lineRule="auto"/>
              <w:jc w:val="center"/>
            </w:pPr>
            <w:r/>
          </w:p>
        </w:tc>
      </w:tr>
      <w:tr>
        <w:trPr>
          <w:cantSplit w:val="true"/>
        </w:trPr>
        <w:tc>
          <w:tcPr>
            <w:tcW w:type="dxa" w:w="2171"/>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Attrition</w:t>
            </w:r>
          </w:p>
        </w:tc>
        <w:tc>
          <w:tcPr>
            <w:tcW w:type="dxa" w:w="1762"/>
            <w:tcMar>
              <w:top w:w="80" w:type="dxa"/>
              <w:bottom w:w="80" w:type="dxa"/>
              <w:start w:w="120" w:type="dxa"/>
              <w:end w:w="120" w:type="dxa"/>
            </w:tcMar>
            <w:vAlign w:val="center"/>
          </w:tcPr>
          <w:p>
            <w:pPr>
              <w:spacing w:before="0" w:after="0" w:line="269" w:lineRule="auto"/>
              <w:jc w:val="center"/>
            </w:pPr>
            <w:r/>
          </w:p>
        </w:tc>
        <w:tc>
          <w:tcPr>
            <w:tcW w:type="dxa" w:w="1944"/>
            <w:tcMar>
              <w:top w:w="80" w:type="dxa"/>
              <w:bottom w:w="80" w:type="dxa"/>
              <w:start w:w="120" w:type="dxa"/>
              <w:end w:w="120" w:type="dxa"/>
            </w:tcMar>
            <w:vAlign w:val="center"/>
          </w:tcPr>
          <w:p>
            <w:pPr>
              <w:spacing w:before="0" w:after="0" w:line="269" w:lineRule="auto"/>
              <w:jc w:val="center"/>
            </w:pPr>
            <w:r/>
          </w:p>
        </w:tc>
        <w:tc>
          <w:tcPr>
            <w:tcW w:type="dxa" w:w="1217"/>
            <w:tcMar>
              <w:top w:w="80" w:type="dxa"/>
              <w:bottom w:w="80" w:type="dxa"/>
              <w:start w:w="120" w:type="dxa"/>
              <w:end w:w="120" w:type="dxa"/>
            </w:tcMar>
            <w:vAlign w:val="center"/>
          </w:tcPr>
          <w:p>
            <w:pPr>
              <w:spacing w:before="0" w:after="0" w:line="269" w:lineRule="auto"/>
              <w:jc w:val="center"/>
            </w:pPr>
            <w:r/>
          </w:p>
        </w:tc>
        <w:tc>
          <w:tcPr>
            <w:tcW w:type="dxa" w:w="2266"/>
            <w:tcMar>
              <w:top w:w="80" w:type="dxa"/>
              <w:bottom w:w="80" w:type="dxa"/>
              <w:start w:w="120" w:type="dxa"/>
              <w:end w:w="120" w:type="dxa"/>
            </w:tcMar>
            <w:vAlign w:val="center"/>
          </w:tcPr>
          <w:p>
            <w:pPr>
              <w:spacing w:before="0" w:after="0" w:line="269" w:lineRule="auto"/>
              <w:jc w:val="center"/>
            </w:pPr>
            <w:r/>
          </w:p>
        </w:tc>
      </w:tr>
    </w:tbl>
    <w:p>
      <w:pPr>
        <w:spacing w:before="0" w:after="40"/>
      </w:pPr>
    </w:p>
    <w:p>
      <w:pPr>
        <w:pStyle w:val="Heading2"/>
      </w:pPr>
      <w:r>
        <w:rPr>
          <w:rFonts w:ascii="Calibri" w:hAnsi="Calibri"/>
          <w:color w:val="222222"/>
        </w:rPr>
        <w:t>4. Phenotype anchor and intervention</w:t>
      </w:r>
    </w:p>
    <w:tbl>
      <w:tblPr>
        <w:tblStyle w:val="TableGrid"/>
        <w:tblW w:type="dxa" w:w="9360"/>
        <w:jc w:val="left"/>
        <w:tblLayout w:type="fixed"/>
        <w:tblLook w:firstColumn="1" w:firstRow="1" w:lastColumn="0" w:lastRow="0" w:noHBand="0" w:noVBand="1" w:val="04A0"/>
        <w:tblInd w:w="120" w:type="dxa"/>
      </w:tblPr>
      <w:tblGrid>
        <w:gridCol w:w="2237"/>
        <w:gridCol w:w="1747"/>
        <w:gridCol w:w="1925"/>
        <w:gridCol w:w="1212"/>
        <w:gridCol w:w="2239"/>
      </w:tblGrid>
      <w:tr>
        <w:trPr>
          <w:cantSplit w:val="true"/>
          <w:tblHeader w:val="true"/>
        </w:trPr>
        <w:tc>
          <w:tcPr>
            <w:tcW w:type="dxa" w:w="2237"/>
            <w:tcMar>
              <w:top w:w="80" w:type="dxa"/>
              <w:bottom w:w="80" w:type="dxa"/>
              <w:start w:w="120" w:type="dxa"/>
              <w:end w:w="120" w:type="dxa"/>
            </w:tcMar>
            <w:vAlign w:val="center"/>
            <w:shd w:fill="E8EEF5"/>
          </w:tcPr>
          <w:p>
            <w:pPr>
              <w:spacing w:before="0" w:after="0" w:line="269" w:lineRule="auto"/>
              <w:jc w:val="left"/>
            </w:pPr>
            <w:r>
              <w:rPr>
                <w:b/>
                <w:color w:val="203748"/>
              </w:rPr>
            </w:r>
            <w:r>
              <w:rPr>
                <w:rFonts w:ascii="Calibri" w:hAnsi="Calibri"/>
                <w:b/>
                <w:color w:val="203748"/>
                <w:sz w:val="16"/>
              </w:rPr>
              <w:t>Field</w:t>
            </w:r>
          </w:p>
        </w:tc>
        <w:tc>
          <w:tcPr>
            <w:tcW w:type="dxa" w:w="1747"/>
            <w:tcMar>
              <w:top w:w="80" w:type="dxa"/>
              <w:bottom w:w="80" w:type="dxa"/>
              <w:start w:w="120" w:type="dxa"/>
              <w:end w:w="120" w:type="dxa"/>
            </w:tcMar>
            <w:vAlign w:val="center"/>
            <w:shd w:fill="E8EEF5"/>
          </w:tcPr>
          <w:p>
            <w:pPr>
              <w:spacing w:before="0" w:after="0" w:line="269" w:lineRule="auto"/>
              <w:jc w:val="left"/>
            </w:pPr>
            <w:r>
              <w:rPr>
                <w:b/>
                <w:color w:val="203748"/>
              </w:rPr>
            </w:r>
            <w:r>
              <w:rPr>
                <w:rFonts w:ascii="Calibri" w:hAnsi="Calibri"/>
                <w:b/>
                <w:color w:val="203748"/>
                <w:sz w:val="16"/>
              </w:rPr>
              <w:t>Diet study evidence</w:t>
            </w:r>
          </w:p>
        </w:tc>
        <w:tc>
          <w:tcPr>
            <w:tcW w:type="dxa" w:w="1925"/>
            <w:tcMar>
              <w:top w:w="80" w:type="dxa"/>
              <w:bottom w:w="80" w:type="dxa"/>
              <w:start w:w="120" w:type="dxa"/>
              <w:end w:w="120" w:type="dxa"/>
            </w:tcMar>
            <w:vAlign w:val="center"/>
            <w:shd w:fill="E8EEF5"/>
          </w:tcPr>
          <w:p>
            <w:pPr>
              <w:spacing w:before="0" w:after="0" w:line="269" w:lineRule="auto"/>
              <w:jc w:val="left"/>
            </w:pPr>
            <w:r>
              <w:rPr>
                <w:b/>
                <w:color w:val="203748"/>
              </w:rPr>
            </w:r>
            <w:r>
              <w:rPr>
                <w:rFonts w:ascii="Calibri" w:hAnsi="Calibri"/>
                <w:b/>
                <w:color w:val="203748"/>
                <w:sz w:val="16"/>
              </w:rPr>
              <w:t>Exercise study evidence</w:t>
            </w:r>
          </w:p>
        </w:tc>
        <w:tc>
          <w:tcPr>
            <w:tcW w:type="dxa" w:w="1212"/>
            <w:tcMar>
              <w:top w:w="80" w:type="dxa"/>
              <w:bottom w:w="80" w:type="dxa"/>
              <w:start w:w="120" w:type="dxa"/>
              <w:end w:w="120" w:type="dxa"/>
            </w:tcMar>
            <w:vAlign w:val="center"/>
            <w:shd w:fill="E8EEF5"/>
          </w:tcPr>
          <w:p>
            <w:pPr>
              <w:spacing w:before="0" w:after="0" w:line="269" w:lineRule="auto"/>
              <w:jc w:val="center"/>
            </w:pPr>
            <w:r>
              <w:rPr>
                <w:b/>
                <w:color w:val="203748"/>
              </w:rPr>
            </w:r>
            <w:r>
              <w:rPr>
                <w:rFonts w:ascii="Calibri" w:hAnsi="Calibri"/>
                <w:b/>
                <w:color w:val="203748"/>
                <w:sz w:val="16"/>
              </w:rPr>
              <w:t>D/P/N/U</w:t>
            </w:r>
          </w:p>
        </w:tc>
        <w:tc>
          <w:tcPr>
            <w:tcW w:type="dxa" w:w="2239"/>
            <w:tcMar>
              <w:top w:w="80" w:type="dxa"/>
              <w:bottom w:w="80" w:type="dxa"/>
              <w:start w:w="120" w:type="dxa"/>
              <w:end w:w="120" w:type="dxa"/>
            </w:tcMar>
            <w:vAlign w:val="center"/>
            <w:shd w:fill="E8EEF5"/>
          </w:tcPr>
          <w:p>
            <w:pPr>
              <w:spacing w:before="0" w:after="0" w:line="269" w:lineRule="auto"/>
              <w:jc w:val="left"/>
            </w:pPr>
            <w:r>
              <w:rPr>
                <w:b/>
                <w:color w:val="203748"/>
              </w:rPr>
            </w:r>
            <w:r>
              <w:rPr>
                <w:rFonts w:ascii="Calibri" w:hAnsi="Calibri"/>
                <w:b/>
                <w:color w:val="203748"/>
                <w:sz w:val="16"/>
              </w:rPr>
              <w:t>Justification and intended use</w:t>
            </w:r>
          </w:p>
        </w:tc>
      </w:tr>
      <w:tr>
        <w:trPr>
          <w:cantSplit w:val="true"/>
        </w:trPr>
        <w:tc>
          <w:tcPr>
            <w:tcW w:type="dxa" w:w="2237"/>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Phenotype anchor</w:t>
            </w:r>
          </w:p>
        </w:tc>
        <w:tc>
          <w:tcPr>
            <w:tcW w:type="dxa" w:w="1747"/>
            <w:tcMar>
              <w:top w:w="80" w:type="dxa"/>
              <w:bottom w:w="80" w:type="dxa"/>
              <w:start w:w="120" w:type="dxa"/>
              <w:end w:w="120" w:type="dxa"/>
            </w:tcMar>
            <w:vAlign w:val="center"/>
          </w:tcPr>
          <w:p>
            <w:pPr>
              <w:spacing w:before="0" w:after="0" w:line="269" w:lineRule="auto"/>
              <w:jc w:val="center"/>
            </w:pPr>
            <w:r/>
          </w:p>
        </w:tc>
        <w:tc>
          <w:tcPr>
            <w:tcW w:type="dxa" w:w="1925"/>
            <w:tcMar>
              <w:top w:w="80" w:type="dxa"/>
              <w:bottom w:w="80" w:type="dxa"/>
              <w:start w:w="120" w:type="dxa"/>
              <w:end w:w="120" w:type="dxa"/>
            </w:tcMar>
            <w:vAlign w:val="center"/>
          </w:tcPr>
          <w:p>
            <w:pPr>
              <w:spacing w:before="0" w:after="0" w:line="269" w:lineRule="auto"/>
              <w:jc w:val="center"/>
            </w:pPr>
            <w:r/>
          </w:p>
        </w:tc>
        <w:tc>
          <w:tcPr>
            <w:tcW w:type="dxa" w:w="1212"/>
            <w:tcMar>
              <w:top w:w="80" w:type="dxa"/>
              <w:bottom w:w="80" w:type="dxa"/>
              <w:start w:w="120" w:type="dxa"/>
              <w:end w:w="120" w:type="dxa"/>
            </w:tcMar>
            <w:vAlign w:val="center"/>
          </w:tcPr>
          <w:p>
            <w:pPr>
              <w:spacing w:before="0" w:after="0" w:line="269" w:lineRule="auto"/>
              <w:jc w:val="center"/>
            </w:pPr>
            <w:r/>
          </w:p>
        </w:tc>
        <w:tc>
          <w:tcPr>
            <w:tcW w:type="dxa" w:w="2239"/>
            <w:tcMar>
              <w:top w:w="80" w:type="dxa"/>
              <w:bottom w:w="80" w:type="dxa"/>
              <w:start w:w="120" w:type="dxa"/>
              <w:end w:w="120" w:type="dxa"/>
            </w:tcMar>
            <w:vAlign w:val="center"/>
          </w:tcPr>
          <w:p>
            <w:pPr>
              <w:spacing w:before="0" w:after="0" w:line="269" w:lineRule="auto"/>
              <w:jc w:val="center"/>
            </w:pPr>
            <w:r/>
          </w:p>
        </w:tc>
      </w:tr>
      <w:tr>
        <w:trPr>
          <w:cantSplit w:val="true"/>
        </w:trPr>
        <w:tc>
          <w:tcPr>
            <w:tcW w:type="dxa" w:w="2237"/>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Intervention/exposure groups</w:t>
            </w:r>
          </w:p>
        </w:tc>
        <w:tc>
          <w:tcPr>
            <w:tcW w:type="dxa" w:w="1747"/>
            <w:tcMar>
              <w:top w:w="80" w:type="dxa"/>
              <w:bottom w:w="80" w:type="dxa"/>
              <w:start w:w="120" w:type="dxa"/>
              <w:end w:w="120" w:type="dxa"/>
            </w:tcMar>
            <w:vAlign w:val="center"/>
          </w:tcPr>
          <w:p>
            <w:pPr>
              <w:spacing w:before="0" w:after="0" w:line="269" w:lineRule="auto"/>
              <w:jc w:val="center"/>
            </w:pPr>
            <w:r/>
          </w:p>
        </w:tc>
        <w:tc>
          <w:tcPr>
            <w:tcW w:type="dxa" w:w="1925"/>
            <w:tcMar>
              <w:top w:w="80" w:type="dxa"/>
              <w:bottom w:w="80" w:type="dxa"/>
              <w:start w:w="120" w:type="dxa"/>
              <w:end w:w="120" w:type="dxa"/>
            </w:tcMar>
            <w:vAlign w:val="center"/>
          </w:tcPr>
          <w:p>
            <w:pPr>
              <w:spacing w:before="0" w:after="0" w:line="269" w:lineRule="auto"/>
              <w:jc w:val="center"/>
            </w:pPr>
            <w:r/>
          </w:p>
        </w:tc>
        <w:tc>
          <w:tcPr>
            <w:tcW w:type="dxa" w:w="1212"/>
            <w:tcMar>
              <w:top w:w="80" w:type="dxa"/>
              <w:bottom w:w="80" w:type="dxa"/>
              <w:start w:w="120" w:type="dxa"/>
              <w:end w:w="120" w:type="dxa"/>
            </w:tcMar>
            <w:vAlign w:val="center"/>
          </w:tcPr>
          <w:p>
            <w:pPr>
              <w:spacing w:before="0" w:after="0" w:line="269" w:lineRule="auto"/>
              <w:jc w:val="center"/>
            </w:pPr>
            <w:r/>
          </w:p>
        </w:tc>
        <w:tc>
          <w:tcPr>
            <w:tcW w:type="dxa" w:w="2239"/>
            <w:tcMar>
              <w:top w:w="80" w:type="dxa"/>
              <w:bottom w:w="80" w:type="dxa"/>
              <w:start w:w="120" w:type="dxa"/>
              <w:end w:w="120" w:type="dxa"/>
            </w:tcMar>
            <w:vAlign w:val="center"/>
          </w:tcPr>
          <w:p>
            <w:pPr>
              <w:spacing w:before="0" w:after="0" w:line="269" w:lineRule="auto"/>
              <w:jc w:val="center"/>
            </w:pPr>
            <w:r/>
          </w:p>
        </w:tc>
      </w:tr>
      <w:tr>
        <w:trPr>
          <w:cantSplit w:val="true"/>
        </w:trPr>
        <w:tc>
          <w:tcPr>
            <w:tcW w:type="dxa" w:w="2237"/>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Dose or intensity</w:t>
            </w:r>
          </w:p>
        </w:tc>
        <w:tc>
          <w:tcPr>
            <w:tcW w:type="dxa" w:w="1747"/>
            <w:tcMar>
              <w:top w:w="80" w:type="dxa"/>
              <w:bottom w:w="80" w:type="dxa"/>
              <w:start w:w="120" w:type="dxa"/>
              <w:end w:w="120" w:type="dxa"/>
            </w:tcMar>
            <w:vAlign w:val="center"/>
          </w:tcPr>
          <w:p>
            <w:pPr>
              <w:spacing w:before="0" w:after="0" w:line="269" w:lineRule="auto"/>
              <w:jc w:val="center"/>
            </w:pPr>
            <w:r/>
          </w:p>
        </w:tc>
        <w:tc>
          <w:tcPr>
            <w:tcW w:type="dxa" w:w="1925"/>
            <w:tcMar>
              <w:top w:w="80" w:type="dxa"/>
              <w:bottom w:w="80" w:type="dxa"/>
              <w:start w:w="120" w:type="dxa"/>
              <w:end w:w="120" w:type="dxa"/>
            </w:tcMar>
            <w:vAlign w:val="center"/>
          </w:tcPr>
          <w:p>
            <w:pPr>
              <w:spacing w:before="0" w:after="0" w:line="269" w:lineRule="auto"/>
              <w:jc w:val="center"/>
            </w:pPr>
            <w:r/>
          </w:p>
        </w:tc>
        <w:tc>
          <w:tcPr>
            <w:tcW w:type="dxa" w:w="1212"/>
            <w:tcMar>
              <w:top w:w="80" w:type="dxa"/>
              <w:bottom w:w="80" w:type="dxa"/>
              <w:start w:w="120" w:type="dxa"/>
              <w:end w:w="120" w:type="dxa"/>
            </w:tcMar>
            <w:vAlign w:val="center"/>
          </w:tcPr>
          <w:p>
            <w:pPr>
              <w:spacing w:before="0" w:after="0" w:line="269" w:lineRule="auto"/>
              <w:jc w:val="center"/>
            </w:pPr>
            <w:r/>
          </w:p>
        </w:tc>
        <w:tc>
          <w:tcPr>
            <w:tcW w:type="dxa" w:w="2239"/>
            <w:tcMar>
              <w:top w:w="80" w:type="dxa"/>
              <w:bottom w:w="80" w:type="dxa"/>
              <w:start w:w="120" w:type="dxa"/>
              <w:end w:w="120" w:type="dxa"/>
            </w:tcMar>
            <w:vAlign w:val="center"/>
          </w:tcPr>
          <w:p>
            <w:pPr>
              <w:spacing w:before="0" w:after="0" w:line="269" w:lineRule="auto"/>
              <w:jc w:val="center"/>
            </w:pPr>
            <w:r/>
          </w:p>
        </w:tc>
      </w:tr>
      <w:tr>
        <w:trPr>
          <w:cantSplit w:val="true"/>
        </w:trPr>
        <w:tc>
          <w:tcPr>
            <w:tcW w:type="dxa" w:w="2237"/>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Duration</w:t>
            </w:r>
          </w:p>
        </w:tc>
        <w:tc>
          <w:tcPr>
            <w:tcW w:type="dxa" w:w="1747"/>
            <w:tcMar>
              <w:top w:w="80" w:type="dxa"/>
              <w:bottom w:w="80" w:type="dxa"/>
              <w:start w:w="120" w:type="dxa"/>
              <w:end w:w="120" w:type="dxa"/>
            </w:tcMar>
            <w:vAlign w:val="center"/>
          </w:tcPr>
          <w:p>
            <w:pPr>
              <w:spacing w:before="0" w:after="0" w:line="269" w:lineRule="auto"/>
              <w:jc w:val="center"/>
            </w:pPr>
            <w:r/>
          </w:p>
        </w:tc>
        <w:tc>
          <w:tcPr>
            <w:tcW w:type="dxa" w:w="1925"/>
            <w:tcMar>
              <w:top w:w="80" w:type="dxa"/>
              <w:bottom w:w="80" w:type="dxa"/>
              <w:start w:w="120" w:type="dxa"/>
              <w:end w:w="120" w:type="dxa"/>
            </w:tcMar>
            <w:vAlign w:val="center"/>
          </w:tcPr>
          <w:p>
            <w:pPr>
              <w:spacing w:before="0" w:after="0" w:line="269" w:lineRule="auto"/>
              <w:jc w:val="center"/>
            </w:pPr>
            <w:r/>
          </w:p>
        </w:tc>
        <w:tc>
          <w:tcPr>
            <w:tcW w:type="dxa" w:w="1212"/>
            <w:tcMar>
              <w:top w:w="80" w:type="dxa"/>
              <w:bottom w:w="80" w:type="dxa"/>
              <w:start w:w="120" w:type="dxa"/>
              <w:end w:w="120" w:type="dxa"/>
            </w:tcMar>
            <w:vAlign w:val="center"/>
          </w:tcPr>
          <w:p>
            <w:pPr>
              <w:spacing w:before="0" w:after="0" w:line="269" w:lineRule="auto"/>
              <w:jc w:val="center"/>
            </w:pPr>
            <w:r/>
          </w:p>
        </w:tc>
        <w:tc>
          <w:tcPr>
            <w:tcW w:type="dxa" w:w="2239"/>
            <w:tcMar>
              <w:top w:w="80" w:type="dxa"/>
              <w:bottom w:w="80" w:type="dxa"/>
              <w:start w:w="120" w:type="dxa"/>
              <w:end w:w="120" w:type="dxa"/>
            </w:tcMar>
            <w:vAlign w:val="center"/>
          </w:tcPr>
          <w:p>
            <w:pPr>
              <w:spacing w:before="0" w:after="0" w:line="269" w:lineRule="auto"/>
              <w:jc w:val="center"/>
            </w:pPr>
            <w:r/>
          </w:p>
        </w:tc>
      </w:tr>
      <w:tr>
        <w:trPr>
          <w:cantSplit w:val="true"/>
        </w:trPr>
        <w:tc>
          <w:tcPr>
            <w:tcW w:type="dxa" w:w="2237"/>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Adherence or supervision</w:t>
            </w:r>
          </w:p>
        </w:tc>
        <w:tc>
          <w:tcPr>
            <w:tcW w:type="dxa" w:w="1747"/>
            <w:tcMar>
              <w:top w:w="80" w:type="dxa"/>
              <w:bottom w:w="80" w:type="dxa"/>
              <w:start w:w="120" w:type="dxa"/>
              <w:end w:w="120" w:type="dxa"/>
            </w:tcMar>
            <w:vAlign w:val="center"/>
          </w:tcPr>
          <w:p>
            <w:pPr>
              <w:spacing w:before="0" w:after="0" w:line="269" w:lineRule="auto"/>
              <w:jc w:val="center"/>
            </w:pPr>
            <w:r/>
          </w:p>
        </w:tc>
        <w:tc>
          <w:tcPr>
            <w:tcW w:type="dxa" w:w="1925"/>
            <w:tcMar>
              <w:top w:w="80" w:type="dxa"/>
              <w:bottom w:w="80" w:type="dxa"/>
              <w:start w:w="120" w:type="dxa"/>
              <w:end w:w="120" w:type="dxa"/>
            </w:tcMar>
            <w:vAlign w:val="center"/>
          </w:tcPr>
          <w:p>
            <w:pPr>
              <w:spacing w:before="0" w:after="0" w:line="269" w:lineRule="auto"/>
              <w:jc w:val="center"/>
            </w:pPr>
            <w:r/>
          </w:p>
        </w:tc>
        <w:tc>
          <w:tcPr>
            <w:tcW w:type="dxa" w:w="1212"/>
            <w:tcMar>
              <w:top w:w="80" w:type="dxa"/>
              <w:bottom w:w="80" w:type="dxa"/>
              <w:start w:w="120" w:type="dxa"/>
              <w:end w:w="120" w:type="dxa"/>
            </w:tcMar>
            <w:vAlign w:val="center"/>
          </w:tcPr>
          <w:p>
            <w:pPr>
              <w:spacing w:before="0" w:after="0" w:line="269" w:lineRule="auto"/>
              <w:jc w:val="center"/>
            </w:pPr>
            <w:r/>
          </w:p>
        </w:tc>
        <w:tc>
          <w:tcPr>
            <w:tcW w:type="dxa" w:w="2239"/>
            <w:tcMar>
              <w:top w:w="80" w:type="dxa"/>
              <w:bottom w:w="80" w:type="dxa"/>
              <w:start w:w="120" w:type="dxa"/>
              <w:end w:w="120" w:type="dxa"/>
            </w:tcMar>
            <w:vAlign w:val="center"/>
          </w:tcPr>
          <w:p>
            <w:pPr>
              <w:spacing w:before="0" w:after="0" w:line="269" w:lineRule="auto"/>
              <w:jc w:val="center"/>
            </w:pPr>
            <w:r/>
          </w:p>
        </w:tc>
      </w:tr>
      <w:tr>
        <w:trPr>
          <w:cantSplit w:val="true"/>
        </w:trPr>
        <w:tc>
          <w:tcPr>
            <w:tcW w:type="dxa" w:w="2237"/>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Feeding state</w:t>
            </w:r>
          </w:p>
        </w:tc>
        <w:tc>
          <w:tcPr>
            <w:tcW w:type="dxa" w:w="1747"/>
            <w:tcMar>
              <w:top w:w="80" w:type="dxa"/>
              <w:bottom w:w="80" w:type="dxa"/>
              <w:start w:w="120" w:type="dxa"/>
              <w:end w:w="120" w:type="dxa"/>
            </w:tcMar>
            <w:vAlign w:val="center"/>
          </w:tcPr>
          <w:p>
            <w:pPr>
              <w:spacing w:before="0" w:after="0" w:line="269" w:lineRule="auto"/>
              <w:jc w:val="center"/>
            </w:pPr>
            <w:r/>
          </w:p>
        </w:tc>
        <w:tc>
          <w:tcPr>
            <w:tcW w:type="dxa" w:w="1925"/>
            <w:tcMar>
              <w:top w:w="80" w:type="dxa"/>
              <w:bottom w:w="80" w:type="dxa"/>
              <w:start w:w="120" w:type="dxa"/>
              <w:end w:w="120" w:type="dxa"/>
            </w:tcMar>
            <w:vAlign w:val="center"/>
          </w:tcPr>
          <w:p>
            <w:pPr>
              <w:spacing w:before="0" w:after="0" w:line="269" w:lineRule="auto"/>
              <w:jc w:val="center"/>
            </w:pPr>
            <w:r/>
          </w:p>
        </w:tc>
        <w:tc>
          <w:tcPr>
            <w:tcW w:type="dxa" w:w="1212"/>
            <w:tcMar>
              <w:top w:w="80" w:type="dxa"/>
              <w:bottom w:w="80" w:type="dxa"/>
              <w:start w:w="120" w:type="dxa"/>
              <w:end w:w="120" w:type="dxa"/>
            </w:tcMar>
            <w:vAlign w:val="center"/>
          </w:tcPr>
          <w:p>
            <w:pPr>
              <w:spacing w:before="0" w:after="0" w:line="269" w:lineRule="auto"/>
              <w:jc w:val="center"/>
            </w:pPr>
            <w:r/>
          </w:p>
        </w:tc>
        <w:tc>
          <w:tcPr>
            <w:tcW w:type="dxa" w:w="2239"/>
            <w:tcMar>
              <w:top w:w="80" w:type="dxa"/>
              <w:bottom w:w="80" w:type="dxa"/>
              <w:start w:w="120" w:type="dxa"/>
              <w:end w:w="120" w:type="dxa"/>
            </w:tcMar>
            <w:vAlign w:val="center"/>
          </w:tcPr>
          <w:p>
            <w:pPr>
              <w:spacing w:before="0" w:after="0" w:line="269" w:lineRule="auto"/>
              <w:jc w:val="center"/>
            </w:pPr>
            <w:r/>
          </w:p>
        </w:tc>
      </w:tr>
      <w:tr>
        <w:trPr>
          <w:cantSplit w:val="true"/>
        </w:trPr>
        <w:tc>
          <w:tcPr>
            <w:tcW w:type="dxa" w:w="2237"/>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Concurrent interventions</w:t>
            </w:r>
          </w:p>
        </w:tc>
        <w:tc>
          <w:tcPr>
            <w:tcW w:type="dxa" w:w="1747"/>
            <w:tcMar>
              <w:top w:w="80" w:type="dxa"/>
              <w:bottom w:w="80" w:type="dxa"/>
              <w:start w:w="120" w:type="dxa"/>
              <w:end w:w="120" w:type="dxa"/>
            </w:tcMar>
            <w:vAlign w:val="center"/>
          </w:tcPr>
          <w:p>
            <w:pPr>
              <w:spacing w:before="0" w:after="0" w:line="269" w:lineRule="auto"/>
              <w:jc w:val="center"/>
            </w:pPr>
            <w:r/>
          </w:p>
        </w:tc>
        <w:tc>
          <w:tcPr>
            <w:tcW w:type="dxa" w:w="1925"/>
            <w:tcMar>
              <w:top w:w="80" w:type="dxa"/>
              <w:bottom w:w="80" w:type="dxa"/>
              <w:start w:w="120" w:type="dxa"/>
              <w:end w:w="120" w:type="dxa"/>
            </w:tcMar>
            <w:vAlign w:val="center"/>
          </w:tcPr>
          <w:p>
            <w:pPr>
              <w:spacing w:before="0" w:after="0" w:line="269" w:lineRule="auto"/>
              <w:jc w:val="center"/>
            </w:pPr>
            <w:r/>
          </w:p>
        </w:tc>
        <w:tc>
          <w:tcPr>
            <w:tcW w:type="dxa" w:w="1212"/>
            <w:tcMar>
              <w:top w:w="80" w:type="dxa"/>
              <w:bottom w:w="80" w:type="dxa"/>
              <w:start w:w="120" w:type="dxa"/>
              <w:end w:w="120" w:type="dxa"/>
            </w:tcMar>
            <w:vAlign w:val="center"/>
          </w:tcPr>
          <w:p>
            <w:pPr>
              <w:spacing w:before="0" w:after="0" w:line="269" w:lineRule="auto"/>
              <w:jc w:val="center"/>
            </w:pPr>
            <w:r/>
          </w:p>
        </w:tc>
        <w:tc>
          <w:tcPr>
            <w:tcW w:type="dxa" w:w="2239"/>
            <w:tcMar>
              <w:top w:w="80" w:type="dxa"/>
              <w:bottom w:w="80" w:type="dxa"/>
              <w:start w:w="120" w:type="dxa"/>
              <w:end w:w="120" w:type="dxa"/>
            </w:tcMar>
            <w:vAlign w:val="center"/>
          </w:tcPr>
          <w:p>
            <w:pPr>
              <w:spacing w:before="0" w:after="0" w:line="269" w:lineRule="auto"/>
              <w:jc w:val="center"/>
            </w:pPr>
            <w:r/>
          </w:p>
        </w:tc>
      </w:tr>
      <w:tr>
        <w:trPr>
          <w:cantSplit w:val="true"/>
        </w:trPr>
        <w:tc>
          <w:tcPr>
            <w:tcW w:type="dxa" w:w="2237"/>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Behavioral/clinical covariates</w:t>
            </w:r>
          </w:p>
        </w:tc>
        <w:tc>
          <w:tcPr>
            <w:tcW w:type="dxa" w:w="1747"/>
            <w:tcMar>
              <w:top w:w="80" w:type="dxa"/>
              <w:bottom w:w="80" w:type="dxa"/>
              <w:start w:w="120" w:type="dxa"/>
              <w:end w:w="120" w:type="dxa"/>
            </w:tcMar>
            <w:vAlign w:val="center"/>
          </w:tcPr>
          <w:p>
            <w:pPr>
              <w:spacing w:before="0" w:after="0" w:line="269" w:lineRule="auto"/>
              <w:jc w:val="center"/>
            </w:pPr>
            <w:r/>
          </w:p>
        </w:tc>
        <w:tc>
          <w:tcPr>
            <w:tcW w:type="dxa" w:w="1925"/>
            <w:tcMar>
              <w:top w:w="80" w:type="dxa"/>
              <w:bottom w:w="80" w:type="dxa"/>
              <w:start w:w="120" w:type="dxa"/>
              <w:end w:w="120" w:type="dxa"/>
            </w:tcMar>
            <w:vAlign w:val="center"/>
          </w:tcPr>
          <w:p>
            <w:pPr>
              <w:spacing w:before="0" w:after="0" w:line="269" w:lineRule="auto"/>
              <w:jc w:val="center"/>
            </w:pPr>
            <w:r/>
          </w:p>
        </w:tc>
        <w:tc>
          <w:tcPr>
            <w:tcW w:type="dxa" w:w="1212"/>
            <w:tcMar>
              <w:top w:w="80" w:type="dxa"/>
              <w:bottom w:w="80" w:type="dxa"/>
              <w:start w:w="120" w:type="dxa"/>
              <w:end w:w="120" w:type="dxa"/>
            </w:tcMar>
            <w:vAlign w:val="center"/>
          </w:tcPr>
          <w:p>
            <w:pPr>
              <w:spacing w:before="0" w:after="0" w:line="269" w:lineRule="auto"/>
              <w:jc w:val="center"/>
            </w:pPr>
            <w:r/>
          </w:p>
        </w:tc>
        <w:tc>
          <w:tcPr>
            <w:tcW w:type="dxa" w:w="2239"/>
            <w:tcMar>
              <w:top w:w="80" w:type="dxa"/>
              <w:bottom w:w="80" w:type="dxa"/>
              <w:start w:w="120" w:type="dxa"/>
              <w:end w:w="120" w:type="dxa"/>
            </w:tcMar>
            <w:vAlign w:val="center"/>
          </w:tcPr>
          <w:p>
            <w:pPr>
              <w:spacing w:before="0" w:after="0" w:line="269" w:lineRule="auto"/>
              <w:jc w:val="center"/>
            </w:pPr>
            <w:r/>
          </w:p>
        </w:tc>
      </w:tr>
      <w:tr>
        <w:trPr>
          <w:cantSplit w:val="true"/>
        </w:trPr>
        <w:tc>
          <w:tcPr>
            <w:tcW w:type="dxa" w:w="2237"/>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Assignment/selection caveat</w:t>
            </w:r>
          </w:p>
        </w:tc>
        <w:tc>
          <w:tcPr>
            <w:tcW w:type="dxa" w:w="1747"/>
            <w:tcMar>
              <w:top w:w="80" w:type="dxa"/>
              <w:bottom w:w="80" w:type="dxa"/>
              <w:start w:w="120" w:type="dxa"/>
              <w:end w:w="120" w:type="dxa"/>
            </w:tcMar>
            <w:vAlign w:val="center"/>
          </w:tcPr>
          <w:p>
            <w:pPr>
              <w:spacing w:before="0" w:after="0" w:line="269" w:lineRule="auto"/>
              <w:jc w:val="center"/>
            </w:pPr>
            <w:r/>
          </w:p>
        </w:tc>
        <w:tc>
          <w:tcPr>
            <w:tcW w:type="dxa" w:w="1925"/>
            <w:tcMar>
              <w:top w:w="80" w:type="dxa"/>
              <w:bottom w:w="80" w:type="dxa"/>
              <w:start w:w="120" w:type="dxa"/>
              <w:end w:w="120" w:type="dxa"/>
            </w:tcMar>
            <w:vAlign w:val="center"/>
          </w:tcPr>
          <w:p>
            <w:pPr>
              <w:spacing w:before="0" w:after="0" w:line="269" w:lineRule="auto"/>
              <w:jc w:val="center"/>
            </w:pPr>
            <w:r/>
          </w:p>
        </w:tc>
        <w:tc>
          <w:tcPr>
            <w:tcW w:type="dxa" w:w="1212"/>
            <w:tcMar>
              <w:top w:w="80" w:type="dxa"/>
              <w:bottom w:w="80" w:type="dxa"/>
              <w:start w:w="120" w:type="dxa"/>
              <w:end w:w="120" w:type="dxa"/>
            </w:tcMar>
            <w:vAlign w:val="center"/>
          </w:tcPr>
          <w:p>
            <w:pPr>
              <w:spacing w:before="0" w:after="0" w:line="269" w:lineRule="auto"/>
              <w:jc w:val="center"/>
            </w:pPr>
            <w:r/>
          </w:p>
        </w:tc>
        <w:tc>
          <w:tcPr>
            <w:tcW w:type="dxa" w:w="2239"/>
            <w:tcMar>
              <w:top w:w="80" w:type="dxa"/>
              <w:bottom w:w="80" w:type="dxa"/>
              <w:start w:w="120" w:type="dxa"/>
              <w:end w:w="120" w:type="dxa"/>
            </w:tcMar>
            <w:vAlign w:val="center"/>
          </w:tcPr>
          <w:p>
            <w:pPr>
              <w:spacing w:before="0" w:after="0" w:line="269" w:lineRule="auto"/>
              <w:jc w:val="center"/>
            </w:pPr>
            <w:r/>
          </w:p>
        </w:tc>
      </w:tr>
    </w:tbl>
    <w:p>
      <w:pPr>
        <w:spacing w:before="0" w:after="40"/>
      </w:pPr>
    </w:p>
    <w:p>
      <w:pPr>
        <w:pStyle w:val="Heading2"/>
      </w:pPr>
      <w:r>
        <w:rPr>
          <w:rFonts w:ascii="Calibri" w:hAnsi="Calibri"/>
          <w:color w:val="222222"/>
        </w:rPr>
        <w:t>5. Specimen and pre-analytical context</w:t>
      </w:r>
    </w:p>
    <w:tbl>
      <w:tblPr>
        <w:tblStyle w:val="TableGrid"/>
        <w:tblW w:type="dxa" w:w="9360"/>
        <w:jc w:val="left"/>
        <w:tblLayout w:type="fixed"/>
        <w:tblLook w:firstColumn="1" w:firstRow="1" w:lastColumn="0" w:lastRow="0" w:noHBand="0" w:noVBand="1" w:val="04A0"/>
        <w:tblInd w:w="120" w:type="dxa"/>
      </w:tblPr>
      <w:tblGrid>
        <w:gridCol w:w="2103"/>
        <w:gridCol w:w="1779"/>
        <w:gridCol w:w="1964"/>
        <w:gridCol w:w="1224"/>
        <w:gridCol w:w="2290"/>
      </w:tblGrid>
      <w:tr>
        <w:trPr>
          <w:cantSplit w:val="true"/>
          <w:tblHeader w:val="true"/>
        </w:trPr>
        <w:tc>
          <w:tcPr>
            <w:tcW w:type="dxa" w:w="2103"/>
            <w:tcMar>
              <w:top w:w="80" w:type="dxa"/>
              <w:bottom w:w="80" w:type="dxa"/>
              <w:start w:w="120" w:type="dxa"/>
              <w:end w:w="120" w:type="dxa"/>
            </w:tcMar>
            <w:vAlign w:val="center"/>
            <w:shd w:fill="E8EEF5"/>
          </w:tcPr>
          <w:p>
            <w:pPr>
              <w:spacing w:before="0" w:after="0" w:line="269" w:lineRule="auto"/>
              <w:jc w:val="left"/>
            </w:pPr>
            <w:r>
              <w:rPr>
                <w:b/>
                <w:color w:val="203748"/>
              </w:rPr>
            </w:r>
            <w:r>
              <w:rPr>
                <w:rFonts w:ascii="Calibri" w:hAnsi="Calibri"/>
                <w:b/>
                <w:color w:val="203748"/>
                <w:sz w:val="16"/>
              </w:rPr>
              <w:t>Field</w:t>
            </w:r>
          </w:p>
        </w:tc>
        <w:tc>
          <w:tcPr>
            <w:tcW w:type="dxa" w:w="1779"/>
            <w:tcMar>
              <w:top w:w="80" w:type="dxa"/>
              <w:bottom w:w="80" w:type="dxa"/>
              <w:start w:w="120" w:type="dxa"/>
              <w:end w:w="120" w:type="dxa"/>
            </w:tcMar>
            <w:vAlign w:val="center"/>
            <w:shd w:fill="E8EEF5"/>
          </w:tcPr>
          <w:p>
            <w:pPr>
              <w:spacing w:before="0" w:after="0" w:line="269" w:lineRule="auto"/>
              <w:jc w:val="left"/>
            </w:pPr>
            <w:r>
              <w:rPr>
                <w:b/>
                <w:color w:val="203748"/>
              </w:rPr>
            </w:r>
            <w:r>
              <w:rPr>
                <w:rFonts w:ascii="Calibri" w:hAnsi="Calibri"/>
                <w:b/>
                <w:color w:val="203748"/>
                <w:sz w:val="16"/>
              </w:rPr>
              <w:t>Diet study evidence</w:t>
            </w:r>
          </w:p>
        </w:tc>
        <w:tc>
          <w:tcPr>
            <w:tcW w:type="dxa" w:w="1964"/>
            <w:tcMar>
              <w:top w:w="80" w:type="dxa"/>
              <w:bottom w:w="80" w:type="dxa"/>
              <w:start w:w="120" w:type="dxa"/>
              <w:end w:w="120" w:type="dxa"/>
            </w:tcMar>
            <w:vAlign w:val="center"/>
            <w:shd w:fill="E8EEF5"/>
          </w:tcPr>
          <w:p>
            <w:pPr>
              <w:spacing w:before="0" w:after="0" w:line="269" w:lineRule="auto"/>
              <w:jc w:val="left"/>
            </w:pPr>
            <w:r>
              <w:rPr>
                <w:b/>
                <w:color w:val="203748"/>
              </w:rPr>
            </w:r>
            <w:r>
              <w:rPr>
                <w:rFonts w:ascii="Calibri" w:hAnsi="Calibri"/>
                <w:b/>
                <w:color w:val="203748"/>
                <w:sz w:val="16"/>
              </w:rPr>
              <w:t>Exercise study evidence</w:t>
            </w:r>
          </w:p>
        </w:tc>
        <w:tc>
          <w:tcPr>
            <w:tcW w:type="dxa" w:w="1224"/>
            <w:tcMar>
              <w:top w:w="80" w:type="dxa"/>
              <w:bottom w:w="80" w:type="dxa"/>
              <w:start w:w="120" w:type="dxa"/>
              <w:end w:w="120" w:type="dxa"/>
            </w:tcMar>
            <w:vAlign w:val="center"/>
            <w:shd w:fill="E8EEF5"/>
          </w:tcPr>
          <w:p>
            <w:pPr>
              <w:spacing w:before="0" w:after="0" w:line="269" w:lineRule="auto"/>
              <w:jc w:val="center"/>
            </w:pPr>
            <w:r>
              <w:rPr>
                <w:b/>
                <w:color w:val="203748"/>
              </w:rPr>
            </w:r>
            <w:r>
              <w:rPr>
                <w:rFonts w:ascii="Calibri" w:hAnsi="Calibri"/>
                <w:b/>
                <w:color w:val="203748"/>
                <w:sz w:val="16"/>
              </w:rPr>
              <w:t>D/P/N/U</w:t>
            </w:r>
          </w:p>
        </w:tc>
        <w:tc>
          <w:tcPr>
            <w:tcW w:type="dxa" w:w="2290"/>
            <w:tcMar>
              <w:top w:w="80" w:type="dxa"/>
              <w:bottom w:w="80" w:type="dxa"/>
              <w:start w:w="120" w:type="dxa"/>
              <w:end w:w="120" w:type="dxa"/>
            </w:tcMar>
            <w:vAlign w:val="center"/>
            <w:shd w:fill="E8EEF5"/>
          </w:tcPr>
          <w:p>
            <w:pPr>
              <w:spacing w:before="0" w:after="0" w:line="269" w:lineRule="auto"/>
              <w:jc w:val="left"/>
            </w:pPr>
            <w:r>
              <w:rPr>
                <w:b/>
                <w:color w:val="203748"/>
              </w:rPr>
            </w:r>
            <w:r>
              <w:rPr>
                <w:rFonts w:ascii="Calibri" w:hAnsi="Calibri"/>
                <w:b/>
                <w:color w:val="203748"/>
                <w:sz w:val="16"/>
              </w:rPr>
              <w:t>Justification and intended use</w:t>
            </w:r>
          </w:p>
        </w:tc>
      </w:tr>
      <w:tr>
        <w:trPr>
          <w:cantSplit w:val="true"/>
        </w:trPr>
        <w:tc>
          <w:tcPr>
            <w:tcW w:type="dxa" w:w="2103"/>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Broad factor label</w:t>
            </w:r>
          </w:p>
        </w:tc>
        <w:tc>
          <w:tcPr>
            <w:tcW w:type="dxa" w:w="1779"/>
            <w:tcMar>
              <w:top w:w="80" w:type="dxa"/>
              <w:bottom w:w="80" w:type="dxa"/>
              <w:start w:w="120" w:type="dxa"/>
              <w:end w:w="120" w:type="dxa"/>
            </w:tcMar>
            <w:vAlign w:val="center"/>
          </w:tcPr>
          <w:p>
            <w:pPr>
              <w:spacing w:before="0" w:after="0" w:line="269" w:lineRule="auto"/>
              <w:jc w:val="center"/>
            </w:pPr>
            <w:r/>
          </w:p>
        </w:tc>
        <w:tc>
          <w:tcPr>
            <w:tcW w:type="dxa" w:w="1964"/>
            <w:tcMar>
              <w:top w:w="80" w:type="dxa"/>
              <w:bottom w:w="80" w:type="dxa"/>
              <w:start w:w="120" w:type="dxa"/>
              <w:end w:w="120" w:type="dxa"/>
            </w:tcMar>
            <w:vAlign w:val="center"/>
          </w:tcPr>
          <w:p>
            <w:pPr>
              <w:spacing w:before="0" w:after="0" w:line="269" w:lineRule="auto"/>
              <w:jc w:val="center"/>
            </w:pPr>
            <w:r/>
          </w:p>
        </w:tc>
        <w:tc>
          <w:tcPr>
            <w:tcW w:type="dxa" w:w="1224"/>
            <w:tcMar>
              <w:top w:w="80" w:type="dxa"/>
              <w:bottom w:w="80" w:type="dxa"/>
              <w:start w:w="120" w:type="dxa"/>
              <w:end w:w="120" w:type="dxa"/>
            </w:tcMar>
            <w:vAlign w:val="center"/>
          </w:tcPr>
          <w:p>
            <w:pPr>
              <w:spacing w:before="0" w:after="0" w:line="269" w:lineRule="auto"/>
              <w:jc w:val="center"/>
            </w:pPr>
            <w:r/>
          </w:p>
        </w:tc>
        <w:tc>
          <w:tcPr>
            <w:tcW w:type="dxa" w:w="2290"/>
            <w:tcMar>
              <w:top w:w="80" w:type="dxa"/>
              <w:bottom w:w="80" w:type="dxa"/>
              <w:start w:w="120" w:type="dxa"/>
              <w:end w:w="120" w:type="dxa"/>
            </w:tcMar>
            <w:vAlign w:val="center"/>
          </w:tcPr>
          <w:p>
            <w:pPr>
              <w:spacing w:before="0" w:after="0" w:line="269" w:lineRule="auto"/>
              <w:jc w:val="center"/>
            </w:pPr>
            <w:r/>
          </w:p>
        </w:tc>
      </w:tr>
      <w:tr>
        <w:trPr>
          <w:cantSplit w:val="true"/>
        </w:trPr>
        <w:tc>
          <w:tcPr>
            <w:tcW w:type="dxa" w:w="2103"/>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Specific biological matrix</w:t>
            </w:r>
          </w:p>
        </w:tc>
        <w:tc>
          <w:tcPr>
            <w:tcW w:type="dxa" w:w="1779"/>
            <w:tcMar>
              <w:top w:w="80" w:type="dxa"/>
              <w:bottom w:w="80" w:type="dxa"/>
              <w:start w:w="120" w:type="dxa"/>
              <w:end w:w="120" w:type="dxa"/>
            </w:tcMar>
            <w:vAlign w:val="center"/>
          </w:tcPr>
          <w:p>
            <w:pPr>
              <w:spacing w:before="0" w:after="0" w:line="269" w:lineRule="auto"/>
              <w:jc w:val="center"/>
            </w:pPr>
            <w:r/>
          </w:p>
        </w:tc>
        <w:tc>
          <w:tcPr>
            <w:tcW w:type="dxa" w:w="1964"/>
            <w:tcMar>
              <w:top w:w="80" w:type="dxa"/>
              <w:bottom w:w="80" w:type="dxa"/>
              <w:start w:w="120" w:type="dxa"/>
              <w:end w:w="120" w:type="dxa"/>
            </w:tcMar>
            <w:vAlign w:val="center"/>
          </w:tcPr>
          <w:p>
            <w:pPr>
              <w:spacing w:before="0" w:after="0" w:line="269" w:lineRule="auto"/>
              <w:jc w:val="center"/>
            </w:pPr>
            <w:r/>
          </w:p>
        </w:tc>
        <w:tc>
          <w:tcPr>
            <w:tcW w:type="dxa" w:w="1224"/>
            <w:tcMar>
              <w:top w:w="80" w:type="dxa"/>
              <w:bottom w:w="80" w:type="dxa"/>
              <w:start w:w="120" w:type="dxa"/>
              <w:end w:w="120" w:type="dxa"/>
            </w:tcMar>
            <w:vAlign w:val="center"/>
          </w:tcPr>
          <w:p>
            <w:pPr>
              <w:spacing w:before="0" w:after="0" w:line="269" w:lineRule="auto"/>
              <w:jc w:val="center"/>
            </w:pPr>
            <w:r/>
          </w:p>
        </w:tc>
        <w:tc>
          <w:tcPr>
            <w:tcW w:type="dxa" w:w="2290"/>
            <w:tcMar>
              <w:top w:w="80" w:type="dxa"/>
              <w:bottom w:w="80" w:type="dxa"/>
              <w:start w:w="120" w:type="dxa"/>
              <w:end w:w="120" w:type="dxa"/>
            </w:tcMar>
            <w:vAlign w:val="center"/>
          </w:tcPr>
          <w:p>
            <w:pPr>
              <w:spacing w:before="0" w:after="0" w:line="269" w:lineRule="auto"/>
              <w:jc w:val="center"/>
            </w:pPr>
            <w:r/>
          </w:p>
        </w:tc>
      </w:tr>
      <w:tr>
        <w:trPr>
          <w:cantSplit w:val="true"/>
        </w:trPr>
        <w:tc>
          <w:tcPr>
            <w:tcW w:type="dxa" w:w="2103"/>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Collection method/tube</w:t>
            </w:r>
          </w:p>
        </w:tc>
        <w:tc>
          <w:tcPr>
            <w:tcW w:type="dxa" w:w="1779"/>
            <w:tcMar>
              <w:top w:w="80" w:type="dxa"/>
              <w:bottom w:w="80" w:type="dxa"/>
              <w:start w:w="120" w:type="dxa"/>
              <w:end w:w="120" w:type="dxa"/>
            </w:tcMar>
            <w:vAlign w:val="center"/>
          </w:tcPr>
          <w:p>
            <w:pPr>
              <w:spacing w:before="0" w:after="0" w:line="269" w:lineRule="auto"/>
              <w:jc w:val="center"/>
            </w:pPr>
            <w:r/>
          </w:p>
        </w:tc>
        <w:tc>
          <w:tcPr>
            <w:tcW w:type="dxa" w:w="1964"/>
            <w:tcMar>
              <w:top w:w="80" w:type="dxa"/>
              <w:bottom w:w="80" w:type="dxa"/>
              <w:start w:w="120" w:type="dxa"/>
              <w:end w:w="120" w:type="dxa"/>
            </w:tcMar>
            <w:vAlign w:val="center"/>
          </w:tcPr>
          <w:p>
            <w:pPr>
              <w:spacing w:before="0" w:after="0" w:line="269" w:lineRule="auto"/>
              <w:jc w:val="center"/>
            </w:pPr>
            <w:r/>
          </w:p>
        </w:tc>
        <w:tc>
          <w:tcPr>
            <w:tcW w:type="dxa" w:w="1224"/>
            <w:tcMar>
              <w:top w:w="80" w:type="dxa"/>
              <w:bottom w:w="80" w:type="dxa"/>
              <w:start w:w="120" w:type="dxa"/>
              <w:end w:w="120" w:type="dxa"/>
            </w:tcMar>
            <w:vAlign w:val="center"/>
          </w:tcPr>
          <w:p>
            <w:pPr>
              <w:spacing w:before="0" w:after="0" w:line="269" w:lineRule="auto"/>
              <w:jc w:val="center"/>
            </w:pPr>
            <w:r/>
          </w:p>
        </w:tc>
        <w:tc>
          <w:tcPr>
            <w:tcW w:type="dxa" w:w="2290"/>
            <w:tcMar>
              <w:top w:w="80" w:type="dxa"/>
              <w:bottom w:w="80" w:type="dxa"/>
              <w:start w:w="120" w:type="dxa"/>
              <w:end w:w="120" w:type="dxa"/>
            </w:tcMar>
            <w:vAlign w:val="center"/>
          </w:tcPr>
          <w:p>
            <w:pPr>
              <w:spacing w:before="0" w:after="0" w:line="269" w:lineRule="auto"/>
              <w:jc w:val="center"/>
            </w:pPr>
            <w:r/>
          </w:p>
        </w:tc>
      </w:tr>
      <w:tr>
        <w:trPr>
          <w:cantSplit w:val="true"/>
        </w:trPr>
        <w:tc>
          <w:tcPr>
            <w:tcW w:type="dxa" w:w="2103"/>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Processing</w:t>
            </w:r>
          </w:p>
        </w:tc>
        <w:tc>
          <w:tcPr>
            <w:tcW w:type="dxa" w:w="1779"/>
            <w:tcMar>
              <w:top w:w="80" w:type="dxa"/>
              <w:bottom w:w="80" w:type="dxa"/>
              <w:start w:w="120" w:type="dxa"/>
              <w:end w:w="120" w:type="dxa"/>
            </w:tcMar>
            <w:vAlign w:val="center"/>
          </w:tcPr>
          <w:p>
            <w:pPr>
              <w:spacing w:before="0" w:after="0" w:line="269" w:lineRule="auto"/>
              <w:jc w:val="center"/>
            </w:pPr>
            <w:r/>
          </w:p>
        </w:tc>
        <w:tc>
          <w:tcPr>
            <w:tcW w:type="dxa" w:w="1964"/>
            <w:tcMar>
              <w:top w:w="80" w:type="dxa"/>
              <w:bottom w:w="80" w:type="dxa"/>
              <w:start w:w="120" w:type="dxa"/>
              <w:end w:w="120" w:type="dxa"/>
            </w:tcMar>
            <w:vAlign w:val="center"/>
          </w:tcPr>
          <w:p>
            <w:pPr>
              <w:spacing w:before="0" w:after="0" w:line="269" w:lineRule="auto"/>
              <w:jc w:val="center"/>
            </w:pPr>
            <w:r/>
          </w:p>
        </w:tc>
        <w:tc>
          <w:tcPr>
            <w:tcW w:type="dxa" w:w="1224"/>
            <w:tcMar>
              <w:top w:w="80" w:type="dxa"/>
              <w:bottom w:w="80" w:type="dxa"/>
              <w:start w:w="120" w:type="dxa"/>
              <w:end w:w="120" w:type="dxa"/>
            </w:tcMar>
            <w:vAlign w:val="center"/>
          </w:tcPr>
          <w:p>
            <w:pPr>
              <w:spacing w:before="0" w:after="0" w:line="269" w:lineRule="auto"/>
              <w:jc w:val="center"/>
            </w:pPr>
            <w:r/>
          </w:p>
        </w:tc>
        <w:tc>
          <w:tcPr>
            <w:tcW w:type="dxa" w:w="2290"/>
            <w:tcMar>
              <w:top w:w="80" w:type="dxa"/>
              <w:bottom w:w="80" w:type="dxa"/>
              <w:start w:w="120" w:type="dxa"/>
              <w:end w:w="120" w:type="dxa"/>
            </w:tcMar>
            <w:vAlign w:val="center"/>
          </w:tcPr>
          <w:p>
            <w:pPr>
              <w:spacing w:before="0" w:after="0" w:line="269" w:lineRule="auto"/>
              <w:jc w:val="center"/>
            </w:pPr>
            <w:r/>
          </w:p>
        </w:tc>
      </w:tr>
      <w:tr>
        <w:trPr>
          <w:cantSplit w:val="true"/>
        </w:trPr>
        <w:tc>
          <w:tcPr>
            <w:tcW w:type="dxa" w:w="2103"/>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Storage</w:t>
            </w:r>
          </w:p>
        </w:tc>
        <w:tc>
          <w:tcPr>
            <w:tcW w:type="dxa" w:w="1779"/>
            <w:tcMar>
              <w:top w:w="80" w:type="dxa"/>
              <w:bottom w:w="80" w:type="dxa"/>
              <w:start w:w="120" w:type="dxa"/>
              <w:end w:w="120" w:type="dxa"/>
            </w:tcMar>
            <w:vAlign w:val="center"/>
          </w:tcPr>
          <w:p>
            <w:pPr>
              <w:spacing w:before="0" w:after="0" w:line="269" w:lineRule="auto"/>
              <w:jc w:val="center"/>
            </w:pPr>
            <w:r/>
          </w:p>
        </w:tc>
        <w:tc>
          <w:tcPr>
            <w:tcW w:type="dxa" w:w="1964"/>
            <w:tcMar>
              <w:top w:w="80" w:type="dxa"/>
              <w:bottom w:w="80" w:type="dxa"/>
              <w:start w:w="120" w:type="dxa"/>
              <w:end w:w="120" w:type="dxa"/>
            </w:tcMar>
            <w:vAlign w:val="center"/>
          </w:tcPr>
          <w:p>
            <w:pPr>
              <w:spacing w:before="0" w:after="0" w:line="269" w:lineRule="auto"/>
              <w:jc w:val="center"/>
            </w:pPr>
            <w:r/>
          </w:p>
        </w:tc>
        <w:tc>
          <w:tcPr>
            <w:tcW w:type="dxa" w:w="1224"/>
            <w:tcMar>
              <w:top w:w="80" w:type="dxa"/>
              <w:bottom w:w="80" w:type="dxa"/>
              <w:start w:w="120" w:type="dxa"/>
              <w:end w:w="120" w:type="dxa"/>
            </w:tcMar>
            <w:vAlign w:val="center"/>
          </w:tcPr>
          <w:p>
            <w:pPr>
              <w:spacing w:before="0" w:after="0" w:line="269" w:lineRule="auto"/>
              <w:jc w:val="center"/>
            </w:pPr>
            <w:r/>
          </w:p>
        </w:tc>
        <w:tc>
          <w:tcPr>
            <w:tcW w:type="dxa" w:w="2290"/>
            <w:tcMar>
              <w:top w:w="80" w:type="dxa"/>
              <w:bottom w:w="80" w:type="dxa"/>
              <w:start w:w="120" w:type="dxa"/>
              <w:end w:w="120" w:type="dxa"/>
            </w:tcMar>
            <w:vAlign w:val="center"/>
          </w:tcPr>
          <w:p>
            <w:pPr>
              <w:spacing w:before="0" w:after="0" w:line="269" w:lineRule="auto"/>
              <w:jc w:val="center"/>
            </w:pPr>
            <w:r/>
          </w:p>
        </w:tc>
      </w:tr>
      <w:tr>
        <w:trPr>
          <w:cantSplit w:val="true"/>
        </w:trPr>
        <w:tc>
          <w:tcPr>
            <w:tcW w:type="dxa" w:w="2103"/>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Collection clock time</w:t>
            </w:r>
          </w:p>
        </w:tc>
        <w:tc>
          <w:tcPr>
            <w:tcW w:type="dxa" w:w="1779"/>
            <w:tcMar>
              <w:top w:w="80" w:type="dxa"/>
              <w:bottom w:w="80" w:type="dxa"/>
              <w:start w:w="120" w:type="dxa"/>
              <w:end w:w="120" w:type="dxa"/>
            </w:tcMar>
            <w:vAlign w:val="center"/>
          </w:tcPr>
          <w:p>
            <w:pPr>
              <w:spacing w:before="0" w:after="0" w:line="269" w:lineRule="auto"/>
              <w:jc w:val="center"/>
            </w:pPr>
            <w:r/>
          </w:p>
        </w:tc>
        <w:tc>
          <w:tcPr>
            <w:tcW w:type="dxa" w:w="1964"/>
            <w:tcMar>
              <w:top w:w="80" w:type="dxa"/>
              <w:bottom w:w="80" w:type="dxa"/>
              <w:start w:w="120" w:type="dxa"/>
              <w:end w:w="120" w:type="dxa"/>
            </w:tcMar>
            <w:vAlign w:val="center"/>
          </w:tcPr>
          <w:p>
            <w:pPr>
              <w:spacing w:before="0" w:after="0" w:line="269" w:lineRule="auto"/>
              <w:jc w:val="center"/>
            </w:pPr>
            <w:r/>
          </w:p>
        </w:tc>
        <w:tc>
          <w:tcPr>
            <w:tcW w:type="dxa" w:w="1224"/>
            <w:tcMar>
              <w:top w:w="80" w:type="dxa"/>
              <w:bottom w:w="80" w:type="dxa"/>
              <w:start w:w="120" w:type="dxa"/>
              <w:end w:w="120" w:type="dxa"/>
            </w:tcMar>
            <w:vAlign w:val="center"/>
          </w:tcPr>
          <w:p>
            <w:pPr>
              <w:spacing w:before="0" w:after="0" w:line="269" w:lineRule="auto"/>
              <w:jc w:val="center"/>
            </w:pPr>
            <w:r/>
          </w:p>
        </w:tc>
        <w:tc>
          <w:tcPr>
            <w:tcW w:type="dxa" w:w="2290"/>
            <w:tcMar>
              <w:top w:w="80" w:type="dxa"/>
              <w:bottom w:w="80" w:type="dxa"/>
              <w:start w:w="120" w:type="dxa"/>
              <w:end w:w="120" w:type="dxa"/>
            </w:tcMar>
            <w:vAlign w:val="center"/>
          </w:tcPr>
          <w:p>
            <w:pPr>
              <w:spacing w:before="0" w:after="0" w:line="269" w:lineRule="auto"/>
              <w:jc w:val="center"/>
            </w:pPr>
            <w:r/>
          </w:p>
        </w:tc>
      </w:tr>
      <w:tr>
        <w:trPr>
          <w:cantSplit w:val="true"/>
        </w:trPr>
        <w:tc>
          <w:tcPr>
            <w:tcW w:type="dxa" w:w="2103"/>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Fasting status/duration</w:t>
            </w:r>
          </w:p>
        </w:tc>
        <w:tc>
          <w:tcPr>
            <w:tcW w:type="dxa" w:w="1779"/>
            <w:tcMar>
              <w:top w:w="80" w:type="dxa"/>
              <w:bottom w:w="80" w:type="dxa"/>
              <w:start w:w="120" w:type="dxa"/>
              <w:end w:w="120" w:type="dxa"/>
            </w:tcMar>
            <w:vAlign w:val="center"/>
          </w:tcPr>
          <w:p>
            <w:pPr>
              <w:spacing w:before="0" w:after="0" w:line="269" w:lineRule="auto"/>
              <w:jc w:val="center"/>
            </w:pPr>
            <w:r/>
          </w:p>
        </w:tc>
        <w:tc>
          <w:tcPr>
            <w:tcW w:type="dxa" w:w="1964"/>
            <w:tcMar>
              <w:top w:w="80" w:type="dxa"/>
              <w:bottom w:w="80" w:type="dxa"/>
              <w:start w:w="120" w:type="dxa"/>
              <w:end w:w="120" w:type="dxa"/>
            </w:tcMar>
            <w:vAlign w:val="center"/>
          </w:tcPr>
          <w:p>
            <w:pPr>
              <w:spacing w:before="0" w:after="0" w:line="269" w:lineRule="auto"/>
              <w:jc w:val="center"/>
            </w:pPr>
            <w:r/>
          </w:p>
        </w:tc>
        <w:tc>
          <w:tcPr>
            <w:tcW w:type="dxa" w:w="1224"/>
            <w:tcMar>
              <w:top w:w="80" w:type="dxa"/>
              <w:bottom w:w="80" w:type="dxa"/>
              <w:start w:w="120" w:type="dxa"/>
              <w:end w:w="120" w:type="dxa"/>
            </w:tcMar>
            <w:vAlign w:val="center"/>
          </w:tcPr>
          <w:p>
            <w:pPr>
              <w:spacing w:before="0" w:after="0" w:line="269" w:lineRule="auto"/>
              <w:jc w:val="center"/>
            </w:pPr>
            <w:r/>
          </w:p>
        </w:tc>
        <w:tc>
          <w:tcPr>
            <w:tcW w:type="dxa" w:w="2290"/>
            <w:tcMar>
              <w:top w:w="80" w:type="dxa"/>
              <w:bottom w:w="80" w:type="dxa"/>
              <w:start w:w="120" w:type="dxa"/>
              <w:end w:w="120" w:type="dxa"/>
            </w:tcMar>
            <w:vAlign w:val="center"/>
          </w:tcPr>
          <w:p>
            <w:pPr>
              <w:spacing w:before="0" w:after="0" w:line="269" w:lineRule="auto"/>
              <w:jc w:val="center"/>
            </w:pPr>
            <w:r/>
          </w:p>
        </w:tc>
      </w:tr>
      <w:tr>
        <w:trPr>
          <w:cantSplit w:val="true"/>
        </w:trPr>
        <w:tc>
          <w:tcPr>
            <w:tcW w:type="dxa" w:w="2103"/>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Pre-analytical gaps</w:t>
            </w:r>
          </w:p>
        </w:tc>
        <w:tc>
          <w:tcPr>
            <w:tcW w:type="dxa" w:w="1779"/>
            <w:tcMar>
              <w:top w:w="80" w:type="dxa"/>
              <w:bottom w:w="80" w:type="dxa"/>
              <w:start w:w="120" w:type="dxa"/>
              <w:end w:w="120" w:type="dxa"/>
            </w:tcMar>
            <w:vAlign w:val="center"/>
          </w:tcPr>
          <w:p>
            <w:pPr>
              <w:spacing w:before="0" w:after="0" w:line="269" w:lineRule="auto"/>
              <w:jc w:val="center"/>
            </w:pPr>
            <w:r/>
          </w:p>
        </w:tc>
        <w:tc>
          <w:tcPr>
            <w:tcW w:type="dxa" w:w="1964"/>
            <w:tcMar>
              <w:top w:w="80" w:type="dxa"/>
              <w:bottom w:w="80" w:type="dxa"/>
              <w:start w:w="120" w:type="dxa"/>
              <w:end w:w="120" w:type="dxa"/>
            </w:tcMar>
            <w:vAlign w:val="center"/>
          </w:tcPr>
          <w:p>
            <w:pPr>
              <w:spacing w:before="0" w:after="0" w:line="269" w:lineRule="auto"/>
              <w:jc w:val="center"/>
            </w:pPr>
            <w:r/>
          </w:p>
        </w:tc>
        <w:tc>
          <w:tcPr>
            <w:tcW w:type="dxa" w:w="1224"/>
            <w:tcMar>
              <w:top w:w="80" w:type="dxa"/>
              <w:bottom w:w="80" w:type="dxa"/>
              <w:start w:w="120" w:type="dxa"/>
              <w:end w:w="120" w:type="dxa"/>
            </w:tcMar>
            <w:vAlign w:val="center"/>
          </w:tcPr>
          <w:p>
            <w:pPr>
              <w:spacing w:before="0" w:after="0" w:line="269" w:lineRule="auto"/>
              <w:jc w:val="center"/>
            </w:pPr>
            <w:r/>
          </w:p>
        </w:tc>
        <w:tc>
          <w:tcPr>
            <w:tcW w:type="dxa" w:w="2290"/>
            <w:tcMar>
              <w:top w:w="80" w:type="dxa"/>
              <w:bottom w:w="80" w:type="dxa"/>
              <w:start w:w="120" w:type="dxa"/>
              <w:end w:w="120" w:type="dxa"/>
            </w:tcMar>
            <w:vAlign w:val="center"/>
          </w:tcPr>
          <w:p>
            <w:pPr>
              <w:spacing w:before="0" w:after="0" w:line="269" w:lineRule="auto"/>
              <w:jc w:val="center"/>
            </w:pPr>
            <w:r/>
          </w:p>
        </w:tc>
      </w:tr>
    </w:tbl>
    <w:p>
      <w:pPr>
        <w:spacing w:before="0" w:after="40"/>
      </w:pPr>
    </w:p>
    <w:p>
      <w:pPr>
        <w:pStyle w:val="Heading2"/>
      </w:pPr>
      <w:r>
        <w:rPr>
          <w:rFonts w:ascii="Calibri" w:hAnsi="Calibri"/>
          <w:color w:val="222222"/>
        </w:rPr>
        <w:t>6. Timepoint semantics</w:t>
      </w:r>
    </w:p>
    <w:p>
      <w:r>
        <w:rPr>
          <w:rFonts w:ascii="Calibri" w:hAnsi="Calibri"/>
          <w:color w:val="222222"/>
        </w:rPr>
        <w:t xml:space="preserve">Do not use the same harmonized time label merely because both studies contain </w:t>
      </w:r>
      <w:r>
        <w:rPr>
          <w:rFonts w:ascii="Consolas" w:hAnsi="Consolas"/>
          <w:color w:val="1F4D78"/>
          <w:sz w:val="21"/>
          <w:shd w:fill="EEF1F4"/>
        </w:rPr>
        <w:t>baseline</w:t>
      </w:r>
      <w:r>
        <w:rPr>
          <w:rFonts w:ascii="Calibri" w:hAnsi="Calibri"/>
          <w:color w:val="222222"/>
        </w:rPr>
        <w:t xml:space="preserve">, </w:t>
      </w:r>
      <w:r>
        <w:rPr>
          <w:rFonts w:ascii="Consolas" w:hAnsi="Consolas"/>
          <w:color w:val="1F4D78"/>
          <w:sz w:val="21"/>
          <w:shd w:fill="EEF1F4"/>
        </w:rPr>
        <w:t>rest</w:t>
      </w:r>
      <w:r>
        <w:rPr>
          <w:rFonts w:ascii="Calibri" w:hAnsi="Calibri"/>
          <w:color w:val="222222"/>
        </w:rPr>
        <w:t xml:space="preserve">, or </w:t>
      </w:r>
      <w:r>
        <w:rPr>
          <w:rFonts w:ascii="Consolas" w:hAnsi="Consolas"/>
          <w:color w:val="1F4D78"/>
          <w:sz w:val="21"/>
          <w:shd w:fill="EEF1F4"/>
        </w:rPr>
        <w:t>post</w:t>
      </w:r>
      <w:r>
        <w:rPr>
          <w:rFonts w:ascii="Calibri" w:hAnsi="Calibri"/>
          <w:color w:val="222222"/>
        </w:rPr>
        <w:t xml:space="preserve"> concepts.</w:t>
      </w:r>
    </w:p>
    <w:p>
      <w:pPr>
        <w:pStyle w:val="Heading3"/>
      </w:pPr>
      <w:r>
        <w:rPr>
          <w:rFonts w:ascii="Calibri" w:hAnsi="Calibri"/>
          <w:color w:val="222222"/>
        </w:rPr>
        <w:t>Diet study timepoints</w:t>
      </w:r>
    </w:p>
    <w:tbl>
      <w:tblPr>
        <w:tblStyle w:val="TableGrid"/>
        <w:tblW w:type="dxa" w:w="9360"/>
        <w:jc w:val="left"/>
        <w:tblLayout w:type="fixed"/>
        <w:tblLook w:firstColumn="1" w:firstRow="1" w:lastColumn="0" w:lastRow="0" w:noHBand="0" w:noVBand="1" w:val="04A0"/>
        <w:tblInd w:w="120" w:type="dxa"/>
      </w:tblPr>
      <w:tblGrid>
        <w:gridCol w:w="1295"/>
        <w:gridCol w:w="1295"/>
        <w:gridCol w:w="1237"/>
        <w:gridCol w:w="2223"/>
        <w:gridCol w:w="1237"/>
        <w:gridCol w:w="947"/>
        <w:gridCol w:w="1126"/>
      </w:tblGrid>
      <w:tr>
        <w:trPr>
          <w:cantSplit w:val="true"/>
          <w:tblHeader w:val="true"/>
        </w:trPr>
        <w:tc>
          <w:tcPr>
            <w:tcW w:type="dxa" w:w="1295"/>
            <w:tcMar>
              <w:top w:w="80" w:type="dxa"/>
              <w:bottom w:w="80" w:type="dxa"/>
              <w:start w:w="120" w:type="dxa"/>
              <w:end w:w="120" w:type="dxa"/>
            </w:tcMar>
            <w:vAlign w:val="center"/>
            <w:shd w:fill="E8EEF5"/>
          </w:tcPr>
          <w:p>
            <w:pPr>
              <w:spacing w:before="0" w:after="0" w:line="269" w:lineRule="auto"/>
              <w:jc w:val="left"/>
            </w:pPr>
            <w:r>
              <w:rPr>
                <w:b/>
                <w:color w:val="203748"/>
              </w:rPr>
            </w:r>
            <w:r>
              <w:rPr>
                <w:rFonts w:ascii="Calibri" w:hAnsi="Calibri"/>
                <w:b/>
                <w:color w:val="203748"/>
                <w:sz w:val="15"/>
              </w:rPr>
              <w:t>Source label</w:t>
            </w:r>
          </w:p>
        </w:tc>
        <w:tc>
          <w:tcPr>
            <w:tcW w:type="dxa" w:w="1295"/>
            <w:tcMar>
              <w:top w:w="80" w:type="dxa"/>
              <w:bottom w:w="80" w:type="dxa"/>
              <w:start w:w="120" w:type="dxa"/>
              <w:end w:w="120" w:type="dxa"/>
            </w:tcMar>
            <w:vAlign w:val="center"/>
            <w:shd w:fill="E8EEF5"/>
          </w:tcPr>
          <w:p>
            <w:pPr>
              <w:spacing w:before="0" w:after="0" w:line="269" w:lineRule="auto"/>
              <w:jc w:val="center"/>
            </w:pPr>
            <w:r>
              <w:rPr>
                <w:b/>
                <w:color w:val="203748"/>
              </w:rPr>
            </w:r>
            <w:r>
              <w:rPr>
                <w:rFonts w:ascii="Calibri" w:hAnsi="Calibri"/>
                <w:b/>
                <w:color w:val="203748"/>
                <w:sz w:val="15"/>
              </w:rPr>
              <w:t>Anchor event</w:t>
            </w:r>
          </w:p>
        </w:tc>
        <w:tc>
          <w:tcPr>
            <w:tcW w:type="dxa" w:w="1237"/>
            <w:tcMar>
              <w:top w:w="80" w:type="dxa"/>
              <w:bottom w:w="80" w:type="dxa"/>
              <w:start w:w="120" w:type="dxa"/>
              <w:end w:w="120" w:type="dxa"/>
            </w:tcMar>
            <w:vAlign w:val="center"/>
            <w:shd w:fill="E8EEF5"/>
          </w:tcPr>
          <w:p>
            <w:pPr>
              <w:spacing w:before="0" w:after="0" w:line="269" w:lineRule="auto"/>
              <w:jc w:val="center"/>
            </w:pPr>
            <w:r>
              <w:rPr>
                <w:b/>
                <w:color w:val="203748"/>
              </w:rPr>
            </w:r>
            <w:r>
              <w:rPr>
                <w:rFonts w:ascii="Calibri" w:hAnsi="Calibri"/>
                <w:b/>
                <w:color w:val="203748"/>
                <w:sz w:val="15"/>
              </w:rPr>
              <w:t>Offset/unit</w:t>
            </w:r>
          </w:p>
        </w:tc>
        <w:tc>
          <w:tcPr>
            <w:tcW w:type="dxa" w:w="2223"/>
            <w:tcMar>
              <w:top w:w="80" w:type="dxa"/>
              <w:bottom w:w="80" w:type="dxa"/>
              <w:start w:w="120" w:type="dxa"/>
              <w:end w:w="120" w:type="dxa"/>
            </w:tcMar>
            <w:vAlign w:val="center"/>
            <w:shd w:fill="E8EEF5"/>
          </w:tcPr>
          <w:p>
            <w:pPr>
              <w:spacing w:before="0" w:after="0" w:line="269" w:lineRule="auto"/>
              <w:jc w:val="left"/>
            </w:pPr>
            <w:r>
              <w:rPr>
                <w:b/>
                <w:color w:val="203748"/>
              </w:rPr>
            </w:r>
            <w:r>
              <w:rPr>
                <w:rFonts w:ascii="Calibri" w:hAnsi="Calibri"/>
                <w:b/>
                <w:color w:val="203748"/>
                <w:sz w:val="15"/>
              </w:rPr>
              <w:t>Physiological/protocol state</w:t>
            </w:r>
          </w:p>
        </w:tc>
        <w:tc>
          <w:tcPr>
            <w:tcW w:type="dxa" w:w="1237"/>
            <w:tcMar>
              <w:top w:w="80" w:type="dxa"/>
              <w:bottom w:w="80" w:type="dxa"/>
              <w:start w:w="120" w:type="dxa"/>
              <w:end w:w="120" w:type="dxa"/>
            </w:tcMar>
            <w:vAlign w:val="center"/>
            <w:shd w:fill="E8EEF5"/>
          </w:tcPr>
          <w:p>
            <w:pPr>
              <w:spacing w:before="0" w:after="0" w:line="269" w:lineRule="auto"/>
              <w:jc w:val="center"/>
            </w:pPr>
            <w:r>
              <w:rPr>
                <w:b/>
                <w:color w:val="203748"/>
              </w:rPr>
            </w:r>
            <w:r>
              <w:rPr>
                <w:rFonts w:ascii="Calibri" w:hAnsi="Calibri"/>
                <w:b/>
                <w:color w:val="203748"/>
                <w:sz w:val="15"/>
              </w:rPr>
              <w:t>Visit/order</w:t>
            </w:r>
          </w:p>
        </w:tc>
        <w:tc>
          <w:tcPr>
            <w:tcW w:type="dxa" w:w="947"/>
            <w:tcMar>
              <w:top w:w="80" w:type="dxa"/>
              <w:bottom w:w="80" w:type="dxa"/>
              <w:start w:w="120" w:type="dxa"/>
              <w:end w:w="120" w:type="dxa"/>
            </w:tcMar>
            <w:vAlign w:val="center"/>
            <w:shd w:fill="E8EEF5"/>
          </w:tcPr>
          <w:p>
            <w:pPr>
              <w:spacing w:before="0" w:after="0" w:line="269" w:lineRule="auto"/>
              <w:jc w:val="center"/>
            </w:pPr>
            <w:r>
              <w:rPr>
                <w:b/>
                <w:color w:val="203748"/>
              </w:rPr>
            </w:r>
            <w:r>
              <w:rPr>
                <w:rFonts w:ascii="Calibri" w:hAnsi="Calibri"/>
                <w:b/>
                <w:color w:val="203748"/>
                <w:sz w:val="15"/>
              </w:rPr>
              <w:t>Source</w:t>
            </w:r>
          </w:p>
        </w:tc>
        <w:tc>
          <w:tcPr>
            <w:tcW w:type="dxa" w:w="1126"/>
            <w:tcMar>
              <w:top w:w="80" w:type="dxa"/>
              <w:bottom w:w="80" w:type="dxa"/>
              <w:start w:w="120" w:type="dxa"/>
              <w:end w:w="120" w:type="dxa"/>
            </w:tcMar>
            <w:vAlign w:val="center"/>
            <w:shd w:fill="E8EEF5"/>
          </w:tcPr>
          <w:p>
            <w:pPr>
              <w:spacing w:before="0" w:after="0" w:line="269" w:lineRule="auto"/>
              <w:jc w:val="center"/>
            </w:pPr>
            <w:r>
              <w:rPr>
                <w:b/>
                <w:color w:val="203748"/>
              </w:rPr>
            </w:r>
            <w:r>
              <w:rPr>
                <w:rFonts w:ascii="Calibri" w:hAnsi="Calibri"/>
                <w:b/>
                <w:color w:val="203748"/>
                <w:sz w:val="15"/>
              </w:rPr>
              <w:t>Resolved?</w:t>
            </w:r>
          </w:p>
        </w:tc>
      </w:tr>
      <w:tr>
        <w:trPr>
          <w:cantSplit w:val="true"/>
        </w:trPr>
        <w:tc>
          <w:tcPr>
            <w:tcW w:type="dxa" w:w="1295"/>
            <w:tcMar>
              <w:top w:w="80" w:type="dxa"/>
              <w:bottom w:w="80" w:type="dxa"/>
              <w:start w:w="120" w:type="dxa"/>
              <w:end w:w="120" w:type="dxa"/>
            </w:tcMar>
            <w:vAlign w:val="center"/>
          </w:tcPr>
          <w:p>
            <w:pPr>
              <w:spacing w:before="0" w:after="0" w:line="269" w:lineRule="auto"/>
              <w:jc w:val="left"/>
            </w:pPr>
            <w:r/>
          </w:p>
        </w:tc>
        <w:tc>
          <w:tcPr>
            <w:tcW w:type="dxa" w:w="1295"/>
            <w:tcMar>
              <w:top w:w="80" w:type="dxa"/>
              <w:bottom w:w="80" w:type="dxa"/>
              <w:start w:w="120" w:type="dxa"/>
              <w:end w:w="120" w:type="dxa"/>
            </w:tcMar>
            <w:vAlign w:val="center"/>
          </w:tcPr>
          <w:p>
            <w:pPr>
              <w:spacing w:before="0" w:after="0" w:line="269" w:lineRule="auto"/>
              <w:jc w:val="center"/>
            </w:pPr>
            <w:r/>
          </w:p>
        </w:tc>
        <w:tc>
          <w:tcPr>
            <w:tcW w:type="dxa" w:w="1237"/>
            <w:tcMar>
              <w:top w:w="80" w:type="dxa"/>
              <w:bottom w:w="80" w:type="dxa"/>
              <w:start w:w="120" w:type="dxa"/>
              <w:end w:w="120" w:type="dxa"/>
            </w:tcMar>
            <w:vAlign w:val="center"/>
          </w:tcPr>
          <w:p>
            <w:pPr>
              <w:spacing w:before="0" w:after="0" w:line="269" w:lineRule="auto"/>
              <w:jc w:val="center"/>
            </w:pPr>
            <w:r/>
          </w:p>
        </w:tc>
        <w:tc>
          <w:tcPr>
            <w:tcW w:type="dxa" w:w="2223"/>
            <w:tcMar>
              <w:top w:w="80" w:type="dxa"/>
              <w:bottom w:w="80" w:type="dxa"/>
              <w:start w:w="120" w:type="dxa"/>
              <w:end w:w="120" w:type="dxa"/>
            </w:tcMar>
            <w:vAlign w:val="center"/>
          </w:tcPr>
          <w:p>
            <w:pPr>
              <w:spacing w:before="0" w:after="0" w:line="269" w:lineRule="auto"/>
              <w:jc w:val="center"/>
            </w:pPr>
            <w:r/>
          </w:p>
        </w:tc>
        <w:tc>
          <w:tcPr>
            <w:tcW w:type="dxa" w:w="1237"/>
            <w:tcMar>
              <w:top w:w="80" w:type="dxa"/>
              <w:bottom w:w="80" w:type="dxa"/>
              <w:start w:w="120" w:type="dxa"/>
              <w:end w:w="120" w:type="dxa"/>
            </w:tcMar>
            <w:vAlign w:val="center"/>
          </w:tcPr>
          <w:p>
            <w:pPr>
              <w:spacing w:before="0" w:after="0" w:line="269" w:lineRule="auto"/>
              <w:jc w:val="center"/>
            </w:pPr>
            <w:r/>
          </w:p>
        </w:tc>
        <w:tc>
          <w:tcPr>
            <w:tcW w:type="dxa" w:w="947"/>
            <w:tcMar>
              <w:top w:w="80" w:type="dxa"/>
              <w:bottom w:w="80" w:type="dxa"/>
              <w:start w:w="120" w:type="dxa"/>
              <w:end w:w="120" w:type="dxa"/>
            </w:tcMar>
            <w:vAlign w:val="center"/>
          </w:tcPr>
          <w:p>
            <w:pPr>
              <w:spacing w:before="0" w:after="0" w:line="269" w:lineRule="auto"/>
              <w:jc w:val="center"/>
            </w:pPr>
            <w:r/>
          </w:p>
        </w:tc>
        <w:tc>
          <w:tcPr>
            <w:tcW w:type="dxa" w:w="1126"/>
            <w:tcMar>
              <w:top w:w="80" w:type="dxa"/>
              <w:bottom w:w="80" w:type="dxa"/>
              <w:start w:w="120" w:type="dxa"/>
              <w:end w:w="120" w:type="dxa"/>
            </w:tcMar>
            <w:vAlign w:val="center"/>
          </w:tcPr>
          <w:p>
            <w:pPr>
              <w:spacing w:before="0" w:after="0" w:line="269" w:lineRule="auto"/>
              <w:jc w:val="center"/>
            </w:pPr>
            <w:r/>
          </w:p>
        </w:tc>
      </w:tr>
      <w:tr>
        <w:trPr>
          <w:cantSplit w:val="true"/>
        </w:trPr>
        <w:tc>
          <w:tcPr>
            <w:tcW w:type="dxa" w:w="1295"/>
            <w:tcMar>
              <w:top w:w="80" w:type="dxa"/>
              <w:bottom w:w="80" w:type="dxa"/>
              <w:start w:w="120" w:type="dxa"/>
              <w:end w:w="120" w:type="dxa"/>
            </w:tcMar>
            <w:vAlign w:val="center"/>
          </w:tcPr>
          <w:p>
            <w:pPr>
              <w:spacing w:before="0" w:after="0" w:line="269" w:lineRule="auto"/>
              <w:jc w:val="left"/>
            </w:pPr>
            <w:r/>
          </w:p>
        </w:tc>
        <w:tc>
          <w:tcPr>
            <w:tcW w:type="dxa" w:w="1295"/>
            <w:tcMar>
              <w:top w:w="80" w:type="dxa"/>
              <w:bottom w:w="80" w:type="dxa"/>
              <w:start w:w="120" w:type="dxa"/>
              <w:end w:w="120" w:type="dxa"/>
            </w:tcMar>
            <w:vAlign w:val="center"/>
          </w:tcPr>
          <w:p>
            <w:pPr>
              <w:spacing w:before="0" w:after="0" w:line="269" w:lineRule="auto"/>
              <w:jc w:val="center"/>
            </w:pPr>
            <w:r/>
          </w:p>
        </w:tc>
        <w:tc>
          <w:tcPr>
            <w:tcW w:type="dxa" w:w="1237"/>
            <w:tcMar>
              <w:top w:w="80" w:type="dxa"/>
              <w:bottom w:w="80" w:type="dxa"/>
              <w:start w:w="120" w:type="dxa"/>
              <w:end w:w="120" w:type="dxa"/>
            </w:tcMar>
            <w:vAlign w:val="center"/>
          </w:tcPr>
          <w:p>
            <w:pPr>
              <w:spacing w:before="0" w:after="0" w:line="269" w:lineRule="auto"/>
              <w:jc w:val="center"/>
            </w:pPr>
            <w:r/>
          </w:p>
        </w:tc>
        <w:tc>
          <w:tcPr>
            <w:tcW w:type="dxa" w:w="2223"/>
            <w:tcMar>
              <w:top w:w="80" w:type="dxa"/>
              <w:bottom w:w="80" w:type="dxa"/>
              <w:start w:w="120" w:type="dxa"/>
              <w:end w:w="120" w:type="dxa"/>
            </w:tcMar>
            <w:vAlign w:val="center"/>
          </w:tcPr>
          <w:p>
            <w:pPr>
              <w:spacing w:before="0" w:after="0" w:line="269" w:lineRule="auto"/>
              <w:jc w:val="center"/>
            </w:pPr>
            <w:r/>
          </w:p>
        </w:tc>
        <w:tc>
          <w:tcPr>
            <w:tcW w:type="dxa" w:w="1237"/>
            <w:tcMar>
              <w:top w:w="80" w:type="dxa"/>
              <w:bottom w:w="80" w:type="dxa"/>
              <w:start w:w="120" w:type="dxa"/>
              <w:end w:w="120" w:type="dxa"/>
            </w:tcMar>
            <w:vAlign w:val="center"/>
          </w:tcPr>
          <w:p>
            <w:pPr>
              <w:spacing w:before="0" w:after="0" w:line="269" w:lineRule="auto"/>
              <w:jc w:val="center"/>
            </w:pPr>
            <w:r/>
          </w:p>
        </w:tc>
        <w:tc>
          <w:tcPr>
            <w:tcW w:type="dxa" w:w="947"/>
            <w:tcMar>
              <w:top w:w="80" w:type="dxa"/>
              <w:bottom w:w="80" w:type="dxa"/>
              <w:start w:w="120" w:type="dxa"/>
              <w:end w:w="120" w:type="dxa"/>
            </w:tcMar>
            <w:vAlign w:val="center"/>
          </w:tcPr>
          <w:p>
            <w:pPr>
              <w:spacing w:before="0" w:after="0" w:line="269" w:lineRule="auto"/>
              <w:jc w:val="center"/>
            </w:pPr>
            <w:r/>
          </w:p>
        </w:tc>
        <w:tc>
          <w:tcPr>
            <w:tcW w:type="dxa" w:w="1126"/>
            <w:tcMar>
              <w:top w:w="80" w:type="dxa"/>
              <w:bottom w:w="80" w:type="dxa"/>
              <w:start w:w="120" w:type="dxa"/>
              <w:end w:w="120" w:type="dxa"/>
            </w:tcMar>
            <w:vAlign w:val="center"/>
          </w:tcPr>
          <w:p>
            <w:pPr>
              <w:spacing w:before="0" w:after="0" w:line="269" w:lineRule="auto"/>
              <w:jc w:val="center"/>
            </w:pPr>
            <w:r/>
          </w:p>
        </w:tc>
      </w:tr>
      <w:tr>
        <w:trPr>
          <w:cantSplit w:val="true"/>
        </w:trPr>
        <w:tc>
          <w:tcPr>
            <w:tcW w:type="dxa" w:w="1295"/>
            <w:tcMar>
              <w:top w:w="80" w:type="dxa"/>
              <w:bottom w:w="80" w:type="dxa"/>
              <w:start w:w="120" w:type="dxa"/>
              <w:end w:w="120" w:type="dxa"/>
            </w:tcMar>
            <w:vAlign w:val="center"/>
          </w:tcPr>
          <w:p>
            <w:pPr>
              <w:spacing w:before="0" w:after="0" w:line="269" w:lineRule="auto"/>
              <w:jc w:val="left"/>
            </w:pPr>
            <w:r/>
          </w:p>
        </w:tc>
        <w:tc>
          <w:tcPr>
            <w:tcW w:type="dxa" w:w="1295"/>
            <w:tcMar>
              <w:top w:w="80" w:type="dxa"/>
              <w:bottom w:w="80" w:type="dxa"/>
              <w:start w:w="120" w:type="dxa"/>
              <w:end w:w="120" w:type="dxa"/>
            </w:tcMar>
            <w:vAlign w:val="center"/>
          </w:tcPr>
          <w:p>
            <w:pPr>
              <w:spacing w:before="0" w:after="0" w:line="269" w:lineRule="auto"/>
              <w:jc w:val="center"/>
            </w:pPr>
            <w:r/>
          </w:p>
        </w:tc>
        <w:tc>
          <w:tcPr>
            <w:tcW w:type="dxa" w:w="1237"/>
            <w:tcMar>
              <w:top w:w="80" w:type="dxa"/>
              <w:bottom w:w="80" w:type="dxa"/>
              <w:start w:w="120" w:type="dxa"/>
              <w:end w:w="120" w:type="dxa"/>
            </w:tcMar>
            <w:vAlign w:val="center"/>
          </w:tcPr>
          <w:p>
            <w:pPr>
              <w:spacing w:before="0" w:after="0" w:line="269" w:lineRule="auto"/>
              <w:jc w:val="center"/>
            </w:pPr>
            <w:r/>
          </w:p>
        </w:tc>
        <w:tc>
          <w:tcPr>
            <w:tcW w:type="dxa" w:w="2223"/>
            <w:tcMar>
              <w:top w:w="80" w:type="dxa"/>
              <w:bottom w:w="80" w:type="dxa"/>
              <w:start w:w="120" w:type="dxa"/>
              <w:end w:w="120" w:type="dxa"/>
            </w:tcMar>
            <w:vAlign w:val="center"/>
          </w:tcPr>
          <w:p>
            <w:pPr>
              <w:spacing w:before="0" w:after="0" w:line="269" w:lineRule="auto"/>
              <w:jc w:val="center"/>
            </w:pPr>
            <w:r/>
          </w:p>
        </w:tc>
        <w:tc>
          <w:tcPr>
            <w:tcW w:type="dxa" w:w="1237"/>
            <w:tcMar>
              <w:top w:w="80" w:type="dxa"/>
              <w:bottom w:w="80" w:type="dxa"/>
              <w:start w:w="120" w:type="dxa"/>
              <w:end w:w="120" w:type="dxa"/>
            </w:tcMar>
            <w:vAlign w:val="center"/>
          </w:tcPr>
          <w:p>
            <w:pPr>
              <w:spacing w:before="0" w:after="0" w:line="269" w:lineRule="auto"/>
              <w:jc w:val="center"/>
            </w:pPr>
            <w:r/>
          </w:p>
        </w:tc>
        <w:tc>
          <w:tcPr>
            <w:tcW w:type="dxa" w:w="947"/>
            <w:tcMar>
              <w:top w:w="80" w:type="dxa"/>
              <w:bottom w:w="80" w:type="dxa"/>
              <w:start w:w="120" w:type="dxa"/>
              <w:end w:w="120" w:type="dxa"/>
            </w:tcMar>
            <w:vAlign w:val="center"/>
          </w:tcPr>
          <w:p>
            <w:pPr>
              <w:spacing w:before="0" w:after="0" w:line="269" w:lineRule="auto"/>
              <w:jc w:val="center"/>
            </w:pPr>
            <w:r/>
          </w:p>
        </w:tc>
        <w:tc>
          <w:tcPr>
            <w:tcW w:type="dxa" w:w="1126"/>
            <w:tcMar>
              <w:top w:w="80" w:type="dxa"/>
              <w:bottom w:w="80" w:type="dxa"/>
              <w:start w:w="120" w:type="dxa"/>
              <w:end w:w="120" w:type="dxa"/>
            </w:tcMar>
            <w:vAlign w:val="center"/>
          </w:tcPr>
          <w:p>
            <w:pPr>
              <w:spacing w:before="0" w:after="0" w:line="269" w:lineRule="auto"/>
              <w:jc w:val="center"/>
            </w:pPr>
            <w:r/>
          </w:p>
        </w:tc>
      </w:tr>
      <w:tr>
        <w:trPr>
          <w:cantSplit w:val="true"/>
        </w:trPr>
        <w:tc>
          <w:tcPr>
            <w:tcW w:type="dxa" w:w="1295"/>
            <w:tcMar>
              <w:top w:w="80" w:type="dxa"/>
              <w:bottom w:w="80" w:type="dxa"/>
              <w:start w:w="120" w:type="dxa"/>
              <w:end w:w="120" w:type="dxa"/>
            </w:tcMar>
            <w:vAlign w:val="center"/>
          </w:tcPr>
          <w:p>
            <w:pPr>
              <w:spacing w:before="0" w:after="0" w:line="269" w:lineRule="auto"/>
              <w:jc w:val="left"/>
            </w:pPr>
            <w:r/>
          </w:p>
        </w:tc>
        <w:tc>
          <w:tcPr>
            <w:tcW w:type="dxa" w:w="1295"/>
            <w:tcMar>
              <w:top w:w="80" w:type="dxa"/>
              <w:bottom w:w="80" w:type="dxa"/>
              <w:start w:w="120" w:type="dxa"/>
              <w:end w:w="120" w:type="dxa"/>
            </w:tcMar>
            <w:vAlign w:val="center"/>
          </w:tcPr>
          <w:p>
            <w:pPr>
              <w:spacing w:before="0" w:after="0" w:line="269" w:lineRule="auto"/>
              <w:jc w:val="center"/>
            </w:pPr>
            <w:r/>
          </w:p>
        </w:tc>
        <w:tc>
          <w:tcPr>
            <w:tcW w:type="dxa" w:w="1237"/>
            <w:tcMar>
              <w:top w:w="80" w:type="dxa"/>
              <w:bottom w:w="80" w:type="dxa"/>
              <w:start w:w="120" w:type="dxa"/>
              <w:end w:w="120" w:type="dxa"/>
            </w:tcMar>
            <w:vAlign w:val="center"/>
          </w:tcPr>
          <w:p>
            <w:pPr>
              <w:spacing w:before="0" w:after="0" w:line="269" w:lineRule="auto"/>
              <w:jc w:val="center"/>
            </w:pPr>
            <w:r/>
          </w:p>
        </w:tc>
        <w:tc>
          <w:tcPr>
            <w:tcW w:type="dxa" w:w="2223"/>
            <w:tcMar>
              <w:top w:w="80" w:type="dxa"/>
              <w:bottom w:w="80" w:type="dxa"/>
              <w:start w:w="120" w:type="dxa"/>
              <w:end w:w="120" w:type="dxa"/>
            </w:tcMar>
            <w:vAlign w:val="center"/>
          </w:tcPr>
          <w:p>
            <w:pPr>
              <w:spacing w:before="0" w:after="0" w:line="269" w:lineRule="auto"/>
              <w:jc w:val="center"/>
            </w:pPr>
            <w:r/>
          </w:p>
        </w:tc>
        <w:tc>
          <w:tcPr>
            <w:tcW w:type="dxa" w:w="1237"/>
            <w:tcMar>
              <w:top w:w="80" w:type="dxa"/>
              <w:bottom w:w="80" w:type="dxa"/>
              <w:start w:w="120" w:type="dxa"/>
              <w:end w:w="120" w:type="dxa"/>
            </w:tcMar>
            <w:vAlign w:val="center"/>
          </w:tcPr>
          <w:p>
            <w:pPr>
              <w:spacing w:before="0" w:after="0" w:line="269" w:lineRule="auto"/>
              <w:jc w:val="center"/>
            </w:pPr>
            <w:r/>
          </w:p>
        </w:tc>
        <w:tc>
          <w:tcPr>
            <w:tcW w:type="dxa" w:w="947"/>
            <w:tcMar>
              <w:top w:w="80" w:type="dxa"/>
              <w:bottom w:w="80" w:type="dxa"/>
              <w:start w:w="120" w:type="dxa"/>
              <w:end w:w="120" w:type="dxa"/>
            </w:tcMar>
            <w:vAlign w:val="center"/>
          </w:tcPr>
          <w:p>
            <w:pPr>
              <w:spacing w:before="0" w:after="0" w:line="269" w:lineRule="auto"/>
              <w:jc w:val="center"/>
            </w:pPr>
            <w:r/>
          </w:p>
        </w:tc>
        <w:tc>
          <w:tcPr>
            <w:tcW w:type="dxa" w:w="1126"/>
            <w:tcMar>
              <w:top w:w="80" w:type="dxa"/>
              <w:bottom w:w="80" w:type="dxa"/>
              <w:start w:w="120" w:type="dxa"/>
              <w:end w:w="120" w:type="dxa"/>
            </w:tcMar>
            <w:vAlign w:val="center"/>
          </w:tcPr>
          <w:p>
            <w:pPr>
              <w:spacing w:before="0" w:after="0" w:line="269" w:lineRule="auto"/>
              <w:jc w:val="center"/>
            </w:pPr>
            <w:r/>
          </w:p>
        </w:tc>
      </w:tr>
      <w:tr>
        <w:trPr>
          <w:cantSplit w:val="true"/>
        </w:trPr>
        <w:tc>
          <w:tcPr>
            <w:tcW w:type="dxa" w:w="1295"/>
            <w:tcMar>
              <w:top w:w="80" w:type="dxa"/>
              <w:bottom w:w="80" w:type="dxa"/>
              <w:start w:w="120" w:type="dxa"/>
              <w:end w:w="120" w:type="dxa"/>
            </w:tcMar>
            <w:vAlign w:val="center"/>
          </w:tcPr>
          <w:p>
            <w:pPr>
              <w:spacing w:before="0" w:after="0" w:line="269" w:lineRule="auto"/>
              <w:jc w:val="left"/>
            </w:pPr>
            <w:r/>
          </w:p>
        </w:tc>
        <w:tc>
          <w:tcPr>
            <w:tcW w:type="dxa" w:w="1295"/>
            <w:tcMar>
              <w:top w:w="80" w:type="dxa"/>
              <w:bottom w:w="80" w:type="dxa"/>
              <w:start w:w="120" w:type="dxa"/>
              <w:end w:w="120" w:type="dxa"/>
            </w:tcMar>
            <w:vAlign w:val="center"/>
          </w:tcPr>
          <w:p>
            <w:pPr>
              <w:spacing w:before="0" w:after="0" w:line="269" w:lineRule="auto"/>
              <w:jc w:val="center"/>
            </w:pPr>
            <w:r/>
          </w:p>
        </w:tc>
        <w:tc>
          <w:tcPr>
            <w:tcW w:type="dxa" w:w="1237"/>
            <w:tcMar>
              <w:top w:w="80" w:type="dxa"/>
              <w:bottom w:w="80" w:type="dxa"/>
              <w:start w:w="120" w:type="dxa"/>
              <w:end w:w="120" w:type="dxa"/>
            </w:tcMar>
            <w:vAlign w:val="center"/>
          </w:tcPr>
          <w:p>
            <w:pPr>
              <w:spacing w:before="0" w:after="0" w:line="269" w:lineRule="auto"/>
              <w:jc w:val="center"/>
            </w:pPr>
            <w:r/>
          </w:p>
        </w:tc>
        <w:tc>
          <w:tcPr>
            <w:tcW w:type="dxa" w:w="2223"/>
            <w:tcMar>
              <w:top w:w="80" w:type="dxa"/>
              <w:bottom w:w="80" w:type="dxa"/>
              <w:start w:w="120" w:type="dxa"/>
              <w:end w:w="120" w:type="dxa"/>
            </w:tcMar>
            <w:vAlign w:val="center"/>
          </w:tcPr>
          <w:p>
            <w:pPr>
              <w:spacing w:before="0" w:after="0" w:line="269" w:lineRule="auto"/>
              <w:jc w:val="center"/>
            </w:pPr>
            <w:r/>
          </w:p>
        </w:tc>
        <w:tc>
          <w:tcPr>
            <w:tcW w:type="dxa" w:w="1237"/>
            <w:tcMar>
              <w:top w:w="80" w:type="dxa"/>
              <w:bottom w:w="80" w:type="dxa"/>
              <w:start w:w="120" w:type="dxa"/>
              <w:end w:w="120" w:type="dxa"/>
            </w:tcMar>
            <w:vAlign w:val="center"/>
          </w:tcPr>
          <w:p>
            <w:pPr>
              <w:spacing w:before="0" w:after="0" w:line="269" w:lineRule="auto"/>
              <w:jc w:val="center"/>
            </w:pPr>
            <w:r/>
          </w:p>
        </w:tc>
        <w:tc>
          <w:tcPr>
            <w:tcW w:type="dxa" w:w="947"/>
            <w:tcMar>
              <w:top w:w="80" w:type="dxa"/>
              <w:bottom w:w="80" w:type="dxa"/>
              <w:start w:w="120" w:type="dxa"/>
              <w:end w:w="120" w:type="dxa"/>
            </w:tcMar>
            <w:vAlign w:val="center"/>
          </w:tcPr>
          <w:p>
            <w:pPr>
              <w:spacing w:before="0" w:after="0" w:line="269" w:lineRule="auto"/>
              <w:jc w:val="center"/>
            </w:pPr>
            <w:r/>
          </w:p>
        </w:tc>
        <w:tc>
          <w:tcPr>
            <w:tcW w:type="dxa" w:w="1126"/>
            <w:tcMar>
              <w:top w:w="80" w:type="dxa"/>
              <w:bottom w:w="80" w:type="dxa"/>
              <w:start w:w="120" w:type="dxa"/>
              <w:end w:w="120" w:type="dxa"/>
            </w:tcMar>
            <w:vAlign w:val="center"/>
          </w:tcPr>
          <w:p>
            <w:pPr>
              <w:spacing w:before="0" w:after="0" w:line="269" w:lineRule="auto"/>
              <w:jc w:val="center"/>
            </w:pPr>
            <w:r/>
          </w:p>
        </w:tc>
      </w:tr>
    </w:tbl>
    <w:p>
      <w:pPr>
        <w:spacing w:before="0" w:after="40"/>
      </w:pPr>
    </w:p>
    <w:p>
      <w:pPr>
        <w:pStyle w:val="Heading3"/>
      </w:pPr>
      <w:r>
        <w:rPr>
          <w:rFonts w:ascii="Calibri" w:hAnsi="Calibri"/>
          <w:color w:val="222222"/>
        </w:rPr>
        <w:t>Exercise study timepoints</w:t>
      </w:r>
    </w:p>
    <w:tbl>
      <w:tblPr>
        <w:tblStyle w:val="TableGrid"/>
        <w:tblW w:type="dxa" w:w="9360"/>
        <w:jc w:val="left"/>
        <w:tblLayout w:type="fixed"/>
        <w:tblLook w:firstColumn="1" w:firstRow="1" w:lastColumn="0" w:lastRow="0" w:noHBand="0" w:noVBand="1" w:val="04A0"/>
        <w:tblInd w:w="120" w:type="dxa"/>
      </w:tblPr>
      <w:tblGrid>
        <w:gridCol w:w="1295"/>
        <w:gridCol w:w="1295"/>
        <w:gridCol w:w="1237"/>
        <w:gridCol w:w="2223"/>
        <w:gridCol w:w="1237"/>
        <w:gridCol w:w="947"/>
        <w:gridCol w:w="1126"/>
      </w:tblGrid>
      <w:tr>
        <w:trPr>
          <w:cantSplit w:val="true"/>
          <w:tblHeader w:val="true"/>
        </w:trPr>
        <w:tc>
          <w:tcPr>
            <w:tcW w:type="dxa" w:w="1295"/>
            <w:tcMar>
              <w:top w:w="80" w:type="dxa"/>
              <w:bottom w:w="80" w:type="dxa"/>
              <w:start w:w="120" w:type="dxa"/>
              <w:end w:w="120" w:type="dxa"/>
            </w:tcMar>
            <w:vAlign w:val="center"/>
            <w:shd w:fill="E8EEF5"/>
          </w:tcPr>
          <w:p>
            <w:pPr>
              <w:spacing w:before="0" w:after="0" w:line="269" w:lineRule="auto"/>
              <w:jc w:val="left"/>
            </w:pPr>
            <w:r>
              <w:rPr>
                <w:b/>
                <w:color w:val="203748"/>
              </w:rPr>
            </w:r>
            <w:r>
              <w:rPr>
                <w:rFonts w:ascii="Calibri" w:hAnsi="Calibri"/>
                <w:b/>
                <w:color w:val="203748"/>
                <w:sz w:val="15"/>
              </w:rPr>
              <w:t>Source label</w:t>
            </w:r>
          </w:p>
        </w:tc>
        <w:tc>
          <w:tcPr>
            <w:tcW w:type="dxa" w:w="1295"/>
            <w:tcMar>
              <w:top w:w="80" w:type="dxa"/>
              <w:bottom w:w="80" w:type="dxa"/>
              <w:start w:w="120" w:type="dxa"/>
              <w:end w:w="120" w:type="dxa"/>
            </w:tcMar>
            <w:vAlign w:val="center"/>
            <w:shd w:fill="E8EEF5"/>
          </w:tcPr>
          <w:p>
            <w:pPr>
              <w:spacing w:before="0" w:after="0" w:line="269" w:lineRule="auto"/>
              <w:jc w:val="center"/>
            </w:pPr>
            <w:r>
              <w:rPr>
                <w:b/>
                <w:color w:val="203748"/>
              </w:rPr>
            </w:r>
            <w:r>
              <w:rPr>
                <w:rFonts w:ascii="Calibri" w:hAnsi="Calibri"/>
                <w:b/>
                <w:color w:val="203748"/>
                <w:sz w:val="15"/>
              </w:rPr>
              <w:t>Anchor event</w:t>
            </w:r>
          </w:p>
        </w:tc>
        <w:tc>
          <w:tcPr>
            <w:tcW w:type="dxa" w:w="1237"/>
            <w:tcMar>
              <w:top w:w="80" w:type="dxa"/>
              <w:bottom w:w="80" w:type="dxa"/>
              <w:start w:w="120" w:type="dxa"/>
              <w:end w:w="120" w:type="dxa"/>
            </w:tcMar>
            <w:vAlign w:val="center"/>
            <w:shd w:fill="E8EEF5"/>
          </w:tcPr>
          <w:p>
            <w:pPr>
              <w:spacing w:before="0" w:after="0" w:line="269" w:lineRule="auto"/>
              <w:jc w:val="center"/>
            </w:pPr>
            <w:r>
              <w:rPr>
                <w:b/>
                <w:color w:val="203748"/>
              </w:rPr>
            </w:r>
            <w:r>
              <w:rPr>
                <w:rFonts w:ascii="Calibri" w:hAnsi="Calibri"/>
                <w:b/>
                <w:color w:val="203748"/>
                <w:sz w:val="15"/>
              </w:rPr>
              <w:t>Offset/unit</w:t>
            </w:r>
          </w:p>
        </w:tc>
        <w:tc>
          <w:tcPr>
            <w:tcW w:type="dxa" w:w="2223"/>
            <w:tcMar>
              <w:top w:w="80" w:type="dxa"/>
              <w:bottom w:w="80" w:type="dxa"/>
              <w:start w:w="120" w:type="dxa"/>
              <w:end w:w="120" w:type="dxa"/>
            </w:tcMar>
            <w:vAlign w:val="center"/>
            <w:shd w:fill="E8EEF5"/>
          </w:tcPr>
          <w:p>
            <w:pPr>
              <w:spacing w:before="0" w:after="0" w:line="269" w:lineRule="auto"/>
              <w:jc w:val="left"/>
            </w:pPr>
            <w:r>
              <w:rPr>
                <w:b/>
                <w:color w:val="203748"/>
              </w:rPr>
            </w:r>
            <w:r>
              <w:rPr>
                <w:rFonts w:ascii="Calibri" w:hAnsi="Calibri"/>
                <w:b/>
                <w:color w:val="203748"/>
                <w:sz w:val="15"/>
              </w:rPr>
              <w:t>Physiological/protocol state</w:t>
            </w:r>
          </w:p>
        </w:tc>
        <w:tc>
          <w:tcPr>
            <w:tcW w:type="dxa" w:w="1237"/>
            <w:tcMar>
              <w:top w:w="80" w:type="dxa"/>
              <w:bottom w:w="80" w:type="dxa"/>
              <w:start w:w="120" w:type="dxa"/>
              <w:end w:w="120" w:type="dxa"/>
            </w:tcMar>
            <w:vAlign w:val="center"/>
            <w:shd w:fill="E8EEF5"/>
          </w:tcPr>
          <w:p>
            <w:pPr>
              <w:spacing w:before="0" w:after="0" w:line="269" w:lineRule="auto"/>
              <w:jc w:val="center"/>
            </w:pPr>
            <w:r>
              <w:rPr>
                <w:b/>
                <w:color w:val="203748"/>
              </w:rPr>
            </w:r>
            <w:r>
              <w:rPr>
                <w:rFonts w:ascii="Calibri" w:hAnsi="Calibri"/>
                <w:b/>
                <w:color w:val="203748"/>
                <w:sz w:val="15"/>
              </w:rPr>
              <w:t>Visit/order</w:t>
            </w:r>
          </w:p>
        </w:tc>
        <w:tc>
          <w:tcPr>
            <w:tcW w:type="dxa" w:w="947"/>
            <w:tcMar>
              <w:top w:w="80" w:type="dxa"/>
              <w:bottom w:w="80" w:type="dxa"/>
              <w:start w:w="120" w:type="dxa"/>
              <w:end w:w="120" w:type="dxa"/>
            </w:tcMar>
            <w:vAlign w:val="center"/>
            <w:shd w:fill="E8EEF5"/>
          </w:tcPr>
          <w:p>
            <w:pPr>
              <w:spacing w:before="0" w:after="0" w:line="269" w:lineRule="auto"/>
              <w:jc w:val="center"/>
            </w:pPr>
            <w:r>
              <w:rPr>
                <w:b/>
                <w:color w:val="203748"/>
              </w:rPr>
            </w:r>
            <w:r>
              <w:rPr>
                <w:rFonts w:ascii="Calibri" w:hAnsi="Calibri"/>
                <w:b/>
                <w:color w:val="203748"/>
                <w:sz w:val="15"/>
              </w:rPr>
              <w:t>Source</w:t>
            </w:r>
          </w:p>
        </w:tc>
        <w:tc>
          <w:tcPr>
            <w:tcW w:type="dxa" w:w="1126"/>
            <w:tcMar>
              <w:top w:w="80" w:type="dxa"/>
              <w:bottom w:w="80" w:type="dxa"/>
              <w:start w:w="120" w:type="dxa"/>
              <w:end w:w="120" w:type="dxa"/>
            </w:tcMar>
            <w:vAlign w:val="center"/>
            <w:shd w:fill="E8EEF5"/>
          </w:tcPr>
          <w:p>
            <w:pPr>
              <w:spacing w:before="0" w:after="0" w:line="269" w:lineRule="auto"/>
              <w:jc w:val="center"/>
            </w:pPr>
            <w:r>
              <w:rPr>
                <w:b/>
                <w:color w:val="203748"/>
              </w:rPr>
            </w:r>
            <w:r>
              <w:rPr>
                <w:rFonts w:ascii="Calibri" w:hAnsi="Calibri"/>
                <w:b/>
                <w:color w:val="203748"/>
                <w:sz w:val="15"/>
              </w:rPr>
              <w:t>Resolved?</w:t>
            </w:r>
          </w:p>
        </w:tc>
      </w:tr>
      <w:tr>
        <w:trPr>
          <w:cantSplit w:val="true"/>
        </w:trPr>
        <w:tc>
          <w:tcPr>
            <w:tcW w:type="dxa" w:w="1295"/>
            <w:tcMar>
              <w:top w:w="80" w:type="dxa"/>
              <w:bottom w:w="80" w:type="dxa"/>
              <w:start w:w="120" w:type="dxa"/>
              <w:end w:w="120" w:type="dxa"/>
            </w:tcMar>
            <w:vAlign w:val="center"/>
          </w:tcPr>
          <w:p>
            <w:pPr>
              <w:spacing w:before="0" w:after="0" w:line="269" w:lineRule="auto"/>
              <w:jc w:val="left"/>
            </w:pPr>
            <w:r/>
          </w:p>
        </w:tc>
        <w:tc>
          <w:tcPr>
            <w:tcW w:type="dxa" w:w="1295"/>
            <w:tcMar>
              <w:top w:w="80" w:type="dxa"/>
              <w:bottom w:w="80" w:type="dxa"/>
              <w:start w:w="120" w:type="dxa"/>
              <w:end w:w="120" w:type="dxa"/>
            </w:tcMar>
            <w:vAlign w:val="center"/>
          </w:tcPr>
          <w:p>
            <w:pPr>
              <w:spacing w:before="0" w:after="0" w:line="269" w:lineRule="auto"/>
              <w:jc w:val="center"/>
            </w:pPr>
            <w:r/>
          </w:p>
        </w:tc>
        <w:tc>
          <w:tcPr>
            <w:tcW w:type="dxa" w:w="1237"/>
            <w:tcMar>
              <w:top w:w="80" w:type="dxa"/>
              <w:bottom w:w="80" w:type="dxa"/>
              <w:start w:w="120" w:type="dxa"/>
              <w:end w:w="120" w:type="dxa"/>
            </w:tcMar>
            <w:vAlign w:val="center"/>
          </w:tcPr>
          <w:p>
            <w:pPr>
              <w:spacing w:before="0" w:after="0" w:line="269" w:lineRule="auto"/>
              <w:jc w:val="center"/>
            </w:pPr>
            <w:r/>
          </w:p>
        </w:tc>
        <w:tc>
          <w:tcPr>
            <w:tcW w:type="dxa" w:w="2223"/>
            <w:tcMar>
              <w:top w:w="80" w:type="dxa"/>
              <w:bottom w:w="80" w:type="dxa"/>
              <w:start w:w="120" w:type="dxa"/>
              <w:end w:w="120" w:type="dxa"/>
            </w:tcMar>
            <w:vAlign w:val="center"/>
          </w:tcPr>
          <w:p>
            <w:pPr>
              <w:spacing w:before="0" w:after="0" w:line="269" w:lineRule="auto"/>
              <w:jc w:val="center"/>
            </w:pPr>
            <w:r/>
          </w:p>
        </w:tc>
        <w:tc>
          <w:tcPr>
            <w:tcW w:type="dxa" w:w="1237"/>
            <w:tcMar>
              <w:top w:w="80" w:type="dxa"/>
              <w:bottom w:w="80" w:type="dxa"/>
              <w:start w:w="120" w:type="dxa"/>
              <w:end w:w="120" w:type="dxa"/>
            </w:tcMar>
            <w:vAlign w:val="center"/>
          </w:tcPr>
          <w:p>
            <w:pPr>
              <w:spacing w:before="0" w:after="0" w:line="269" w:lineRule="auto"/>
              <w:jc w:val="center"/>
            </w:pPr>
            <w:r/>
          </w:p>
        </w:tc>
        <w:tc>
          <w:tcPr>
            <w:tcW w:type="dxa" w:w="947"/>
            <w:tcMar>
              <w:top w:w="80" w:type="dxa"/>
              <w:bottom w:w="80" w:type="dxa"/>
              <w:start w:w="120" w:type="dxa"/>
              <w:end w:w="120" w:type="dxa"/>
            </w:tcMar>
            <w:vAlign w:val="center"/>
          </w:tcPr>
          <w:p>
            <w:pPr>
              <w:spacing w:before="0" w:after="0" w:line="269" w:lineRule="auto"/>
              <w:jc w:val="center"/>
            </w:pPr>
            <w:r/>
          </w:p>
        </w:tc>
        <w:tc>
          <w:tcPr>
            <w:tcW w:type="dxa" w:w="1126"/>
            <w:tcMar>
              <w:top w:w="80" w:type="dxa"/>
              <w:bottom w:w="80" w:type="dxa"/>
              <w:start w:w="120" w:type="dxa"/>
              <w:end w:w="120" w:type="dxa"/>
            </w:tcMar>
            <w:vAlign w:val="center"/>
          </w:tcPr>
          <w:p>
            <w:pPr>
              <w:spacing w:before="0" w:after="0" w:line="269" w:lineRule="auto"/>
              <w:jc w:val="center"/>
            </w:pPr>
            <w:r/>
          </w:p>
        </w:tc>
      </w:tr>
      <w:tr>
        <w:trPr>
          <w:cantSplit w:val="true"/>
        </w:trPr>
        <w:tc>
          <w:tcPr>
            <w:tcW w:type="dxa" w:w="1295"/>
            <w:tcMar>
              <w:top w:w="80" w:type="dxa"/>
              <w:bottom w:w="80" w:type="dxa"/>
              <w:start w:w="120" w:type="dxa"/>
              <w:end w:w="120" w:type="dxa"/>
            </w:tcMar>
            <w:vAlign w:val="center"/>
          </w:tcPr>
          <w:p>
            <w:pPr>
              <w:spacing w:before="0" w:after="0" w:line="269" w:lineRule="auto"/>
              <w:jc w:val="left"/>
            </w:pPr>
            <w:r/>
          </w:p>
        </w:tc>
        <w:tc>
          <w:tcPr>
            <w:tcW w:type="dxa" w:w="1295"/>
            <w:tcMar>
              <w:top w:w="80" w:type="dxa"/>
              <w:bottom w:w="80" w:type="dxa"/>
              <w:start w:w="120" w:type="dxa"/>
              <w:end w:w="120" w:type="dxa"/>
            </w:tcMar>
            <w:vAlign w:val="center"/>
          </w:tcPr>
          <w:p>
            <w:pPr>
              <w:spacing w:before="0" w:after="0" w:line="269" w:lineRule="auto"/>
              <w:jc w:val="center"/>
            </w:pPr>
            <w:r/>
          </w:p>
        </w:tc>
        <w:tc>
          <w:tcPr>
            <w:tcW w:type="dxa" w:w="1237"/>
            <w:tcMar>
              <w:top w:w="80" w:type="dxa"/>
              <w:bottom w:w="80" w:type="dxa"/>
              <w:start w:w="120" w:type="dxa"/>
              <w:end w:w="120" w:type="dxa"/>
            </w:tcMar>
            <w:vAlign w:val="center"/>
          </w:tcPr>
          <w:p>
            <w:pPr>
              <w:spacing w:before="0" w:after="0" w:line="269" w:lineRule="auto"/>
              <w:jc w:val="center"/>
            </w:pPr>
            <w:r/>
          </w:p>
        </w:tc>
        <w:tc>
          <w:tcPr>
            <w:tcW w:type="dxa" w:w="2223"/>
            <w:tcMar>
              <w:top w:w="80" w:type="dxa"/>
              <w:bottom w:w="80" w:type="dxa"/>
              <w:start w:w="120" w:type="dxa"/>
              <w:end w:w="120" w:type="dxa"/>
            </w:tcMar>
            <w:vAlign w:val="center"/>
          </w:tcPr>
          <w:p>
            <w:pPr>
              <w:spacing w:before="0" w:after="0" w:line="269" w:lineRule="auto"/>
              <w:jc w:val="center"/>
            </w:pPr>
            <w:r/>
          </w:p>
        </w:tc>
        <w:tc>
          <w:tcPr>
            <w:tcW w:type="dxa" w:w="1237"/>
            <w:tcMar>
              <w:top w:w="80" w:type="dxa"/>
              <w:bottom w:w="80" w:type="dxa"/>
              <w:start w:w="120" w:type="dxa"/>
              <w:end w:w="120" w:type="dxa"/>
            </w:tcMar>
            <w:vAlign w:val="center"/>
          </w:tcPr>
          <w:p>
            <w:pPr>
              <w:spacing w:before="0" w:after="0" w:line="269" w:lineRule="auto"/>
              <w:jc w:val="center"/>
            </w:pPr>
            <w:r/>
          </w:p>
        </w:tc>
        <w:tc>
          <w:tcPr>
            <w:tcW w:type="dxa" w:w="947"/>
            <w:tcMar>
              <w:top w:w="80" w:type="dxa"/>
              <w:bottom w:w="80" w:type="dxa"/>
              <w:start w:w="120" w:type="dxa"/>
              <w:end w:w="120" w:type="dxa"/>
            </w:tcMar>
            <w:vAlign w:val="center"/>
          </w:tcPr>
          <w:p>
            <w:pPr>
              <w:spacing w:before="0" w:after="0" w:line="269" w:lineRule="auto"/>
              <w:jc w:val="center"/>
            </w:pPr>
            <w:r/>
          </w:p>
        </w:tc>
        <w:tc>
          <w:tcPr>
            <w:tcW w:type="dxa" w:w="1126"/>
            <w:tcMar>
              <w:top w:w="80" w:type="dxa"/>
              <w:bottom w:w="80" w:type="dxa"/>
              <w:start w:w="120" w:type="dxa"/>
              <w:end w:w="120" w:type="dxa"/>
            </w:tcMar>
            <w:vAlign w:val="center"/>
          </w:tcPr>
          <w:p>
            <w:pPr>
              <w:spacing w:before="0" w:after="0" w:line="269" w:lineRule="auto"/>
              <w:jc w:val="center"/>
            </w:pPr>
            <w:r/>
          </w:p>
        </w:tc>
      </w:tr>
      <w:tr>
        <w:trPr>
          <w:cantSplit w:val="true"/>
        </w:trPr>
        <w:tc>
          <w:tcPr>
            <w:tcW w:type="dxa" w:w="1295"/>
            <w:tcMar>
              <w:top w:w="80" w:type="dxa"/>
              <w:bottom w:w="80" w:type="dxa"/>
              <w:start w:w="120" w:type="dxa"/>
              <w:end w:w="120" w:type="dxa"/>
            </w:tcMar>
            <w:vAlign w:val="center"/>
          </w:tcPr>
          <w:p>
            <w:pPr>
              <w:spacing w:before="0" w:after="0" w:line="269" w:lineRule="auto"/>
              <w:jc w:val="left"/>
            </w:pPr>
            <w:r/>
          </w:p>
        </w:tc>
        <w:tc>
          <w:tcPr>
            <w:tcW w:type="dxa" w:w="1295"/>
            <w:tcMar>
              <w:top w:w="80" w:type="dxa"/>
              <w:bottom w:w="80" w:type="dxa"/>
              <w:start w:w="120" w:type="dxa"/>
              <w:end w:w="120" w:type="dxa"/>
            </w:tcMar>
            <w:vAlign w:val="center"/>
          </w:tcPr>
          <w:p>
            <w:pPr>
              <w:spacing w:before="0" w:after="0" w:line="269" w:lineRule="auto"/>
              <w:jc w:val="center"/>
            </w:pPr>
            <w:r/>
          </w:p>
        </w:tc>
        <w:tc>
          <w:tcPr>
            <w:tcW w:type="dxa" w:w="1237"/>
            <w:tcMar>
              <w:top w:w="80" w:type="dxa"/>
              <w:bottom w:w="80" w:type="dxa"/>
              <w:start w:w="120" w:type="dxa"/>
              <w:end w:w="120" w:type="dxa"/>
            </w:tcMar>
            <w:vAlign w:val="center"/>
          </w:tcPr>
          <w:p>
            <w:pPr>
              <w:spacing w:before="0" w:after="0" w:line="269" w:lineRule="auto"/>
              <w:jc w:val="center"/>
            </w:pPr>
            <w:r/>
          </w:p>
        </w:tc>
        <w:tc>
          <w:tcPr>
            <w:tcW w:type="dxa" w:w="2223"/>
            <w:tcMar>
              <w:top w:w="80" w:type="dxa"/>
              <w:bottom w:w="80" w:type="dxa"/>
              <w:start w:w="120" w:type="dxa"/>
              <w:end w:w="120" w:type="dxa"/>
            </w:tcMar>
            <w:vAlign w:val="center"/>
          </w:tcPr>
          <w:p>
            <w:pPr>
              <w:spacing w:before="0" w:after="0" w:line="269" w:lineRule="auto"/>
              <w:jc w:val="center"/>
            </w:pPr>
            <w:r/>
          </w:p>
        </w:tc>
        <w:tc>
          <w:tcPr>
            <w:tcW w:type="dxa" w:w="1237"/>
            <w:tcMar>
              <w:top w:w="80" w:type="dxa"/>
              <w:bottom w:w="80" w:type="dxa"/>
              <w:start w:w="120" w:type="dxa"/>
              <w:end w:w="120" w:type="dxa"/>
            </w:tcMar>
            <w:vAlign w:val="center"/>
          </w:tcPr>
          <w:p>
            <w:pPr>
              <w:spacing w:before="0" w:after="0" w:line="269" w:lineRule="auto"/>
              <w:jc w:val="center"/>
            </w:pPr>
            <w:r/>
          </w:p>
        </w:tc>
        <w:tc>
          <w:tcPr>
            <w:tcW w:type="dxa" w:w="947"/>
            <w:tcMar>
              <w:top w:w="80" w:type="dxa"/>
              <w:bottom w:w="80" w:type="dxa"/>
              <w:start w:w="120" w:type="dxa"/>
              <w:end w:w="120" w:type="dxa"/>
            </w:tcMar>
            <w:vAlign w:val="center"/>
          </w:tcPr>
          <w:p>
            <w:pPr>
              <w:spacing w:before="0" w:after="0" w:line="269" w:lineRule="auto"/>
              <w:jc w:val="center"/>
            </w:pPr>
            <w:r/>
          </w:p>
        </w:tc>
        <w:tc>
          <w:tcPr>
            <w:tcW w:type="dxa" w:w="1126"/>
            <w:tcMar>
              <w:top w:w="80" w:type="dxa"/>
              <w:bottom w:w="80" w:type="dxa"/>
              <w:start w:w="120" w:type="dxa"/>
              <w:end w:w="120" w:type="dxa"/>
            </w:tcMar>
            <w:vAlign w:val="center"/>
          </w:tcPr>
          <w:p>
            <w:pPr>
              <w:spacing w:before="0" w:after="0" w:line="269" w:lineRule="auto"/>
              <w:jc w:val="center"/>
            </w:pPr>
            <w:r/>
          </w:p>
        </w:tc>
      </w:tr>
      <w:tr>
        <w:trPr>
          <w:cantSplit w:val="true"/>
        </w:trPr>
        <w:tc>
          <w:tcPr>
            <w:tcW w:type="dxa" w:w="1295"/>
            <w:tcMar>
              <w:top w:w="80" w:type="dxa"/>
              <w:bottom w:w="80" w:type="dxa"/>
              <w:start w:w="120" w:type="dxa"/>
              <w:end w:w="120" w:type="dxa"/>
            </w:tcMar>
            <w:vAlign w:val="center"/>
          </w:tcPr>
          <w:p>
            <w:pPr>
              <w:spacing w:before="0" w:after="0" w:line="269" w:lineRule="auto"/>
              <w:jc w:val="left"/>
            </w:pPr>
            <w:r/>
          </w:p>
        </w:tc>
        <w:tc>
          <w:tcPr>
            <w:tcW w:type="dxa" w:w="1295"/>
            <w:tcMar>
              <w:top w:w="80" w:type="dxa"/>
              <w:bottom w:w="80" w:type="dxa"/>
              <w:start w:w="120" w:type="dxa"/>
              <w:end w:w="120" w:type="dxa"/>
            </w:tcMar>
            <w:vAlign w:val="center"/>
          </w:tcPr>
          <w:p>
            <w:pPr>
              <w:spacing w:before="0" w:after="0" w:line="269" w:lineRule="auto"/>
              <w:jc w:val="center"/>
            </w:pPr>
            <w:r/>
          </w:p>
        </w:tc>
        <w:tc>
          <w:tcPr>
            <w:tcW w:type="dxa" w:w="1237"/>
            <w:tcMar>
              <w:top w:w="80" w:type="dxa"/>
              <w:bottom w:w="80" w:type="dxa"/>
              <w:start w:w="120" w:type="dxa"/>
              <w:end w:w="120" w:type="dxa"/>
            </w:tcMar>
            <w:vAlign w:val="center"/>
          </w:tcPr>
          <w:p>
            <w:pPr>
              <w:spacing w:before="0" w:after="0" w:line="269" w:lineRule="auto"/>
              <w:jc w:val="center"/>
            </w:pPr>
            <w:r/>
          </w:p>
        </w:tc>
        <w:tc>
          <w:tcPr>
            <w:tcW w:type="dxa" w:w="2223"/>
            <w:tcMar>
              <w:top w:w="80" w:type="dxa"/>
              <w:bottom w:w="80" w:type="dxa"/>
              <w:start w:w="120" w:type="dxa"/>
              <w:end w:w="120" w:type="dxa"/>
            </w:tcMar>
            <w:vAlign w:val="center"/>
          </w:tcPr>
          <w:p>
            <w:pPr>
              <w:spacing w:before="0" w:after="0" w:line="269" w:lineRule="auto"/>
              <w:jc w:val="center"/>
            </w:pPr>
            <w:r/>
          </w:p>
        </w:tc>
        <w:tc>
          <w:tcPr>
            <w:tcW w:type="dxa" w:w="1237"/>
            <w:tcMar>
              <w:top w:w="80" w:type="dxa"/>
              <w:bottom w:w="80" w:type="dxa"/>
              <w:start w:w="120" w:type="dxa"/>
              <w:end w:w="120" w:type="dxa"/>
            </w:tcMar>
            <w:vAlign w:val="center"/>
          </w:tcPr>
          <w:p>
            <w:pPr>
              <w:spacing w:before="0" w:after="0" w:line="269" w:lineRule="auto"/>
              <w:jc w:val="center"/>
            </w:pPr>
            <w:r/>
          </w:p>
        </w:tc>
        <w:tc>
          <w:tcPr>
            <w:tcW w:type="dxa" w:w="947"/>
            <w:tcMar>
              <w:top w:w="80" w:type="dxa"/>
              <w:bottom w:w="80" w:type="dxa"/>
              <w:start w:w="120" w:type="dxa"/>
              <w:end w:w="120" w:type="dxa"/>
            </w:tcMar>
            <w:vAlign w:val="center"/>
          </w:tcPr>
          <w:p>
            <w:pPr>
              <w:spacing w:before="0" w:after="0" w:line="269" w:lineRule="auto"/>
              <w:jc w:val="center"/>
            </w:pPr>
            <w:r/>
          </w:p>
        </w:tc>
        <w:tc>
          <w:tcPr>
            <w:tcW w:type="dxa" w:w="1126"/>
            <w:tcMar>
              <w:top w:w="80" w:type="dxa"/>
              <w:bottom w:w="80" w:type="dxa"/>
              <w:start w:w="120" w:type="dxa"/>
              <w:end w:w="120" w:type="dxa"/>
            </w:tcMar>
            <w:vAlign w:val="center"/>
          </w:tcPr>
          <w:p>
            <w:pPr>
              <w:spacing w:before="0" w:after="0" w:line="269" w:lineRule="auto"/>
              <w:jc w:val="center"/>
            </w:pPr>
            <w:r/>
          </w:p>
        </w:tc>
      </w:tr>
    </w:tbl>
    <w:p>
      <w:pPr>
        <w:spacing w:before="0" w:after="40"/>
      </w:pPr>
    </w:p>
    <w:p>
      <w:r>
        <w:rPr>
          <w:rFonts w:ascii="Calibri" w:hAnsi="Calibri"/>
          <w:b/>
          <w:color w:val="222222"/>
        </w:rPr>
        <w:t>Time-axis compatibility decision:</w:t>
      </w:r>
      <w:r>
        <w:rPr>
          <w:rFonts w:ascii="Calibri" w:hAnsi="Calibri"/>
          <w:color w:val="222222"/>
        </w:rPr>
        <w:t xml:space="preserve"> ______________________________________</w:t>
      </w:r>
    </w:p>
    <w:p>
      <w:r>
        <w:rPr>
          <w:rFonts w:ascii="Calibri" w:hAnsi="Calibri"/>
          <w:b/>
          <w:color w:val="222222"/>
        </w:rPr>
        <w:t>Evidence-based reason:</w:t>
      </w:r>
      <w:r>
        <w:rPr>
          <w:rFonts w:ascii="Calibri" w:hAnsi="Calibri"/>
          <w:color w:val="222222"/>
        </w:rPr>
        <w:t xml:space="preserve"> _________________________________________________</w:t>
      </w:r>
    </w:p>
    <w:p>
      <w:pPr>
        <w:pStyle w:val="Heading2"/>
      </w:pPr>
      <w:r>
        <w:rPr>
          <w:rFonts w:ascii="Calibri" w:hAnsi="Calibri"/>
          <w:color w:val="222222"/>
        </w:rPr>
        <w:t>7. Assay and measurement context</w:t>
      </w:r>
    </w:p>
    <w:p>
      <w:r>
        <w:rPr>
          <w:rFonts w:ascii="Calibri" w:hAnsi="Calibri"/>
          <w:color w:val="222222"/>
        </w:rPr>
        <w:t>List one row per analysis ID.</w:t>
      </w:r>
    </w:p>
    <w:tbl>
      <w:tblPr>
        <w:tblStyle w:val="TableGrid"/>
        <w:tblW w:type="dxa" w:w="9360"/>
        <w:jc w:val="left"/>
        <w:tblLayout w:type="fixed"/>
        <w:tblLook w:firstColumn="1" w:firstRow="1" w:lastColumn="0" w:lastRow="0" w:noHBand="0" w:noVBand="1" w:val="04A0"/>
        <w:tblInd w:w="120" w:type="dxa"/>
      </w:tblPr>
      <w:tblGrid>
        <w:gridCol w:w="956"/>
        <w:gridCol w:w="1035"/>
        <w:gridCol w:w="1233"/>
        <w:gridCol w:w="1154"/>
        <w:gridCol w:w="996"/>
        <w:gridCol w:w="916"/>
        <w:gridCol w:w="1194"/>
        <w:gridCol w:w="1035"/>
        <w:gridCol w:w="841"/>
      </w:tblGrid>
      <w:tr>
        <w:trPr>
          <w:cantSplit w:val="true"/>
          <w:tblHeader w:val="true"/>
        </w:trPr>
        <w:tc>
          <w:tcPr>
            <w:tcW w:type="dxa" w:w="956"/>
            <w:tcMar>
              <w:top w:w="80" w:type="dxa"/>
              <w:bottom w:w="80" w:type="dxa"/>
              <w:start w:w="120" w:type="dxa"/>
              <w:end w:w="120" w:type="dxa"/>
            </w:tcMar>
            <w:vAlign w:val="center"/>
            <w:shd w:fill="E8EEF5"/>
          </w:tcPr>
          <w:p>
            <w:pPr>
              <w:spacing w:before="0" w:after="0" w:line="269" w:lineRule="auto"/>
              <w:jc w:val="left"/>
            </w:pPr>
            <w:r>
              <w:rPr>
                <w:b/>
                <w:color w:val="203748"/>
              </w:rPr>
            </w:r>
            <w:r>
              <w:rPr>
                <w:rFonts w:ascii="Calibri" w:hAnsi="Calibri"/>
                <w:b/>
                <w:color w:val="203748"/>
                <w:sz w:val="15"/>
              </w:rPr>
              <w:t>Accession</w:t>
            </w:r>
          </w:p>
        </w:tc>
        <w:tc>
          <w:tcPr>
            <w:tcW w:type="dxa" w:w="1035"/>
            <w:tcMar>
              <w:top w:w="80" w:type="dxa"/>
              <w:bottom w:w="80" w:type="dxa"/>
              <w:start w:w="120" w:type="dxa"/>
              <w:end w:w="120" w:type="dxa"/>
            </w:tcMar>
            <w:vAlign w:val="center"/>
            <w:shd w:fill="E8EEF5"/>
          </w:tcPr>
          <w:p>
            <w:pPr>
              <w:spacing w:before="0" w:after="0" w:line="269" w:lineRule="auto"/>
              <w:jc w:val="center"/>
            </w:pPr>
            <w:r>
              <w:rPr>
                <w:b/>
                <w:color w:val="203748"/>
              </w:rPr>
            </w:r>
            <w:r>
              <w:rPr>
                <w:rFonts w:ascii="Calibri" w:hAnsi="Calibri"/>
                <w:b/>
                <w:color w:val="203748"/>
                <w:sz w:val="15"/>
              </w:rPr>
              <w:t>Analysis ID</w:t>
            </w:r>
          </w:p>
        </w:tc>
        <w:tc>
          <w:tcPr>
            <w:tcW w:type="dxa" w:w="1233"/>
            <w:tcMar>
              <w:top w:w="80" w:type="dxa"/>
              <w:bottom w:w="80" w:type="dxa"/>
              <w:start w:w="120" w:type="dxa"/>
              <w:end w:w="120" w:type="dxa"/>
            </w:tcMar>
            <w:vAlign w:val="center"/>
            <w:shd w:fill="E8EEF5"/>
          </w:tcPr>
          <w:p>
            <w:pPr>
              <w:spacing w:before="0" w:after="0" w:line="269" w:lineRule="auto"/>
              <w:jc w:val="center"/>
            </w:pPr>
            <w:r>
              <w:rPr>
                <w:b/>
                <w:color w:val="203748"/>
              </w:rPr>
            </w:r>
            <w:r>
              <w:rPr>
                <w:rFonts w:ascii="Calibri" w:hAnsi="Calibri"/>
                <w:b/>
                <w:color w:val="203748"/>
                <w:sz w:val="15"/>
              </w:rPr>
              <w:t>Analysis summary</w:t>
            </w:r>
          </w:p>
        </w:tc>
        <w:tc>
          <w:tcPr>
            <w:tcW w:type="dxa" w:w="1154"/>
            <w:tcMar>
              <w:top w:w="80" w:type="dxa"/>
              <w:bottom w:w="80" w:type="dxa"/>
              <w:start w:w="120" w:type="dxa"/>
              <w:end w:w="120" w:type="dxa"/>
            </w:tcMar>
            <w:vAlign w:val="center"/>
            <w:shd w:fill="E8EEF5"/>
          </w:tcPr>
          <w:p>
            <w:pPr>
              <w:spacing w:before="0" w:after="0" w:line="269" w:lineRule="auto"/>
              <w:jc w:val="center"/>
            </w:pPr>
            <w:r>
              <w:rPr>
                <w:b/>
                <w:color w:val="203748"/>
              </w:rPr>
            </w:r>
            <w:r>
              <w:rPr>
                <w:rFonts w:ascii="Calibri" w:hAnsi="Calibri"/>
                <w:b/>
                <w:color w:val="203748"/>
                <w:sz w:val="15"/>
              </w:rPr>
              <w:t>Chromatography</w:t>
            </w:r>
          </w:p>
        </w:tc>
        <w:tc>
          <w:tcPr>
            <w:tcW w:type="dxa" w:w="996"/>
            <w:tcMar>
              <w:top w:w="80" w:type="dxa"/>
              <w:bottom w:w="80" w:type="dxa"/>
              <w:start w:w="120" w:type="dxa"/>
              <w:end w:w="120" w:type="dxa"/>
            </w:tcMar>
            <w:vAlign w:val="center"/>
            <w:shd w:fill="E8EEF5"/>
          </w:tcPr>
          <w:p>
            <w:pPr>
              <w:spacing w:before="0" w:after="0" w:line="269" w:lineRule="auto"/>
              <w:jc w:val="center"/>
            </w:pPr>
            <w:r>
              <w:rPr>
                <w:b/>
                <w:color w:val="203748"/>
              </w:rPr>
            </w:r>
            <w:r>
              <w:rPr>
                <w:rFonts w:ascii="Calibri" w:hAnsi="Calibri"/>
                <w:b/>
                <w:color w:val="203748"/>
                <w:sz w:val="15"/>
              </w:rPr>
              <w:t>Instrument</w:t>
            </w:r>
          </w:p>
        </w:tc>
        <w:tc>
          <w:tcPr>
            <w:tcW w:type="dxa" w:w="916"/>
            <w:tcMar>
              <w:top w:w="80" w:type="dxa"/>
              <w:bottom w:w="80" w:type="dxa"/>
              <w:start w:w="120" w:type="dxa"/>
              <w:end w:w="120" w:type="dxa"/>
            </w:tcMar>
            <w:vAlign w:val="center"/>
            <w:shd w:fill="E8EEF5"/>
          </w:tcPr>
          <w:p>
            <w:pPr>
              <w:spacing w:before="0" w:after="0" w:line="269" w:lineRule="auto"/>
              <w:jc w:val="center"/>
            </w:pPr>
            <w:r>
              <w:rPr>
                <w:b/>
                <w:color w:val="203748"/>
              </w:rPr>
            </w:r>
            <w:r>
              <w:rPr>
                <w:rFonts w:ascii="Calibri" w:hAnsi="Calibri"/>
                <w:b/>
                <w:color w:val="203748"/>
                <w:sz w:val="15"/>
              </w:rPr>
              <w:t>Ion mode</w:t>
            </w:r>
          </w:p>
        </w:tc>
        <w:tc>
          <w:tcPr>
            <w:tcW w:type="dxa" w:w="1194"/>
            <w:tcMar>
              <w:top w:w="80" w:type="dxa"/>
              <w:bottom w:w="80" w:type="dxa"/>
              <w:start w:w="120" w:type="dxa"/>
              <w:end w:w="120" w:type="dxa"/>
            </w:tcMar>
            <w:vAlign w:val="center"/>
            <w:shd w:fill="E8EEF5"/>
          </w:tcPr>
          <w:p>
            <w:pPr>
              <w:spacing w:before="0" w:after="0" w:line="269" w:lineRule="auto"/>
              <w:jc w:val="center"/>
            </w:pPr>
            <w:r>
              <w:rPr>
                <w:b/>
                <w:color w:val="203748"/>
              </w:rPr>
            </w:r>
            <w:r>
              <w:rPr>
                <w:rFonts w:ascii="Calibri" w:hAnsi="Calibri"/>
                <w:b/>
                <w:color w:val="203748"/>
                <w:sz w:val="15"/>
              </w:rPr>
              <w:t>Targeted status</w:t>
            </w:r>
          </w:p>
        </w:tc>
        <w:tc>
          <w:tcPr>
            <w:tcW w:type="dxa" w:w="1035"/>
            <w:tcMar>
              <w:top w:w="80" w:type="dxa"/>
              <w:bottom w:w="80" w:type="dxa"/>
              <w:start w:w="120" w:type="dxa"/>
              <w:end w:w="120" w:type="dxa"/>
            </w:tcMar>
            <w:vAlign w:val="center"/>
            <w:shd w:fill="E8EEF5"/>
          </w:tcPr>
          <w:p>
            <w:pPr>
              <w:spacing w:before="0" w:after="0" w:line="269" w:lineRule="auto"/>
              <w:jc w:val="center"/>
            </w:pPr>
            <w:r>
              <w:rPr>
                <w:b/>
                <w:color w:val="203748"/>
              </w:rPr>
            </w:r>
            <w:r>
              <w:rPr>
                <w:rFonts w:ascii="Calibri" w:hAnsi="Calibri"/>
                <w:b/>
                <w:color w:val="203748"/>
                <w:sz w:val="15"/>
              </w:rPr>
              <w:t>Units/scale</w:t>
            </w:r>
          </w:p>
        </w:tc>
        <w:tc>
          <w:tcPr>
            <w:tcW w:type="dxa" w:w="841"/>
            <w:tcMar>
              <w:top w:w="80" w:type="dxa"/>
              <w:bottom w:w="80" w:type="dxa"/>
              <w:start w:w="120" w:type="dxa"/>
              <w:end w:w="120" w:type="dxa"/>
            </w:tcMar>
            <w:vAlign w:val="center"/>
            <w:shd w:fill="E8EEF5"/>
          </w:tcPr>
          <w:p>
            <w:pPr>
              <w:spacing w:before="0" w:after="0" w:line="269" w:lineRule="auto"/>
              <w:jc w:val="center"/>
            </w:pPr>
            <w:r>
              <w:rPr>
                <w:b/>
                <w:color w:val="203748"/>
              </w:rPr>
            </w:r>
            <w:r>
              <w:rPr>
                <w:rFonts w:ascii="Calibri" w:hAnsi="Calibri"/>
                <w:b/>
                <w:color w:val="203748"/>
                <w:sz w:val="15"/>
              </w:rPr>
              <w:t>Source</w:t>
            </w:r>
          </w:p>
        </w:tc>
      </w:tr>
      <w:tr>
        <w:trPr>
          <w:cantSplit w:val="true"/>
        </w:trPr>
        <w:tc>
          <w:tcPr>
            <w:tcW w:type="dxa" w:w="956"/>
            <w:tcMar>
              <w:top w:w="80" w:type="dxa"/>
              <w:bottom w:w="80" w:type="dxa"/>
              <w:start w:w="120" w:type="dxa"/>
              <w:end w:w="120" w:type="dxa"/>
            </w:tcMar>
            <w:vAlign w:val="center"/>
          </w:tcPr>
          <w:p>
            <w:pPr>
              <w:spacing w:before="0" w:after="0" w:line="269" w:lineRule="auto"/>
              <w:jc w:val="left"/>
            </w:pPr>
            <w:r/>
          </w:p>
        </w:tc>
        <w:tc>
          <w:tcPr>
            <w:tcW w:type="dxa" w:w="1035"/>
            <w:tcMar>
              <w:top w:w="80" w:type="dxa"/>
              <w:bottom w:w="80" w:type="dxa"/>
              <w:start w:w="120" w:type="dxa"/>
              <w:end w:w="120" w:type="dxa"/>
            </w:tcMar>
            <w:vAlign w:val="center"/>
          </w:tcPr>
          <w:p>
            <w:pPr>
              <w:spacing w:before="0" w:after="0" w:line="269" w:lineRule="auto"/>
              <w:jc w:val="center"/>
            </w:pPr>
            <w:r/>
          </w:p>
        </w:tc>
        <w:tc>
          <w:tcPr>
            <w:tcW w:type="dxa" w:w="1233"/>
            <w:tcMar>
              <w:top w:w="80" w:type="dxa"/>
              <w:bottom w:w="80" w:type="dxa"/>
              <w:start w:w="120" w:type="dxa"/>
              <w:end w:w="120" w:type="dxa"/>
            </w:tcMar>
            <w:vAlign w:val="center"/>
          </w:tcPr>
          <w:p>
            <w:pPr>
              <w:spacing w:before="0" w:after="0" w:line="269" w:lineRule="auto"/>
              <w:jc w:val="center"/>
            </w:pPr>
            <w:r/>
          </w:p>
        </w:tc>
        <w:tc>
          <w:tcPr>
            <w:tcW w:type="dxa" w:w="1154"/>
            <w:tcMar>
              <w:top w:w="80" w:type="dxa"/>
              <w:bottom w:w="80" w:type="dxa"/>
              <w:start w:w="120" w:type="dxa"/>
              <w:end w:w="120" w:type="dxa"/>
            </w:tcMar>
            <w:vAlign w:val="center"/>
          </w:tcPr>
          <w:p>
            <w:pPr>
              <w:spacing w:before="0" w:after="0" w:line="269" w:lineRule="auto"/>
              <w:jc w:val="center"/>
            </w:pPr>
            <w:r/>
          </w:p>
        </w:tc>
        <w:tc>
          <w:tcPr>
            <w:tcW w:type="dxa" w:w="996"/>
            <w:tcMar>
              <w:top w:w="80" w:type="dxa"/>
              <w:bottom w:w="80" w:type="dxa"/>
              <w:start w:w="120" w:type="dxa"/>
              <w:end w:w="120" w:type="dxa"/>
            </w:tcMar>
            <w:vAlign w:val="center"/>
          </w:tcPr>
          <w:p>
            <w:pPr>
              <w:spacing w:before="0" w:after="0" w:line="269" w:lineRule="auto"/>
              <w:jc w:val="center"/>
            </w:pPr>
            <w:r/>
          </w:p>
        </w:tc>
        <w:tc>
          <w:tcPr>
            <w:tcW w:type="dxa" w:w="916"/>
            <w:tcMar>
              <w:top w:w="80" w:type="dxa"/>
              <w:bottom w:w="80" w:type="dxa"/>
              <w:start w:w="120" w:type="dxa"/>
              <w:end w:w="120" w:type="dxa"/>
            </w:tcMar>
            <w:vAlign w:val="center"/>
          </w:tcPr>
          <w:p>
            <w:pPr>
              <w:spacing w:before="0" w:after="0" w:line="269" w:lineRule="auto"/>
              <w:jc w:val="center"/>
            </w:pPr>
            <w:r/>
          </w:p>
        </w:tc>
        <w:tc>
          <w:tcPr>
            <w:tcW w:type="dxa" w:w="1194"/>
            <w:tcMar>
              <w:top w:w="80" w:type="dxa"/>
              <w:bottom w:w="80" w:type="dxa"/>
              <w:start w:w="120" w:type="dxa"/>
              <w:end w:w="120" w:type="dxa"/>
            </w:tcMar>
            <w:vAlign w:val="center"/>
          </w:tcPr>
          <w:p>
            <w:pPr>
              <w:spacing w:before="0" w:after="0" w:line="269" w:lineRule="auto"/>
              <w:jc w:val="center"/>
            </w:pPr>
            <w:r/>
          </w:p>
        </w:tc>
        <w:tc>
          <w:tcPr>
            <w:tcW w:type="dxa" w:w="1035"/>
            <w:tcMar>
              <w:top w:w="80" w:type="dxa"/>
              <w:bottom w:w="80" w:type="dxa"/>
              <w:start w:w="120" w:type="dxa"/>
              <w:end w:w="120" w:type="dxa"/>
            </w:tcMar>
            <w:vAlign w:val="center"/>
          </w:tcPr>
          <w:p>
            <w:pPr>
              <w:spacing w:before="0" w:after="0" w:line="269" w:lineRule="auto"/>
              <w:jc w:val="center"/>
            </w:pPr>
            <w:r/>
          </w:p>
        </w:tc>
        <w:tc>
          <w:tcPr>
            <w:tcW w:type="dxa" w:w="841"/>
            <w:tcMar>
              <w:top w:w="80" w:type="dxa"/>
              <w:bottom w:w="80" w:type="dxa"/>
              <w:start w:w="120" w:type="dxa"/>
              <w:end w:w="120" w:type="dxa"/>
            </w:tcMar>
            <w:vAlign w:val="center"/>
          </w:tcPr>
          <w:p>
            <w:pPr>
              <w:spacing w:before="0" w:after="0" w:line="269" w:lineRule="auto"/>
              <w:jc w:val="center"/>
            </w:pPr>
            <w:r/>
          </w:p>
        </w:tc>
      </w:tr>
      <w:tr>
        <w:trPr>
          <w:cantSplit w:val="true"/>
        </w:trPr>
        <w:tc>
          <w:tcPr>
            <w:tcW w:type="dxa" w:w="956"/>
            <w:tcMar>
              <w:top w:w="80" w:type="dxa"/>
              <w:bottom w:w="80" w:type="dxa"/>
              <w:start w:w="120" w:type="dxa"/>
              <w:end w:w="120" w:type="dxa"/>
            </w:tcMar>
            <w:vAlign w:val="center"/>
          </w:tcPr>
          <w:p>
            <w:pPr>
              <w:spacing w:before="0" w:after="0" w:line="269" w:lineRule="auto"/>
              <w:jc w:val="left"/>
            </w:pPr>
            <w:r/>
          </w:p>
        </w:tc>
        <w:tc>
          <w:tcPr>
            <w:tcW w:type="dxa" w:w="1035"/>
            <w:tcMar>
              <w:top w:w="80" w:type="dxa"/>
              <w:bottom w:w="80" w:type="dxa"/>
              <w:start w:w="120" w:type="dxa"/>
              <w:end w:w="120" w:type="dxa"/>
            </w:tcMar>
            <w:vAlign w:val="center"/>
          </w:tcPr>
          <w:p>
            <w:pPr>
              <w:spacing w:before="0" w:after="0" w:line="269" w:lineRule="auto"/>
              <w:jc w:val="center"/>
            </w:pPr>
            <w:r/>
          </w:p>
        </w:tc>
        <w:tc>
          <w:tcPr>
            <w:tcW w:type="dxa" w:w="1233"/>
            <w:tcMar>
              <w:top w:w="80" w:type="dxa"/>
              <w:bottom w:w="80" w:type="dxa"/>
              <w:start w:w="120" w:type="dxa"/>
              <w:end w:w="120" w:type="dxa"/>
            </w:tcMar>
            <w:vAlign w:val="center"/>
          </w:tcPr>
          <w:p>
            <w:pPr>
              <w:spacing w:before="0" w:after="0" w:line="269" w:lineRule="auto"/>
              <w:jc w:val="center"/>
            </w:pPr>
            <w:r/>
          </w:p>
        </w:tc>
        <w:tc>
          <w:tcPr>
            <w:tcW w:type="dxa" w:w="1154"/>
            <w:tcMar>
              <w:top w:w="80" w:type="dxa"/>
              <w:bottom w:w="80" w:type="dxa"/>
              <w:start w:w="120" w:type="dxa"/>
              <w:end w:w="120" w:type="dxa"/>
            </w:tcMar>
            <w:vAlign w:val="center"/>
          </w:tcPr>
          <w:p>
            <w:pPr>
              <w:spacing w:before="0" w:after="0" w:line="269" w:lineRule="auto"/>
              <w:jc w:val="center"/>
            </w:pPr>
            <w:r/>
          </w:p>
        </w:tc>
        <w:tc>
          <w:tcPr>
            <w:tcW w:type="dxa" w:w="996"/>
            <w:tcMar>
              <w:top w:w="80" w:type="dxa"/>
              <w:bottom w:w="80" w:type="dxa"/>
              <w:start w:w="120" w:type="dxa"/>
              <w:end w:w="120" w:type="dxa"/>
            </w:tcMar>
            <w:vAlign w:val="center"/>
          </w:tcPr>
          <w:p>
            <w:pPr>
              <w:spacing w:before="0" w:after="0" w:line="269" w:lineRule="auto"/>
              <w:jc w:val="center"/>
            </w:pPr>
            <w:r/>
          </w:p>
        </w:tc>
        <w:tc>
          <w:tcPr>
            <w:tcW w:type="dxa" w:w="916"/>
            <w:tcMar>
              <w:top w:w="80" w:type="dxa"/>
              <w:bottom w:w="80" w:type="dxa"/>
              <w:start w:w="120" w:type="dxa"/>
              <w:end w:w="120" w:type="dxa"/>
            </w:tcMar>
            <w:vAlign w:val="center"/>
          </w:tcPr>
          <w:p>
            <w:pPr>
              <w:spacing w:before="0" w:after="0" w:line="269" w:lineRule="auto"/>
              <w:jc w:val="center"/>
            </w:pPr>
            <w:r/>
          </w:p>
        </w:tc>
        <w:tc>
          <w:tcPr>
            <w:tcW w:type="dxa" w:w="1194"/>
            <w:tcMar>
              <w:top w:w="80" w:type="dxa"/>
              <w:bottom w:w="80" w:type="dxa"/>
              <w:start w:w="120" w:type="dxa"/>
              <w:end w:w="120" w:type="dxa"/>
            </w:tcMar>
            <w:vAlign w:val="center"/>
          </w:tcPr>
          <w:p>
            <w:pPr>
              <w:spacing w:before="0" w:after="0" w:line="269" w:lineRule="auto"/>
              <w:jc w:val="center"/>
            </w:pPr>
            <w:r/>
          </w:p>
        </w:tc>
        <w:tc>
          <w:tcPr>
            <w:tcW w:type="dxa" w:w="1035"/>
            <w:tcMar>
              <w:top w:w="80" w:type="dxa"/>
              <w:bottom w:w="80" w:type="dxa"/>
              <w:start w:w="120" w:type="dxa"/>
              <w:end w:w="120" w:type="dxa"/>
            </w:tcMar>
            <w:vAlign w:val="center"/>
          </w:tcPr>
          <w:p>
            <w:pPr>
              <w:spacing w:before="0" w:after="0" w:line="269" w:lineRule="auto"/>
              <w:jc w:val="center"/>
            </w:pPr>
            <w:r/>
          </w:p>
        </w:tc>
        <w:tc>
          <w:tcPr>
            <w:tcW w:type="dxa" w:w="841"/>
            <w:tcMar>
              <w:top w:w="80" w:type="dxa"/>
              <w:bottom w:w="80" w:type="dxa"/>
              <w:start w:w="120" w:type="dxa"/>
              <w:end w:w="120" w:type="dxa"/>
            </w:tcMar>
            <w:vAlign w:val="center"/>
          </w:tcPr>
          <w:p>
            <w:pPr>
              <w:spacing w:before="0" w:after="0" w:line="269" w:lineRule="auto"/>
              <w:jc w:val="center"/>
            </w:pPr>
            <w:r/>
          </w:p>
        </w:tc>
      </w:tr>
      <w:tr>
        <w:trPr>
          <w:cantSplit w:val="true"/>
        </w:trPr>
        <w:tc>
          <w:tcPr>
            <w:tcW w:type="dxa" w:w="956"/>
            <w:tcMar>
              <w:top w:w="80" w:type="dxa"/>
              <w:bottom w:w="80" w:type="dxa"/>
              <w:start w:w="120" w:type="dxa"/>
              <w:end w:w="120" w:type="dxa"/>
            </w:tcMar>
            <w:vAlign w:val="center"/>
          </w:tcPr>
          <w:p>
            <w:pPr>
              <w:spacing w:before="0" w:after="0" w:line="269" w:lineRule="auto"/>
              <w:jc w:val="left"/>
            </w:pPr>
            <w:r/>
          </w:p>
        </w:tc>
        <w:tc>
          <w:tcPr>
            <w:tcW w:type="dxa" w:w="1035"/>
            <w:tcMar>
              <w:top w:w="80" w:type="dxa"/>
              <w:bottom w:w="80" w:type="dxa"/>
              <w:start w:w="120" w:type="dxa"/>
              <w:end w:w="120" w:type="dxa"/>
            </w:tcMar>
            <w:vAlign w:val="center"/>
          </w:tcPr>
          <w:p>
            <w:pPr>
              <w:spacing w:before="0" w:after="0" w:line="269" w:lineRule="auto"/>
              <w:jc w:val="center"/>
            </w:pPr>
            <w:r/>
          </w:p>
        </w:tc>
        <w:tc>
          <w:tcPr>
            <w:tcW w:type="dxa" w:w="1233"/>
            <w:tcMar>
              <w:top w:w="80" w:type="dxa"/>
              <w:bottom w:w="80" w:type="dxa"/>
              <w:start w:w="120" w:type="dxa"/>
              <w:end w:w="120" w:type="dxa"/>
            </w:tcMar>
            <w:vAlign w:val="center"/>
          </w:tcPr>
          <w:p>
            <w:pPr>
              <w:spacing w:before="0" w:after="0" w:line="269" w:lineRule="auto"/>
              <w:jc w:val="center"/>
            </w:pPr>
            <w:r/>
          </w:p>
        </w:tc>
        <w:tc>
          <w:tcPr>
            <w:tcW w:type="dxa" w:w="1154"/>
            <w:tcMar>
              <w:top w:w="80" w:type="dxa"/>
              <w:bottom w:w="80" w:type="dxa"/>
              <w:start w:w="120" w:type="dxa"/>
              <w:end w:w="120" w:type="dxa"/>
            </w:tcMar>
            <w:vAlign w:val="center"/>
          </w:tcPr>
          <w:p>
            <w:pPr>
              <w:spacing w:before="0" w:after="0" w:line="269" w:lineRule="auto"/>
              <w:jc w:val="center"/>
            </w:pPr>
            <w:r/>
          </w:p>
        </w:tc>
        <w:tc>
          <w:tcPr>
            <w:tcW w:type="dxa" w:w="996"/>
            <w:tcMar>
              <w:top w:w="80" w:type="dxa"/>
              <w:bottom w:w="80" w:type="dxa"/>
              <w:start w:w="120" w:type="dxa"/>
              <w:end w:w="120" w:type="dxa"/>
            </w:tcMar>
            <w:vAlign w:val="center"/>
          </w:tcPr>
          <w:p>
            <w:pPr>
              <w:spacing w:before="0" w:after="0" w:line="269" w:lineRule="auto"/>
              <w:jc w:val="center"/>
            </w:pPr>
            <w:r/>
          </w:p>
        </w:tc>
        <w:tc>
          <w:tcPr>
            <w:tcW w:type="dxa" w:w="916"/>
            <w:tcMar>
              <w:top w:w="80" w:type="dxa"/>
              <w:bottom w:w="80" w:type="dxa"/>
              <w:start w:w="120" w:type="dxa"/>
              <w:end w:w="120" w:type="dxa"/>
            </w:tcMar>
            <w:vAlign w:val="center"/>
          </w:tcPr>
          <w:p>
            <w:pPr>
              <w:spacing w:before="0" w:after="0" w:line="269" w:lineRule="auto"/>
              <w:jc w:val="center"/>
            </w:pPr>
            <w:r/>
          </w:p>
        </w:tc>
        <w:tc>
          <w:tcPr>
            <w:tcW w:type="dxa" w:w="1194"/>
            <w:tcMar>
              <w:top w:w="80" w:type="dxa"/>
              <w:bottom w:w="80" w:type="dxa"/>
              <w:start w:w="120" w:type="dxa"/>
              <w:end w:w="120" w:type="dxa"/>
            </w:tcMar>
            <w:vAlign w:val="center"/>
          </w:tcPr>
          <w:p>
            <w:pPr>
              <w:spacing w:before="0" w:after="0" w:line="269" w:lineRule="auto"/>
              <w:jc w:val="center"/>
            </w:pPr>
            <w:r/>
          </w:p>
        </w:tc>
        <w:tc>
          <w:tcPr>
            <w:tcW w:type="dxa" w:w="1035"/>
            <w:tcMar>
              <w:top w:w="80" w:type="dxa"/>
              <w:bottom w:w="80" w:type="dxa"/>
              <w:start w:w="120" w:type="dxa"/>
              <w:end w:w="120" w:type="dxa"/>
            </w:tcMar>
            <w:vAlign w:val="center"/>
          </w:tcPr>
          <w:p>
            <w:pPr>
              <w:spacing w:before="0" w:after="0" w:line="269" w:lineRule="auto"/>
              <w:jc w:val="center"/>
            </w:pPr>
            <w:r/>
          </w:p>
        </w:tc>
        <w:tc>
          <w:tcPr>
            <w:tcW w:type="dxa" w:w="841"/>
            <w:tcMar>
              <w:top w:w="80" w:type="dxa"/>
              <w:bottom w:w="80" w:type="dxa"/>
              <w:start w:w="120" w:type="dxa"/>
              <w:end w:w="120" w:type="dxa"/>
            </w:tcMar>
            <w:vAlign w:val="center"/>
          </w:tcPr>
          <w:p>
            <w:pPr>
              <w:spacing w:before="0" w:after="0" w:line="269" w:lineRule="auto"/>
              <w:jc w:val="center"/>
            </w:pPr>
            <w:r/>
          </w:p>
        </w:tc>
      </w:tr>
      <w:tr>
        <w:trPr>
          <w:cantSplit w:val="true"/>
        </w:trPr>
        <w:tc>
          <w:tcPr>
            <w:tcW w:type="dxa" w:w="956"/>
            <w:tcMar>
              <w:top w:w="80" w:type="dxa"/>
              <w:bottom w:w="80" w:type="dxa"/>
              <w:start w:w="120" w:type="dxa"/>
              <w:end w:w="120" w:type="dxa"/>
            </w:tcMar>
            <w:vAlign w:val="center"/>
          </w:tcPr>
          <w:p>
            <w:pPr>
              <w:spacing w:before="0" w:after="0" w:line="269" w:lineRule="auto"/>
              <w:jc w:val="left"/>
            </w:pPr>
            <w:r/>
          </w:p>
        </w:tc>
        <w:tc>
          <w:tcPr>
            <w:tcW w:type="dxa" w:w="1035"/>
            <w:tcMar>
              <w:top w:w="80" w:type="dxa"/>
              <w:bottom w:w="80" w:type="dxa"/>
              <w:start w:w="120" w:type="dxa"/>
              <w:end w:w="120" w:type="dxa"/>
            </w:tcMar>
            <w:vAlign w:val="center"/>
          </w:tcPr>
          <w:p>
            <w:pPr>
              <w:spacing w:before="0" w:after="0" w:line="269" w:lineRule="auto"/>
              <w:jc w:val="center"/>
            </w:pPr>
            <w:r/>
          </w:p>
        </w:tc>
        <w:tc>
          <w:tcPr>
            <w:tcW w:type="dxa" w:w="1233"/>
            <w:tcMar>
              <w:top w:w="80" w:type="dxa"/>
              <w:bottom w:w="80" w:type="dxa"/>
              <w:start w:w="120" w:type="dxa"/>
              <w:end w:w="120" w:type="dxa"/>
            </w:tcMar>
            <w:vAlign w:val="center"/>
          </w:tcPr>
          <w:p>
            <w:pPr>
              <w:spacing w:before="0" w:after="0" w:line="269" w:lineRule="auto"/>
              <w:jc w:val="center"/>
            </w:pPr>
            <w:r/>
          </w:p>
        </w:tc>
        <w:tc>
          <w:tcPr>
            <w:tcW w:type="dxa" w:w="1154"/>
            <w:tcMar>
              <w:top w:w="80" w:type="dxa"/>
              <w:bottom w:w="80" w:type="dxa"/>
              <w:start w:w="120" w:type="dxa"/>
              <w:end w:w="120" w:type="dxa"/>
            </w:tcMar>
            <w:vAlign w:val="center"/>
          </w:tcPr>
          <w:p>
            <w:pPr>
              <w:spacing w:before="0" w:after="0" w:line="269" w:lineRule="auto"/>
              <w:jc w:val="center"/>
            </w:pPr>
            <w:r/>
          </w:p>
        </w:tc>
        <w:tc>
          <w:tcPr>
            <w:tcW w:type="dxa" w:w="996"/>
            <w:tcMar>
              <w:top w:w="80" w:type="dxa"/>
              <w:bottom w:w="80" w:type="dxa"/>
              <w:start w:w="120" w:type="dxa"/>
              <w:end w:w="120" w:type="dxa"/>
            </w:tcMar>
            <w:vAlign w:val="center"/>
          </w:tcPr>
          <w:p>
            <w:pPr>
              <w:spacing w:before="0" w:after="0" w:line="269" w:lineRule="auto"/>
              <w:jc w:val="center"/>
            </w:pPr>
            <w:r/>
          </w:p>
        </w:tc>
        <w:tc>
          <w:tcPr>
            <w:tcW w:type="dxa" w:w="916"/>
            <w:tcMar>
              <w:top w:w="80" w:type="dxa"/>
              <w:bottom w:w="80" w:type="dxa"/>
              <w:start w:w="120" w:type="dxa"/>
              <w:end w:w="120" w:type="dxa"/>
            </w:tcMar>
            <w:vAlign w:val="center"/>
          </w:tcPr>
          <w:p>
            <w:pPr>
              <w:spacing w:before="0" w:after="0" w:line="269" w:lineRule="auto"/>
              <w:jc w:val="center"/>
            </w:pPr>
            <w:r/>
          </w:p>
        </w:tc>
        <w:tc>
          <w:tcPr>
            <w:tcW w:type="dxa" w:w="1194"/>
            <w:tcMar>
              <w:top w:w="80" w:type="dxa"/>
              <w:bottom w:w="80" w:type="dxa"/>
              <w:start w:w="120" w:type="dxa"/>
              <w:end w:w="120" w:type="dxa"/>
            </w:tcMar>
            <w:vAlign w:val="center"/>
          </w:tcPr>
          <w:p>
            <w:pPr>
              <w:spacing w:before="0" w:after="0" w:line="269" w:lineRule="auto"/>
              <w:jc w:val="center"/>
            </w:pPr>
            <w:r/>
          </w:p>
        </w:tc>
        <w:tc>
          <w:tcPr>
            <w:tcW w:type="dxa" w:w="1035"/>
            <w:tcMar>
              <w:top w:w="80" w:type="dxa"/>
              <w:bottom w:w="80" w:type="dxa"/>
              <w:start w:w="120" w:type="dxa"/>
              <w:end w:w="120" w:type="dxa"/>
            </w:tcMar>
            <w:vAlign w:val="center"/>
          </w:tcPr>
          <w:p>
            <w:pPr>
              <w:spacing w:before="0" w:after="0" w:line="269" w:lineRule="auto"/>
              <w:jc w:val="center"/>
            </w:pPr>
            <w:r/>
          </w:p>
        </w:tc>
        <w:tc>
          <w:tcPr>
            <w:tcW w:type="dxa" w:w="841"/>
            <w:tcMar>
              <w:top w:w="80" w:type="dxa"/>
              <w:bottom w:w="80" w:type="dxa"/>
              <w:start w:w="120" w:type="dxa"/>
              <w:end w:w="120" w:type="dxa"/>
            </w:tcMar>
            <w:vAlign w:val="center"/>
          </w:tcPr>
          <w:p>
            <w:pPr>
              <w:spacing w:before="0" w:after="0" w:line="269" w:lineRule="auto"/>
              <w:jc w:val="center"/>
            </w:pPr>
            <w:r/>
          </w:p>
        </w:tc>
      </w:tr>
      <w:tr>
        <w:trPr>
          <w:cantSplit w:val="true"/>
        </w:trPr>
        <w:tc>
          <w:tcPr>
            <w:tcW w:type="dxa" w:w="956"/>
            <w:tcMar>
              <w:top w:w="80" w:type="dxa"/>
              <w:bottom w:w="80" w:type="dxa"/>
              <w:start w:w="120" w:type="dxa"/>
              <w:end w:w="120" w:type="dxa"/>
            </w:tcMar>
            <w:vAlign w:val="center"/>
          </w:tcPr>
          <w:p>
            <w:pPr>
              <w:spacing w:before="0" w:after="0" w:line="269" w:lineRule="auto"/>
              <w:jc w:val="left"/>
            </w:pPr>
            <w:r/>
          </w:p>
        </w:tc>
        <w:tc>
          <w:tcPr>
            <w:tcW w:type="dxa" w:w="1035"/>
            <w:tcMar>
              <w:top w:w="80" w:type="dxa"/>
              <w:bottom w:w="80" w:type="dxa"/>
              <w:start w:w="120" w:type="dxa"/>
              <w:end w:w="120" w:type="dxa"/>
            </w:tcMar>
            <w:vAlign w:val="center"/>
          </w:tcPr>
          <w:p>
            <w:pPr>
              <w:spacing w:before="0" w:after="0" w:line="269" w:lineRule="auto"/>
              <w:jc w:val="center"/>
            </w:pPr>
            <w:r/>
          </w:p>
        </w:tc>
        <w:tc>
          <w:tcPr>
            <w:tcW w:type="dxa" w:w="1233"/>
            <w:tcMar>
              <w:top w:w="80" w:type="dxa"/>
              <w:bottom w:w="80" w:type="dxa"/>
              <w:start w:w="120" w:type="dxa"/>
              <w:end w:w="120" w:type="dxa"/>
            </w:tcMar>
            <w:vAlign w:val="center"/>
          </w:tcPr>
          <w:p>
            <w:pPr>
              <w:spacing w:before="0" w:after="0" w:line="269" w:lineRule="auto"/>
              <w:jc w:val="center"/>
            </w:pPr>
            <w:r/>
          </w:p>
        </w:tc>
        <w:tc>
          <w:tcPr>
            <w:tcW w:type="dxa" w:w="1154"/>
            <w:tcMar>
              <w:top w:w="80" w:type="dxa"/>
              <w:bottom w:w="80" w:type="dxa"/>
              <w:start w:w="120" w:type="dxa"/>
              <w:end w:w="120" w:type="dxa"/>
            </w:tcMar>
            <w:vAlign w:val="center"/>
          </w:tcPr>
          <w:p>
            <w:pPr>
              <w:spacing w:before="0" w:after="0" w:line="269" w:lineRule="auto"/>
              <w:jc w:val="center"/>
            </w:pPr>
            <w:r/>
          </w:p>
        </w:tc>
        <w:tc>
          <w:tcPr>
            <w:tcW w:type="dxa" w:w="996"/>
            <w:tcMar>
              <w:top w:w="80" w:type="dxa"/>
              <w:bottom w:w="80" w:type="dxa"/>
              <w:start w:w="120" w:type="dxa"/>
              <w:end w:w="120" w:type="dxa"/>
            </w:tcMar>
            <w:vAlign w:val="center"/>
          </w:tcPr>
          <w:p>
            <w:pPr>
              <w:spacing w:before="0" w:after="0" w:line="269" w:lineRule="auto"/>
              <w:jc w:val="center"/>
            </w:pPr>
            <w:r/>
          </w:p>
        </w:tc>
        <w:tc>
          <w:tcPr>
            <w:tcW w:type="dxa" w:w="916"/>
            <w:tcMar>
              <w:top w:w="80" w:type="dxa"/>
              <w:bottom w:w="80" w:type="dxa"/>
              <w:start w:w="120" w:type="dxa"/>
              <w:end w:w="120" w:type="dxa"/>
            </w:tcMar>
            <w:vAlign w:val="center"/>
          </w:tcPr>
          <w:p>
            <w:pPr>
              <w:spacing w:before="0" w:after="0" w:line="269" w:lineRule="auto"/>
              <w:jc w:val="center"/>
            </w:pPr>
            <w:r/>
          </w:p>
        </w:tc>
        <w:tc>
          <w:tcPr>
            <w:tcW w:type="dxa" w:w="1194"/>
            <w:tcMar>
              <w:top w:w="80" w:type="dxa"/>
              <w:bottom w:w="80" w:type="dxa"/>
              <w:start w:w="120" w:type="dxa"/>
              <w:end w:w="120" w:type="dxa"/>
            </w:tcMar>
            <w:vAlign w:val="center"/>
          </w:tcPr>
          <w:p>
            <w:pPr>
              <w:spacing w:before="0" w:after="0" w:line="269" w:lineRule="auto"/>
              <w:jc w:val="center"/>
            </w:pPr>
            <w:r/>
          </w:p>
        </w:tc>
        <w:tc>
          <w:tcPr>
            <w:tcW w:type="dxa" w:w="1035"/>
            <w:tcMar>
              <w:top w:w="80" w:type="dxa"/>
              <w:bottom w:w="80" w:type="dxa"/>
              <w:start w:w="120" w:type="dxa"/>
              <w:end w:w="120" w:type="dxa"/>
            </w:tcMar>
            <w:vAlign w:val="center"/>
          </w:tcPr>
          <w:p>
            <w:pPr>
              <w:spacing w:before="0" w:after="0" w:line="269" w:lineRule="auto"/>
              <w:jc w:val="center"/>
            </w:pPr>
            <w:r/>
          </w:p>
        </w:tc>
        <w:tc>
          <w:tcPr>
            <w:tcW w:type="dxa" w:w="841"/>
            <w:tcMar>
              <w:top w:w="80" w:type="dxa"/>
              <w:bottom w:w="80" w:type="dxa"/>
              <w:start w:w="120" w:type="dxa"/>
              <w:end w:w="120" w:type="dxa"/>
            </w:tcMar>
            <w:vAlign w:val="center"/>
          </w:tcPr>
          <w:p>
            <w:pPr>
              <w:spacing w:before="0" w:after="0" w:line="269" w:lineRule="auto"/>
              <w:jc w:val="center"/>
            </w:pPr>
            <w:r/>
          </w:p>
        </w:tc>
      </w:tr>
      <w:tr>
        <w:trPr>
          <w:cantSplit w:val="true"/>
        </w:trPr>
        <w:tc>
          <w:tcPr>
            <w:tcW w:type="dxa" w:w="956"/>
            <w:tcMar>
              <w:top w:w="80" w:type="dxa"/>
              <w:bottom w:w="80" w:type="dxa"/>
              <w:start w:w="120" w:type="dxa"/>
              <w:end w:w="120" w:type="dxa"/>
            </w:tcMar>
            <w:vAlign w:val="center"/>
          </w:tcPr>
          <w:p>
            <w:pPr>
              <w:spacing w:before="0" w:after="0" w:line="269" w:lineRule="auto"/>
              <w:jc w:val="left"/>
            </w:pPr>
            <w:r/>
          </w:p>
        </w:tc>
        <w:tc>
          <w:tcPr>
            <w:tcW w:type="dxa" w:w="1035"/>
            <w:tcMar>
              <w:top w:w="80" w:type="dxa"/>
              <w:bottom w:w="80" w:type="dxa"/>
              <w:start w:w="120" w:type="dxa"/>
              <w:end w:w="120" w:type="dxa"/>
            </w:tcMar>
            <w:vAlign w:val="center"/>
          </w:tcPr>
          <w:p>
            <w:pPr>
              <w:spacing w:before="0" w:after="0" w:line="269" w:lineRule="auto"/>
              <w:jc w:val="center"/>
            </w:pPr>
            <w:r/>
          </w:p>
        </w:tc>
        <w:tc>
          <w:tcPr>
            <w:tcW w:type="dxa" w:w="1233"/>
            <w:tcMar>
              <w:top w:w="80" w:type="dxa"/>
              <w:bottom w:w="80" w:type="dxa"/>
              <w:start w:w="120" w:type="dxa"/>
              <w:end w:w="120" w:type="dxa"/>
            </w:tcMar>
            <w:vAlign w:val="center"/>
          </w:tcPr>
          <w:p>
            <w:pPr>
              <w:spacing w:before="0" w:after="0" w:line="269" w:lineRule="auto"/>
              <w:jc w:val="center"/>
            </w:pPr>
            <w:r/>
          </w:p>
        </w:tc>
        <w:tc>
          <w:tcPr>
            <w:tcW w:type="dxa" w:w="1154"/>
            <w:tcMar>
              <w:top w:w="80" w:type="dxa"/>
              <w:bottom w:w="80" w:type="dxa"/>
              <w:start w:w="120" w:type="dxa"/>
              <w:end w:w="120" w:type="dxa"/>
            </w:tcMar>
            <w:vAlign w:val="center"/>
          </w:tcPr>
          <w:p>
            <w:pPr>
              <w:spacing w:before="0" w:after="0" w:line="269" w:lineRule="auto"/>
              <w:jc w:val="center"/>
            </w:pPr>
            <w:r/>
          </w:p>
        </w:tc>
        <w:tc>
          <w:tcPr>
            <w:tcW w:type="dxa" w:w="996"/>
            <w:tcMar>
              <w:top w:w="80" w:type="dxa"/>
              <w:bottom w:w="80" w:type="dxa"/>
              <w:start w:w="120" w:type="dxa"/>
              <w:end w:w="120" w:type="dxa"/>
            </w:tcMar>
            <w:vAlign w:val="center"/>
          </w:tcPr>
          <w:p>
            <w:pPr>
              <w:spacing w:before="0" w:after="0" w:line="269" w:lineRule="auto"/>
              <w:jc w:val="center"/>
            </w:pPr>
            <w:r/>
          </w:p>
        </w:tc>
        <w:tc>
          <w:tcPr>
            <w:tcW w:type="dxa" w:w="916"/>
            <w:tcMar>
              <w:top w:w="80" w:type="dxa"/>
              <w:bottom w:w="80" w:type="dxa"/>
              <w:start w:w="120" w:type="dxa"/>
              <w:end w:w="120" w:type="dxa"/>
            </w:tcMar>
            <w:vAlign w:val="center"/>
          </w:tcPr>
          <w:p>
            <w:pPr>
              <w:spacing w:before="0" w:after="0" w:line="269" w:lineRule="auto"/>
              <w:jc w:val="center"/>
            </w:pPr>
            <w:r/>
          </w:p>
        </w:tc>
        <w:tc>
          <w:tcPr>
            <w:tcW w:type="dxa" w:w="1194"/>
            <w:tcMar>
              <w:top w:w="80" w:type="dxa"/>
              <w:bottom w:w="80" w:type="dxa"/>
              <w:start w:w="120" w:type="dxa"/>
              <w:end w:w="120" w:type="dxa"/>
            </w:tcMar>
            <w:vAlign w:val="center"/>
          </w:tcPr>
          <w:p>
            <w:pPr>
              <w:spacing w:before="0" w:after="0" w:line="269" w:lineRule="auto"/>
              <w:jc w:val="center"/>
            </w:pPr>
            <w:r/>
          </w:p>
        </w:tc>
        <w:tc>
          <w:tcPr>
            <w:tcW w:type="dxa" w:w="1035"/>
            <w:tcMar>
              <w:top w:w="80" w:type="dxa"/>
              <w:bottom w:w="80" w:type="dxa"/>
              <w:start w:w="120" w:type="dxa"/>
              <w:end w:w="120" w:type="dxa"/>
            </w:tcMar>
            <w:vAlign w:val="center"/>
          </w:tcPr>
          <w:p>
            <w:pPr>
              <w:spacing w:before="0" w:after="0" w:line="269" w:lineRule="auto"/>
              <w:jc w:val="center"/>
            </w:pPr>
            <w:r/>
          </w:p>
        </w:tc>
        <w:tc>
          <w:tcPr>
            <w:tcW w:type="dxa" w:w="841"/>
            <w:tcMar>
              <w:top w:w="80" w:type="dxa"/>
              <w:bottom w:w="80" w:type="dxa"/>
              <w:start w:w="120" w:type="dxa"/>
              <w:end w:w="120" w:type="dxa"/>
            </w:tcMar>
            <w:vAlign w:val="center"/>
          </w:tcPr>
          <w:p>
            <w:pPr>
              <w:spacing w:before="0" w:after="0" w:line="269" w:lineRule="auto"/>
              <w:jc w:val="center"/>
            </w:pPr>
            <w:r/>
          </w:p>
        </w:tc>
      </w:tr>
    </w:tbl>
    <w:p>
      <w:pPr>
        <w:spacing w:before="0" w:after="40"/>
      </w:pPr>
    </w:p>
    <w:p>
      <w:r>
        <w:rPr>
          <w:rFonts w:ascii="Calibri" w:hAnsi="Calibri"/>
          <w:b/>
          <w:color w:val="222222"/>
        </w:rPr>
        <w:t>Can quantitative values be pooled across studies?</w:t>
      </w:r>
      <w:r>
        <w:rPr>
          <w:rFonts w:ascii="Calibri" w:hAnsi="Calibri"/>
          <w:color w:val="222222"/>
        </w:rPr>
        <w:t xml:space="preserve"> Yes / No / Not yet assessable</w:t>
      </w:r>
    </w:p>
    <w:p>
      <w:r>
        <w:rPr>
          <w:rFonts w:ascii="Calibri" w:hAnsi="Calibri"/>
          <w:b/>
          <w:color w:val="222222"/>
        </w:rPr>
        <w:t>Reason:</w:t>
      </w:r>
      <w:r>
        <w:rPr>
          <w:rFonts w:ascii="Calibri" w:hAnsi="Calibri"/>
          <w:color w:val="222222"/>
        </w:rPr>
        <w:t xml:space="preserve"> ________________________________________________________________</w:t>
      </w:r>
    </w:p>
    <w:p>
      <w:pPr>
        <w:pStyle w:val="Heading2"/>
      </w:pPr>
      <w:r>
        <w:rPr>
          <w:rFonts w:ascii="Calibri" w:hAnsi="Calibri"/>
          <w:color w:val="222222"/>
        </w:rPr>
        <w:t>8. Metadata provenance conflicts</w:t>
      </w:r>
    </w:p>
    <w:p>
      <w:r>
        <w:rPr>
          <w:rFonts w:ascii="Calibri" w:hAnsi="Calibri"/>
          <w:color w:val="222222"/>
        </w:rPr>
        <w:t>Record fields for which two source locations differ or one source is more specific.</w:t>
      </w:r>
    </w:p>
    <w:tbl>
      <w:tblPr>
        <w:tblStyle w:val="TableGrid"/>
        <w:tblW w:type="dxa" w:w="9360"/>
        <w:jc w:val="left"/>
        <w:tblLayout w:type="fixed"/>
        <w:tblLook w:firstColumn="1" w:firstRow="1" w:lastColumn="0" w:lastRow="0" w:noHBand="0" w:noVBand="1" w:val="04A0"/>
        <w:tblInd w:w="120" w:type="dxa"/>
      </w:tblPr>
      <w:tblGrid>
        <w:gridCol w:w="1282"/>
        <w:gridCol w:w="1054"/>
        <w:gridCol w:w="1661"/>
        <w:gridCol w:w="1661"/>
        <w:gridCol w:w="1736"/>
        <w:gridCol w:w="1966"/>
      </w:tblGrid>
      <w:tr>
        <w:trPr>
          <w:cantSplit w:val="true"/>
          <w:tblHeader w:val="true"/>
        </w:trPr>
        <w:tc>
          <w:tcPr>
            <w:tcW w:type="dxa" w:w="1282"/>
            <w:tcMar>
              <w:top w:w="80" w:type="dxa"/>
              <w:bottom w:w="80" w:type="dxa"/>
              <w:start w:w="120" w:type="dxa"/>
              <w:end w:w="120" w:type="dxa"/>
            </w:tcMar>
            <w:vAlign w:val="center"/>
            <w:shd w:fill="E8EEF5"/>
          </w:tcPr>
          <w:p>
            <w:pPr>
              <w:spacing w:before="0" w:after="0" w:line="269" w:lineRule="auto"/>
              <w:jc w:val="left"/>
            </w:pPr>
            <w:r>
              <w:rPr>
                <w:b/>
                <w:color w:val="203748"/>
              </w:rPr>
            </w:r>
            <w:r>
              <w:rPr>
                <w:rFonts w:ascii="Calibri" w:hAnsi="Calibri"/>
                <w:b/>
                <w:color w:val="203748"/>
                <w:sz w:val="15"/>
              </w:rPr>
              <w:t>Accession</w:t>
            </w:r>
          </w:p>
        </w:tc>
        <w:tc>
          <w:tcPr>
            <w:tcW w:type="dxa" w:w="1054"/>
            <w:tcMar>
              <w:top w:w="80" w:type="dxa"/>
              <w:bottom w:w="80" w:type="dxa"/>
              <w:start w:w="120" w:type="dxa"/>
              <w:end w:w="120" w:type="dxa"/>
            </w:tcMar>
            <w:vAlign w:val="center"/>
            <w:shd w:fill="E8EEF5"/>
          </w:tcPr>
          <w:p>
            <w:pPr>
              <w:spacing w:before="0" w:after="0" w:line="269" w:lineRule="auto"/>
              <w:jc w:val="center"/>
            </w:pPr>
            <w:r>
              <w:rPr>
                <w:b/>
                <w:color w:val="203748"/>
              </w:rPr>
            </w:r>
            <w:r>
              <w:rPr>
                <w:rFonts w:ascii="Calibri" w:hAnsi="Calibri"/>
                <w:b/>
                <w:color w:val="203748"/>
                <w:sz w:val="15"/>
              </w:rPr>
              <w:t>Field</w:t>
            </w:r>
          </w:p>
        </w:tc>
        <w:tc>
          <w:tcPr>
            <w:tcW w:type="dxa" w:w="1661"/>
            <w:tcMar>
              <w:top w:w="80" w:type="dxa"/>
              <w:bottom w:w="80" w:type="dxa"/>
              <w:start w:w="120" w:type="dxa"/>
              <w:end w:w="120" w:type="dxa"/>
            </w:tcMar>
            <w:vAlign w:val="center"/>
            <w:shd w:fill="E8EEF5"/>
          </w:tcPr>
          <w:p>
            <w:pPr>
              <w:spacing w:before="0" w:after="0" w:line="269" w:lineRule="auto"/>
              <w:jc w:val="center"/>
            </w:pPr>
            <w:r>
              <w:rPr>
                <w:b/>
                <w:color w:val="203748"/>
              </w:rPr>
            </w:r>
            <w:r>
              <w:rPr>
                <w:rFonts w:ascii="Calibri" w:hAnsi="Calibri"/>
                <w:b/>
                <w:color w:val="203748"/>
                <w:sz w:val="15"/>
              </w:rPr>
              <w:t>Source A/value</w:t>
            </w:r>
          </w:p>
        </w:tc>
        <w:tc>
          <w:tcPr>
            <w:tcW w:type="dxa" w:w="1661"/>
            <w:tcMar>
              <w:top w:w="80" w:type="dxa"/>
              <w:bottom w:w="80" w:type="dxa"/>
              <w:start w:w="120" w:type="dxa"/>
              <w:end w:w="120" w:type="dxa"/>
            </w:tcMar>
            <w:vAlign w:val="center"/>
            <w:shd w:fill="E8EEF5"/>
          </w:tcPr>
          <w:p>
            <w:pPr>
              <w:spacing w:before="0" w:after="0" w:line="269" w:lineRule="auto"/>
              <w:jc w:val="center"/>
            </w:pPr>
            <w:r>
              <w:rPr>
                <w:b/>
                <w:color w:val="203748"/>
              </w:rPr>
            </w:r>
            <w:r>
              <w:rPr>
                <w:rFonts w:ascii="Calibri" w:hAnsi="Calibri"/>
                <w:b/>
                <w:color w:val="203748"/>
                <w:sz w:val="15"/>
              </w:rPr>
              <w:t>Source B/value</w:t>
            </w:r>
          </w:p>
        </w:tc>
        <w:tc>
          <w:tcPr>
            <w:tcW w:type="dxa" w:w="1736"/>
            <w:tcMar>
              <w:top w:w="80" w:type="dxa"/>
              <w:bottom w:w="80" w:type="dxa"/>
              <w:start w:w="120" w:type="dxa"/>
              <w:end w:w="120" w:type="dxa"/>
            </w:tcMar>
            <w:vAlign w:val="center"/>
            <w:shd w:fill="E8EEF5"/>
          </w:tcPr>
          <w:p>
            <w:pPr>
              <w:spacing w:before="0" w:after="0" w:line="269" w:lineRule="auto"/>
              <w:jc w:val="center"/>
            </w:pPr>
            <w:r>
              <w:rPr>
                <w:b/>
                <w:color w:val="203748"/>
              </w:rPr>
            </w:r>
            <w:r>
              <w:rPr>
                <w:rFonts w:ascii="Calibri" w:hAnsi="Calibri"/>
                <w:b/>
                <w:color w:val="203748"/>
                <w:sz w:val="15"/>
              </w:rPr>
              <w:t>Resolution rule</w:t>
            </w:r>
          </w:p>
        </w:tc>
        <w:tc>
          <w:tcPr>
            <w:tcW w:type="dxa" w:w="1966"/>
            <w:tcMar>
              <w:top w:w="80" w:type="dxa"/>
              <w:bottom w:w="80" w:type="dxa"/>
              <w:start w:w="120" w:type="dxa"/>
              <w:end w:w="120" w:type="dxa"/>
            </w:tcMar>
            <w:vAlign w:val="center"/>
            <w:shd w:fill="E8EEF5"/>
          </w:tcPr>
          <w:p>
            <w:pPr>
              <w:spacing w:before="0" w:after="0" w:line="269" w:lineRule="auto"/>
              <w:jc w:val="center"/>
            </w:pPr>
            <w:r>
              <w:rPr>
                <w:b/>
                <w:color w:val="203748"/>
              </w:rPr>
            </w:r>
            <w:r>
              <w:rPr>
                <w:rFonts w:ascii="Calibri" w:hAnsi="Calibri"/>
                <w:b/>
                <w:color w:val="203748"/>
                <w:sz w:val="15"/>
              </w:rPr>
              <w:t>Preserved evidence</w:t>
            </w:r>
          </w:p>
        </w:tc>
      </w:tr>
      <w:tr>
        <w:trPr>
          <w:cantSplit w:val="true"/>
        </w:trPr>
        <w:tc>
          <w:tcPr>
            <w:tcW w:type="dxa" w:w="1282"/>
            <w:tcMar>
              <w:top w:w="80" w:type="dxa"/>
              <w:bottom w:w="80" w:type="dxa"/>
              <w:start w:w="120" w:type="dxa"/>
              <w:end w:w="120" w:type="dxa"/>
            </w:tcMar>
            <w:vAlign w:val="center"/>
          </w:tcPr>
          <w:p>
            <w:pPr>
              <w:spacing w:before="0" w:after="0" w:line="269" w:lineRule="auto"/>
              <w:jc w:val="left"/>
            </w:pPr>
            <w:r/>
          </w:p>
        </w:tc>
        <w:tc>
          <w:tcPr>
            <w:tcW w:type="dxa" w:w="1054"/>
            <w:tcMar>
              <w:top w:w="80" w:type="dxa"/>
              <w:bottom w:w="80" w:type="dxa"/>
              <w:start w:w="120" w:type="dxa"/>
              <w:end w:w="120" w:type="dxa"/>
            </w:tcMar>
            <w:vAlign w:val="center"/>
          </w:tcPr>
          <w:p>
            <w:pPr>
              <w:spacing w:before="0" w:after="0" w:line="269" w:lineRule="auto"/>
              <w:jc w:val="center"/>
            </w:pPr>
            <w:r/>
          </w:p>
        </w:tc>
        <w:tc>
          <w:tcPr>
            <w:tcW w:type="dxa" w:w="1661"/>
            <w:tcMar>
              <w:top w:w="80" w:type="dxa"/>
              <w:bottom w:w="80" w:type="dxa"/>
              <w:start w:w="120" w:type="dxa"/>
              <w:end w:w="120" w:type="dxa"/>
            </w:tcMar>
            <w:vAlign w:val="center"/>
          </w:tcPr>
          <w:p>
            <w:pPr>
              <w:spacing w:before="0" w:after="0" w:line="269" w:lineRule="auto"/>
              <w:jc w:val="center"/>
            </w:pPr>
            <w:r/>
          </w:p>
        </w:tc>
        <w:tc>
          <w:tcPr>
            <w:tcW w:type="dxa" w:w="1661"/>
            <w:tcMar>
              <w:top w:w="80" w:type="dxa"/>
              <w:bottom w:w="80" w:type="dxa"/>
              <w:start w:w="120" w:type="dxa"/>
              <w:end w:w="120" w:type="dxa"/>
            </w:tcMar>
            <w:vAlign w:val="center"/>
          </w:tcPr>
          <w:p>
            <w:pPr>
              <w:spacing w:before="0" w:after="0" w:line="269" w:lineRule="auto"/>
              <w:jc w:val="center"/>
            </w:pPr>
            <w:r/>
          </w:p>
        </w:tc>
        <w:tc>
          <w:tcPr>
            <w:tcW w:type="dxa" w:w="1736"/>
            <w:tcMar>
              <w:top w:w="80" w:type="dxa"/>
              <w:bottom w:w="80" w:type="dxa"/>
              <w:start w:w="120" w:type="dxa"/>
              <w:end w:w="120" w:type="dxa"/>
            </w:tcMar>
            <w:vAlign w:val="center"/>
          </w:tcPr>
          <w:p>
            <w:pPr>
              <w:spacing w:before="0" w:after="0" w:line="269" w:lineRule="auto"/>
              <w:jc w:val="center"/>
            </w:pPr>
            <w:r/>
          </w:p>
        </w:tc>
        <w:tc>
          <w:tcPr>
            <w:tcW w:type="dxa" w:w="1966"/>
            <w:tcMar>
              <w:top w:w="80" w:type="dxa"/>
              <w:bottom w:w="80" w:type="dxa"/>
              <w:start w:w="120" w:type="dxa"/>
              <w:end w:w="120" w:type="dxa"/>
            </w:tcMar>
            <w:vAlign w:val="center"/>
          </w:tcPr>
          <w:p>
            <w:pPr>
              <w:spacing w:before="0" w:after="0" w:line="269" w:lineRule="auto"/>
              <w:jc w:val="center"/>
            </w:pPr>
            <w:r/>
          </w:p>
        </w:tc>
      </w:tr>
      <w:tr>
        <w:trPr>
          <w:cantSplit w:val="true"/>
        </w:trPr>
        <w:tc>
          <w:tcPr>
            <w:tcW w:type="dxa" w:w="1282"/>
            <w:tcMar>
              <w:top w:w="80" w:type="dxa"/>
              <w:bottom w:w="80" w:type="dxa"/>
              <w:start w:w="120" w:type="dxa"/>
              <w:end w:w="120" w:type="dxa"/>
            </w:tcMar>
            <w:vAlign w:val="center"/>
          </w:tcPr>
          <w:p>
            <w:pPr>
              <w:spacing w:before="0" w:after="0" w:line="269" w:lineRule="auto"/>
              <w:jc w:val="left"/>
            </w:pPr>
            <w:r/>
          </w:p>
        </w:tc>
        <w:tc>
          <w:tcPr>
            <w:tcW w:type="dxa" w:w="1054"/>
            <w:tcMar>
              <w:top w:w="80" w:type="dxa"/>
              <w:bottom w:w="80" w:type="dxa"/>
              <w:start w:w="120" w:type="dxa"/>
              <w:end w:w="120" w:type="dxa"/>
            </w:tcMar>
            <w:vAlign w:val="center"/>
          </w:tcPr>
          <w:p>
            <w:pPr>
              <w:spacing w:before="0" w:after="0" w:line="269" w:lineRule="auto"/>
              <w:jc w:val="center"/>
            </w:pPr>
            <w:r/>
          </w:p>
        </w:tc>
        <w:tc>
          <w:tcPr>
            <w:tcW w:type="dxa" w:w="1661"/>
            <w:tcMar>
              <w:top w:w="80" w:type="dxa"/>
              <w:bottom w:w="80" w:type="dxa"/>
              <w:start w:w="120" w:type="dxa"/>
              <w:end w:w="120" w:type="dxa"/>
            </w:tcMar>
            <w:vAlign w:val="center"/>
          </w:tcPr>
          <w:p>
            <w:pPr>
              <w:spacing w:before="0" w:after="0" w:line="269" w:lineRule="auto"/>
              <w:jc w:val="center"/>
            </w:pPr>
            <w:r/>
          </w:p>
        </w:tc>
        <w:tc>
          <w:tcPr>
            <w:tcW w:type="dxa" w:w="1661"/>
            <w:tcMar>
              <w:top w:w="80" w:type="dxa"/>
              <w:bottom w:w="80" w:type="dxa"/>
              <w:start w:w="120" w:type="dxa"/>
              <w:end w:w="120" w:type="dxa"/>
            </w:tcMar>
            <w:vAlign w:val="center"/>
          </w:tcPr>
          <w:p>
            <w:pPr>
              <w:spacing w:before="0" w:after="0" w:line="269" w:lineRule="auto"/>
              <w:jc w:val="center"/>
            </w:pPr>
            <w:r/>
          </w:p>
        </w:tc>
        <w:tc>
          <w:tcPr>
            <w:tcW w:type="dxa" w:w="1736"/>
            <w:tcMar>
              <w:top w:w="80" w:type="dxa"/>
              <w:bottom w:w="80" w:type="dxa"/>
              <w:start w:w="120" w:type="dxa"/>
              <w:end w:w="120" w:type="dxa"/>
            </w:tcMar>
            <w:vAlign w:val="center"/>
          </w:tcPr>
          <w:p>
            <w:pPr>
              <w:spacing w:before="0" w:after="0" w:line="269" w:lineRule="auto"/>
              <w:jc w:val="center"/>
            </w:pPr>
            <w:r/>
          </w:p>
        </w:tc>
        <w:tc>
          <w:tcPr>
            <w:tcW w:type="dxa" w:w="1966"/>
            <w:tcMar>
              <w:top w:w="80" w:type="dxa"/>
              <w:bottom w:w="80" w:type="dxa"/>
              <w:start w:w="120" w:type="dxa"/>
              <w:end w:w="120" w:type="dxa"/>
            </w:tcMar>
            <w:vAlign w:val="center"/>
          </w:tcPr>
          <w:p>
            <w:pPr>
              <w:spacing w:before="0" w:after="0" w:line="269" w:lineRule="auto"/>
              <w:jc w:val="center"/>
            </w:pPr>
            <w:r/>
          </w:p>
        </w:tc>
      </w:tr>
    </w:tbl>
    <w:p>
      <w:pPr>
        <w:spacing w:before="0" w:after="40"/>
      </w:pPr>
    </w:p>
    <w:p>
      <w:pPr>
        <w:pStyle w:val="Heading2"/>
      </w:pPr>
      <w:r>
        <w:rPr>
          <w:rFonts w:ascii="Calibri" w:hAnsi="Calibri"/>
          <w:color w:val="222222"/>
        </w:rPr>
        <w:t>9. Comparability decision matrix</w:t>
      </w:r>
    </w:p>
    <w:p>
      <w:r>
        <w:rPr>
          <w:rFonts w:ascii="Calibri" w:hAnsi="Calibri"/>
          <w:color w:val="222222"/>
        </w:rPr>
        <w:t>Complete at least eight rows. Name the purpose in each row; a field can receive a different decision for a different purpose.</w:t>
      </w:r>
    </w:p>
    <w:tbl>
      <w:tblPr>
        <w:tblStyle w:val="TableGrid"/>
        <w:tblW w:type="dxa" w:w="9360"/>
        <w:jc w:val="left"/>
        <w:tblLayout w:type="fixed"/>
        <w:tblLook w:firstColumn="1" w:firstRow="1" w:lastColumn="0" w:lastRow="0" w:noHBand="0" w:noVBand="1" w:val="04A0"/>
        <w:tblInd w:w="120" w:type="dxa"/>
      </w:tblPr>
      <w:tblGrid>
        <w:gridCol w:w="1988"/>
        <w:gridCol w:w="1422"/>
        <w:gridCol w:w="960"/>
        <w:gridCol w:w="2040"/>
        <w:gridCol w:w="1320"/>
        <w:gridCol w:w="1630"/>
      </w:tblGrid>
      <w:tr>
        <w:trPr>
          <w:cantSplit w:val="true"/>
          <w:tblHeader w:val="true"/>
        </w:trPr>
        <w:tc>
          <w:tcPr>
            <w:tcW w:type="dxa" w:w="1988"/>
            <w:tcMar>
              <w:top w:w="80" w:type="dxa"/>
              <w:bottom w:w="80" w:type="dxa"/>
              <w:start w:w="120" w:type="dxa"/>
              <w:end w:w="120" w:type="dxa"/>
            </w:tcMar>
            <w:vAlign w:val="center"/>
            <w:shd w:fill="E8EEF5"/>
          </w:tcPr>
          <w:p>
            <w:pPr>
              <w:spacing w:before="0" w:after="0" w:line="269" w:lineRule="auto"/>
              <w:jc w:val="left"/>
            </w:pPr>
            <w:r>
              <w:rPr>
                <w:b/>
                <w:color w:val="203748"/>
              </w:rPr>
            </w:r>
            <w:r>
              <w:rPr>
                <w:rFonts w:ascii="Calibri" w:hAnsi="Calibri"/>
                <w:b/>
                <w:color w:val="203748"/>
                <w:sz w:val="15"/>
              </w:rPr>
              <w:t>Domain/field</w:t>
            </w:r>
          </w:p>
        </w:tc>
        <w:tc>
          <w:tcPr>
            <w:tcW w:type="dxa" w:w="1422"/>
            <w:tcMar>
              <w:top w:w="80" w:type="dxa"/>
              <w:bottom w:w="80" w:type="dxa"/>
              <w:start w:w="120" w:type="dxa"/>
              <w:end w:w="120" w:type="dxa"/>
            </w:tcMar>
            <w:vAlign w:val="center"/>
            <w:shd w:fill="E8EEF5"/>
          </w:tcPr>
          <w:p>
            <w:pPr>
              <w:spacing w:before="0" w:after="0" w:line="269" w:lineRule="auto"/>
              <w:jc w:val="center"/>
            </w:pPr>
            <w:r>
              <w:rPr>
                <w:b/>
                <w:color w:val="203748"/>
              </w:rPr>
            </w:r>
            <w:r>
              <w:rPr>
                <w:rFonts w:ascii="Calibri" w:hAnsi="Calibri"/>
                <w:b/>
                <w:color w:val="203748"/>
                <w:sz w:val="15"/>
              </w:rPr>
              <w:t>Intended purpose</w:t>
            </w:r>
          </w:p>
        </w:tc>
        <w:tc>
          <w:tcPr>
            <w:tcW w:type="dxa" w:w="960"/>
            <w:tcMar>
              <w:top w:w="80" w:type="dxa"/>
              <w:bottom w:w="80" w:type="dxa"/>
              <w:start w:w="120" w:type="dxa"/>
              <w:end w:w="120" w:type="dxa"/>
            </w:tcMar>
            <w:vAlign w:val="center"/>
            <w:shd w:fill="E8EEF5"/>
          </w:tcPr>
          <w:p>
            <w:pPr>
              <w:spacing w:before="0" w:after="0" w:line="269" w:lineRule="auto"/>
              <w:jc w:val="center"/>
            </w:pPr>
            <w:r>
              <w:rPr>
                <w:b/>
                <w:color w:val="203748"/>
              </w:rPr>
            </w:r>
            <w:r>
              <w:rPr>
                <w:rFonts w:ascii="Calibri" w:hAnsi="Calibri"/>
                <w:b/>
                <w:color w:val="203748"/>
                <w:sz w:val="15"/>
              </w:rPr>
              <w:t>D/P/N/U</w:t>
            </w:r>
          </w:p>
        </w:tc>
        <w:tc>
          <w:tcPr>
            <w:tcW w:type="dxa" w:w="2040"/>
            <w:tcMar>
              <w:top w:w="80" w:type="dxa"/>
              <w:bottom w:w="80" w:type="dxa"/>
              <w:start w:w="120" w:type="dxa"/>
              <w:end w:w="120" w:type="dxa"/>
            </w:tcMar>
            <w:vAlign w:val="center"/>
            <w:shd w:fill="E8EEF5"/>
          </w:tcPr>
          <w:p>
            <w:pPr>
              <w:spacing w:before="0" w:after="0" w:line="269" w:lineRule="auto"/>
              <w:jc w:val="left"/>
            </w:pPr>
            <w:r>
              <w:rPr>
                <w:b/>
                <w:color w:val="203748"/>
              </w:rPr>
            </w:r>
            <w:r>
              <w:rPr>
                <w:rFonts w:ascii="Calibri" w:hAnsi="Calibri"/>
                <w:b/>
                <w:color w:val="203748"/>
                <w:sz w:val="15"/>
              </w:rPr>
              <w:t>Evidence-based justification</w:t>
            </w:r>
          </w:p>
        </w:tc>
        <w:tc>
          <w:tcPr>
            <w:tcW w:type="dxa" w:w="1320"/>
            <w:tcMar>
              <w:top w:w="80" w:type="dxa"/>
              <w:bottom w:w="80" w:type="dxa"/>
              <w:start w:w="120" w:type="dxa"/>
              <w:end w:w="120" w:type="dxa"/>
            </w:tcMar>
            <w:vAlign w:val="center"/>
            <w:shd w:fill="E8EEF5"/>
          </w:tcPr>
          <w:p>
            <w:pPr>
              <w:spacing w:before="0" w:after="0" w:line="269" w:lineRule="auto"/>
              <w:jc w:val="center"/>
            </w:pPr>
            <w:r>
              <w:rPr>
                <w:b/>
                <w:color w:val="203748"/>
              </w:rPr>
            </w:r>
            <w:r>
              <w:rPr>
                <w:rFonts w:ascii="Calibri" w:hAnsi="Calibri"/>
                <w:b/>
                <w:color w:val="203748"/>
                <w:sz w:val="15"/>
              </w:rPr>
              <w:t>Allowed action</w:t>
            </w:r>
          </w:p>
        </w:tc>
        <w:tc>
          <w:tcPr>
            <w:tcW w:type="dxa" w:w="1630"/>
            <w:tcMar>
              <w:top w:w="80" w:type="dxa"/>
              <w:bottom w:w="80" w:type="dxa"/>
              <w:start w:w="120" w:type="dxa"/>
              <w:end w:w="120" w:type="dxa"/>
            </w:tcMar>
            <w:vAlign w:val="center"/>
            <w:shd w:fill="E8EEF5"/>
          </w:tcPr>
          <w:p>
            <w:pPr>
              <w:spacing w:before="0" w:after="0" w:line="269" w:lineRule="auto"/>
              <w:jc w:val="left"/>
            </w:pPr>
            <w:r>
              <w:rPr>
                <w:b/>
                <w:color w:val="203748"/>
              </w:rPr>
            </w:r>
            <w:r>
              <w:rPr>
                <w:rFonts w:ascii="Calibri" w:hAnsi="Calibri"/>
                <w:b/>
                <w:color w:val="203748"/>
                <w:sz w:val="15"/>
              </w:rPr>
              <w:t>Prohibited inference</w:t>
            </w:r>
          </w:p>
        </w:tc>
      </w:tr>
      <w:tr>
        <w:trPr>
          <w:cantSplit w:val="true"/>
        </w:trPr>
        <w:tc>
          <w:tcPr>
            <w:tcW w:type="dxa" w:w="1988"/>
            <w:tcMar>
              <w:top w:w="80" w:type="dxa"/>
              <w:bottom w:w="80" w:type="dxa"/>
              <w:start w:w="120" w:type="dxa"/>
              <w:end w:w="120" w:type="dxa"/>
            </w:tcMar>
            <w:vAlign w:val="center"/>
          </w:tcPr>
          <w:p>
            <w:pPr>
              <w:spacing w:before="0" w:after="0" w:line="269" w:lineRule="auto"/>
              <w:jc w:val="left"/>
            </w:pPr>
            <w:r/>
            <w:r>
              <w:rPr>
                <w:rFonts w:ascii="Calibri" w:hAnsi="Calibri"/>
                <w:color w:val="222222"/>
                <w:sz w:val="15"/>
              </w:rPr>
              <w:t>Species</w:t>
            </w:r>
          </w:p>
        </w:tc>
        <w:tc>
          <w:tcPr>
            <w:tcW w:type="dxa" w:w="1422"/>
            <w:tcMar>
              <w:top w:w="80" w:type="dxa"/>
              <w:bottom w:w="80" w:type="dxa"/>
              <w:start w:w="120" w:type="dxa"/>
              <w:end w:w="120" w:type="dxa"/>
            </w:tcMar>
            <w:vAlign w:val="center"/>
          </w:tcPr>
          <w:p>
            <w:pPr>
              <w:spacing w:before="0" w:after="0" w:line="269" w:lineRule="auto"/>
              <w:jc w:val="center"/>
            </w:pPr>
            <w:r/>
          </w:p>
        </w:tc>
        <w:tc>
          <w:tcPr>
            <w:tcW w:type="dxa" w:w="960"/>
            <w:tcMar>
              <w:top w:w="80" w:type="dxa"/>
              <w:bottom w:w="80" w:type="dxa"/>
              <w:start w:w="120" w:type="dxa"/>
              <w:end w:w="120" w:type="dxa"/>
            </w:tcMar>
            <w:vAlign w:val="center"/>
          </w:tcPr>
          <w:p>
            <w:pPr>
              <w:spacing w:before="0" w:after="0" w:line="269" w:lineRule="auto"/>
              <w:jc w:val="center"/>
            </w:pPr>
            <w:r/>
          </w:p>
        </w:tc>
        <w:tc>
          <w:tcPr>
            <w:tcW w:type="dxa" w:w="2040"/>
            <w:tcMar>
              <w:top w:w="80" w:type="dxa"/>
              <w:bottom w:w="80" w:type="dxa"/>
              <w:start w:w="120" w:type="dxa"/>
              <w:end w:w="120" w:type="dxa"/>
            </w:tcMar>
            <w:vAlign w:val="center"/>
          </w:tcPr>
          <w:p>
            <w:pPr>
              <w:spacing w:before="0" w:after="0" w:line="269" w:lineRule="auto"/>
              <w:jc w:val="center"/>
            </w:pPr>
            <w:r/>
          </w:p>
        </w:tc>
        <w:tc>
          <w:tcPr>
            <w:tcW w:type="dxa" w:w="1320"/>
            <w:tcMar>
              <w:top w:w="80" w:type="dxa"/>
              <w:bottom w:w="80" w:type="dxa"/>
              <w:start w:w="120" w:type="dxa"/>
              <w:end w:w="120" w:type="dxa"/>
            </w:tcMar>
            <w:vAlign w:val="center"/>
          </w:tcPr>
          <w:p>
            <w:pPr>
              <w:spacing w:before="0" w:after="0" w:line="269" w:lineRule="auto"/>
              <w:jc w:val="center"/>
            </w:pPr>
            <w:r/>
          </w:p>
        </w:tc>
        <w:tc>
          <w:tcPr>
            <w:tcW w:type="dxa" w:w="1630"/>
            <w:tcMar>
              <w:top w:w="80" w:type="dxa"/>
              <w:bottom w:w="80" w:type="dxa"/>
              <w:start w:w="120" w:type="dxa"/>
              <w:end w:w="120" w:type="dxa"/>
            </w:tcMar>
            <w:vAlign w:val="center"/>
          </w:tcPr>
          <w:p>
            <w:pPr>
              <w:spacing w:before="0" w:after="0" w:line="269" w:lineRule="auto"/>
              <w:jc w:val="center"/>
            </w:pPr>
            <w:r/>
          </w:p>
        </w:tc>
      </w:tr>
      <w:tr>
        <w:trPr>
          <w:cantSplit w:val="true"/>
        </w:trPr>
        <w:tc>
          <w:tcPr>
            <w:tcW w:type="dxa" w:w="1988"/>
            <w:tcMar>
              <w:top w:w="80" w:type="dxa"/>
              <w:bottom w:w="80" w:type="dxa"/>
              <w:start w:w="120" w:type="dxa"/>
              <w:end w:w="120" w:type="dxa"/>
            </w:tcMar>
            <w:vAlign w:val="center"/>
          </w:tcPr>
          <w:p>
            <w:pPr>
              <w:spacing w:before="0" w:after="0" w:line="269" w:lineRule="auto"/>
              <w:jc w:val="left"/>
            </w:pPr>
            <w:r/>
            <w:r>
              <w:rPr>
                <w:rFonts w:ascii="Calibri" w:hAnsi="Calibri"/>
                <w:color w:val="222222"/>
                <w:sz w:val="15"/>
              </w:rPr>
              <w:t>Matrix</w:t>
            </w:r>
          </w:p>
        </w:tc>
        <w:tc>
          <w:tcPr>
            <w:tcW w:type="dxa" w:w="1422"/>
            <w:tcMar>
              <w:top w:w="80" w:type="dxa"/>
              <w:bottom w:w="80" w:type="dxa"/>
              <w:start w:w="120" w:type="dxa"/>
              <w:end w:w="120" w:type="dxa"/>
            </w:tcMar>
            <w:vAlign w:val="center"/>
          </w:tcPr>
          <w:p>
            <w:pPr>
              <w:spacing w:before="0" w:after="0" w:line="269" w:lineRule="auto"/>
              <w:jc w:val="center"/>
            </w:pPr>
            <w:r/>
          </w:p>
        </w:tc>
        <w:tc>
          <w:tcPr>
            <w:tcW w:type="dxa" w:w="960"/>
            <w:tcMar>
              <w:top w:w="80" w:type="dxa"/>
              <w:bottom w:w="80" w:type="dxa"/>
              <w:start w:w="120" w:type="dxa"/>
              <w:end w:w="120" w:type="dxa"/>
            </w:tcMar>
            <w:vAlign w:val="center"/>
          </w:tcPr>
          <w:p>
            <w:pPr>
              <w:spacing w:before="0" w:after="0" w:line="269" w:lineRule="auto"/>
              <w:jc w:val="center"/>
            </w:pPr>
            <w:r/>
          </w:p>
        </w:tc>
        <w:tc>
          <w:tcPr>
            <w:tcW w:type="dxa" w:w="2040"/>
            <w:tcMar>
              <w:top w:w="80" w:type="dxa"/>
              <w:bottom w:w="80" w:type="dxa"/>
              <w:start w:w="120" w:type="dxa"/>
              <w:end w:w="120" w:type="dxa"/>
            </w:tcMar>
            <w:vAlign w:val="center"/>
          </w:tcPr>
          <w:p>
            <w:pPr>
              <w:spacing w:before="0" w:after="0" w:line="269" w:lineRule="auto"/>
              <w:jc w:val="center"/>
            </w:pPr>
            <w:r/>
          </w:p>
        </w:tc>
        <w:tc>
          <w:tcPr>
            <w:tcW w:type="dxa" w:w="1320"/>
            <w:tcMar>
              <w:top w:w="80" w:type="dxa"/>
              <w:bottom w:w="80" w:type="dxa"/>
              <w:start w:w="120" w:type="dxa"/>
              <w:end w:w="120" w:type="dxa"/>
            </w:tcMar>
            <w:vAlign w:val="center"/>
          </w:tcPr>
          <w:p>
            <w:pPr>
              <w:spacing w:before="0" w:after="0" w:line="269" w:lineRule="auto"/>
              <w:jc w:val="center"/>
            </w:pPr>
            <w:r/>
          </w:p>
        </w:tc>
        <w:tc>
          <w:tcPr>
            <w:tcW w:type="dxa" w:w="1630"/>
            <w:tcMar>
              <w:top w:w="80" w:type="dxa"/>
              <w:bottom w:w="80" w:type="dxa"/>
              <w:start w:w="120" w:type="dxa"/>
              <w:end w:w="120" w:type="dxa"/>
            </w:tcMar>
            <w:vAlign w:val="center"/>
          </w:tcPr>
          <w:p>
            <w:pPr>
              <w:spacing w:before="0" w:after="0" w:line="269" w:lineRule="auto"/>
              <w:jc w:val="center"/>
            </w:pPr>
            <w:r/>
          </w:p>
        </w:tc>
      </w:tr>
      <w:tr>
        <w:trPr>
          <w:cantSplit w:val="true"/>
        </w:trPr>
        <w:tc>
          <w:tcPr>
            <w:tcW w:type="dxa" w:w="1988"/>
            <w:tcMar>
              <w:top w:w="80" w:type="dxa"/>
              <w:bottom w:w="80" w:type="dxa"/>
              <w:start w:w="120" w:type="dxa"/>
              <w:end w:w="120" w:type="dxa"/>
            </w:tcMar>
            <w:vAlign w:val="center"/>
          </w:tcPr>
          <w:p>
            <w:pPr>
              <w:spacing w:before="0" w:after="0" w:line="269" w:lineRule="auto"/>
              <w:jc w:val="left"/>
            </w:pPr>
            <w:r/>
            <w:r>
              <w:rPr>
                <w:rFonts w:ascii="Calibri" w:hAnsi="Calibri"/>
                <w:color w:val="222222"/>
                <w:sz w:val="15"/>
              </w:rPr>
              <w:t>Timepoint</w:t>
            </w:r>
          </w:p>
        </w:tc>
        <w:tc>
          <w:tcPr>
            <w:tcW w:type="dxa" w:w="1422"/>
            <w:tcMar>
              <w:top w:w="80" w:type="dxa"/>
              <w:bottom w:w="80" w:type="dxa"/>
              <w:start w:w="120" w:type="dxa"/>
              <w:end w:w="120" w:type="dxa"/>
            </w:tcMar>
            <w:vAlign w:val="center"/>
          </w:tcPr>
          <w:p>
            <w:pPr>
              <w:spacing w:before="0" w:after="0" w:line="269" w:lineRule="auto"/>
              <w:jc w:val="center"/>
            </w:pPr>
            <w:r/>
          </w:p>
        </w:tc>
        <w:tc>
          <w:tcPr>
            <w:tcW w:type="dxa" w:w="960"/>
            <w:tcMar>
              <w:top w:w="80" w:type="dxa"/>
              <w:bottom w:w="80" w:type="dxa"/>
              <w:start w:w="120" w:type="dxa"/>
              <w:end w:w="120" w:type="dxa"/>
            </w:tcMar>
            <w:vAlign w:val="center"/>
          </w:tcPr>
          <w:p>
            <w:pPr>
              <w:spacing w:before="0" w:after="0" w:line="269" w:lineRule="auto"/>
              <w:jc w:val="center"/>
            </w:pPr>
            <w:r/>
          </w:p>
        </w:tc>
        <w:tc>
          <w:tcPr>
            <w:tcW w:type="dxa" w:w="2040"/>
            <w:tcMar>
              <w:top w:w="80" w:type="dxa"/>
              <w:bottom w:w="80" w:type="dxa"/>
              <w:start w:w="120" w:type="dxa"/>
              <w:end w:w="120" w:type="dxa"/>
            </w:tcMar>
            <w:vAlign w:val="center"/>
          </w:tcPr>
          <w:p>
            <w:pPr>
              <w:spacing w:before="0" w:after="0" w:line="269" w:lineRule="auto"/>
              <w:jc w:val="center"/>
            </w:pPr>
            <w:r/>
          </w:p>
        </w:tc>
        <w:tc>
          <w:tcPr>
            <w:tcW w:type="dxa" w:w="1320"/>
            <w:tcMar>
              <w:top w:w="80" w:type="dxa"/>
              <w:bottom w:w="80" w:type="dxa"/>
              <w:start w:w="120" w:type="dxa"/>
              <w:end w:w="120" w:type="dxa"/>
            </w:tcMar>
            <w:vAlign w:val="center"/>
          </w:tcPr>
          <w:p>
            <w:pPr>
              <w:spacing w:before="0" w:after="0" w:line="269" w:lineRule="auto"/>
              <w:jc w:val="center"/>
            </w:pPr>
            <w:r/>
          </w:p>
        </w:tc>
        <w:tc>
          <w:tcPr>
            <w:tcW w:type="dxa" w:w="1630"/>
            <w:tcMar>
              <w:top w:w="80" w:type="dxa"/>
              <w:bottom w:w="80" w:type="dxa"/>
              <w:start w:w="120" w:type="dxa"/>
              <w:end w:w="120" w:type="dxa"/>
            </w:tcMar>
            <w:vAlign w:val="center"/>
          </w:tcPr>
          <w:p>
            <w:pPr>
              <w:spacing w:before="0" w:after="0" w:line="269" w:lineRule="auto"/>
              <w:jc w:val="center"/>
            </w:pPr>
            <w:r/>
          </w:p>
        </w:tc>
      </w:tr>
      <w:tr>
        <w:trPr>
          <w:cantSplit w:val="true"/>
        </w:trPr>
        <w:tc>
          <w:tcPr>
            <w:tcW w:type="dxa" w:w="1988"/>
            <w:tcMar>
              <w:top w:w="80" w:type="dxa"/>
              <w:bottom w:w="80" w:type="dxa"/>
              <w:start w:w="120" w:type="dxa"/>
              <w:end w:w="120" w:type="dxa"/>
            </w:tcMar>
            <w:vAlign w:val="center"/>
          </w:tcPr>
          <w:p>
            <w:pPr>
              <w:spacing w:before="0" w:after="0" w:line="269" w:lineRule="auto"/>
              <w:jc w:val="left"/>
            </w:pPr>
            <w:r/>
            <w:r>
              <w:rPr>
                <w:rFonts w:ascii="Calibri" w:hAnsi="Calibri"/>
                <w:color w:val="222222"/>
                <w:sz w:val="15"/>
              </w:rPr>
              <w:t>Participant count</w:t>
            </w:r>
          </w:p>
        </w:tc>
        <w:tc>
          <w:tcPr>
            <w:tcW w:type="dxa" w:w="1422"/>
            <w:tcMar>
              <w:top w:w="80" w:type="dxa"/>
              <w:bottom w:w="80" w:type="dxa"/>
              <w:start w:w="120" w:type="dxa"/>
              <w:end w:w="120" w:type="dxa"/>
            </w:tcMar>
            <w:vAlign w:val="center"/>
          </w:tcPr>
          <w:p>
            <w:pPr>
              <w:spacing w:before="0" w:after="0" w:line="269" w:lineRule="auto"/>
              <w:jc w:val="center"/>
            </w:pPr>
            <w:r/>
          </w:p>
        </w:tc>
        <w:tc>
          <w:tcPr>
            <w:tcW w:type="dxa" w:w="960"/>
            <w:tcMar>
              <w:top w:w="80" w:type="dxa"/>
              <w:bottom w:w="80" w:type="dxa"/>
              <w:start w:w="120" w:type="dxa"/>
              <w:end w:w="120" w:type="dxa"/>
            </w:tcMar>
            <w:vAlign w:val="center"/>
          </w:tcPr>
          <w:p>
            <w:pPr>
              <w:spacing w:before="0" w:after="0" w:line="269" w:lineRule="auto"/>
              <w:jc w:val="center"/>
            </w:pPr>
            <w:r/>
          </w:p>
        </w:tc>
        <w:tc>
          <w:tcPr>
            <w:tcW w:type="dxa" w:w="2040"/>
            <w:tcMar>
              <w:top w:w="80" w:type="dxa"/>
              <w:bottom w:w="80" w:type="dxa"/>
              <w:start w:w="120" w:type="dxa"/>
              <w:end w:w="120" w:type="dxa"/>
            </w:tcMar>
            <w:vAlign w:val="center"/>
          </w:tcPr>
          <w:p>
            <w:pPr>
              <w:spacing w:before="0" w:after="0" w:line="269" w:lineRule="auto"/>
              <w:jc w:val="center"/>
            </w:pPr>
            <w:r/>
          </w:p>
        </w:tc>
        <w:tc>
          <w:tcPr>
            <w:tcW w:type="dxa" w:w="1320"/>
            <w:tcMar>
              <w:top w:w="80" w:type="dxa"/>
              <w:bottom w:w="80" w:type="dxa"/>
              <w:start w:w="120" w:type="dxa"/>
              <w:end w:w="120" w:type="dxa"/>
            </w:tcMar>
            <w:vAlign w:val="center"/>
          </w:tcPr>
          <w:p>
            <w:pPr>
              <w:spacing w:before="0" w:after="0" w:line="269" w:lineRule="auto"/>
              <w:jc w:val="center"/>
            </w:pPr>
            <w:r/>
          </w:p>
        </w:tc>
        <w:tc>
          <w:tcPr>
            <w:tcW w:type="dxa" w:w="1630"/>
            <w:tcMar>
              <w:top w:w="80" w:type="dxa"/>
              <w:bottom w:w="80" w:type="dxa"/>
              <w:start w:w="120" w:type="dxa"/>
              <w:end w:w="120" w:type="dxa"/>
            </w:tcMar>
            <w:vAlign w:val="center"/>
          </w:tcPr>
          <w:p>
            <w:pPr>
              <w:spacing w:before="0" w:after="0" w:line="269" w:lineRule="auto"/>
              <w:jc w:val="center"/>
            </w:pPr>
            <w:r/>
          </w:p>
        </w:tc>
      </w:tr>
      <w:tr>
        <w:trPr>
          <w:cantSplit w:val="true"/>
        </w:trPr>
        <w:tc>
          <w:tcPr>
            <w:tcW w:type="dxa" w:w="1988"/>
            <w:tcMar>
              <w:top w:w="80" w:type="dxa"/>
              <w:bottom w:w="80" w:type="dxa"/>
              <w:start w:w="120" w:type="dxa"/>
              <w:end w:w="120" w:type="dxa"/>
            </w:tcMar>
            <w:vAlign w:val="center"/>
          </w:tcPr>
          <w:p>
            <w:pPr>
              <w:spacing w:before="0" w:after="0" w:line="269" w:lineRule="auto"/>
              <w:jc w:val="left"/>
            </w:pPr>
            <w:r/>
            <w:r>
              <w:rPr>
                <w:rFonts w:ascii="Calibri" w:hAnsi="Calibri"/>
                <w:color w:val="222222"/>
                <w:sz w:val="15"/>
              </w:rPr>
              <w:t>Repeated-measures structure</w:t>
            </w:r>
          </w:p>
        </w:tc>
        <w:tc>
          <w:tcPr>
            <w:tcW w:type="dxa" w:w="1422"/>
            <w:tcMar>
              <w:top w:w="80" w:type="dxa"/>
              <w:bottom w:w="80" w:type="dxa"/>
              <w:start w:w="120" w:type="dxa"/>
              <w:end w:w="120" w:type="dxa"/>
            </w:tcMar>
            <w:vAlign w:val="center"/>
          </w:tcPr>
          <w:p>
            <w:pPr>
              <w:spacing w:before="0" w:after="0" w:line="269" w:lineRule="auto"/>
              <w:jc w:val="center"/>
            </w:pPr>
            <w:r/>
          </w:p>
        </w:tc>
        <w:tc>
          <w:tcPr>
            <w:tcW w:type="dxa" w:w="960"/>
            <w:tcMar>
              <w:top w:w="80" w:type="dxa"/>
              <w:bottom w:w="80" w:type="dxa"/>
              <w:start w:w="120" w:type="dxa"/>
              <w:end w:w="120" w:type="dxa"/>
            </w:tcMar>
            <w:vAlign w:val="center"/>
          </w:tcPr>
          <w:p>
            <w:pPr>
              <w:spacing w:before="0" w:after="0" w:line="269" w:lineRule="auto"/>
              <w:jc w:val="center"/>
            </w:pPr>
            <w:r/>
          </w:p>
        </w:tc>
        <w:tc>
          <w:tcPr>
            <w:tcW w:type="dxa" w:w="2040"/>
            <w:tcMar>
              <w:top w:w="80" w:type="dxa"/>
              <w:bottom w:w="80" w:type="dxa"/>
              <w:start w:w="120" w:type="dxa"/>
              <w:end w:w="120" w:type="dxa"/>
            </w:tcMar>
            <w:vAlign w:val="center"/>
          </w:tcPr>
          <w:p>
            <w:pPr>
              <w:spacing w:before="0" w:after="0" w:line="269" w:lineRule="auto"/>
              <w:jc w:val="center"/>
            </w:pPr>
            <w:r/>
          </w:p>
        </w:tc>
        <w:tc>
          <w:tcPr>
            <w:tcW w:type="dxa" w:w="1320"/>
            <w:tcMar>
              <w:top w:w="80" w:type="dxa"/>
              <w:bottom w:w="80" w:type="dxa"/>
              <w:start w:w="120" w:type="dxa"/>
              <w:end w:w="120" w:type="dxa"/>
            </w:tcMar>
            <w:vAlign w:val="center"/>
          </w:tcPr>
          <w:p>
            <w:pPr>
              <w:spacing w:before="0" w:after="0" w:line="269" w:lineRule="auto"/>
              <w:jc w:val="center"/>
            </w:pPr>
            <w:r/>
          </w:p>
        </w:tc>
        <w:tc>
          <w:tcPr>
            <w:tcW w:type="dxa" w:w="1630"/>
            <w:tcMar>
              <w:top w:w="80" w:type="dxa"/>
              <w:bottom w:w="80" w:type="dxa"/>
              <w:start w:w="120" w:type="dxa"/>
              <w:end w:w="120" w:type="dxa"/>
            </w:tcMar>
            <w:vAlign w:val="center"/>
          </w:tcPr>
          <w:p>
            <w:pPr>
              <w:spacing w:before="0" w:after="0" w:line="269" w:lineRule="auto"/>
              <w:jc w:val="center"/>
            </w:pPr>
            <w:r/>
          </w:p>
        </w:tc>
      </w:tr>
      <w:tr>
        <w:trPr>
          <w:cantSplit w:val="true"/>
        </w:trPr>
        <w:tc>
          <w:tcPr>
            <w:tcW w:type="dxa" w:w="1988"/>
            <w:tcMar>
              <w:top w:w="80" w:type="dxa"/>
              <w:bottom w:w="80" w:type="dxa"/>
              <w:start w:w="120" w:type="dxa"/>
              <w:end w:w="120" w:type="dxa"/>
            </w:tcMar>
            <w:vAlign w:val="center"/>
          </w:tcPr>
          <w:p>
            <w:pPr>
              <w:spacing w:before="0" w:after="0" w:line="269" w:lineRule="auto"/>
              <w:jc w:val="left"/>
            </w:pPr>
            <w:r/>
            <w:r>
              <w:rPr>
                <w:rFonts w:ascii="Calibri" w:hAnsi="Calibri"/>
                <w:color w:val="222222"/>
                <w:sz w:val="15"/>
              </w:rPr>
              <w:t>Phenotype anchor</w:t>
            </w:r>
          </w:p>
        </w:tc>
        <w:tc>
          <w:tcPr>
            <w:tcW w:type="dxa" w:w="1422"/>
            <w:tcMar>
              <w:top w:w="80" w:type="dxa"/>
              <w:bottom w:w="80" w:type="dxa"/>
              <w:start w:w="120" w:type="dxa"/>
              <w:end w:w="120" w:type="dxa"/>
            </w:tcMar>
            <w:vAlign w:val="center"/>
          </w:tcPr>
          <w:p>
            <w:pPr>
              <w:spacing w:before="0" w:after="0" w:line="269" w:lineRule="auto"/>
              <w:jc w:val="center"/>
            </w:pPr>
            <w:r/>
          </w:p>
        </w:tc>
        <w:tc>
          <w:tcPr>
            <w:tcW w:type="dxa" w:w="960"/>
            <w:tcMar>
              <w:top w:w="80" w:type="dxa"/>
              <w:bottom w:w="80" w:type="dxa"/>
              <w:start w:w="120" w:type="dxa"/>
              <w:end w:w="120" w:type="dxa"/>
            </w:tcMar>
            <w:vAlign w:val="center"/>
          </w:tcPr>
          <w:p>
            <w:pPr>
              <w:spacing w:before="0" w:after="0" w:line="269" w:lineRule="auto"/>
              <w:jc w:val="center"/>
            </w:pPr>
            <w:r/>
          </w:p>
        </w:tc>
        <w:tc>
          <w:tcPr>
            <w:tcW w:type="dxa" w:w="2040"/>
            <w:tcMar>
              <w:top w:w="80" w:type="dxa"/>
              <w:bottom w:w="80" w:type="dxa"/>
              <w:start w:w="120" w:type="dxa"/>
              <w:end w:w="120" w:type="dxa"/>
            </w:tcMar>
            <w:vAlign w:val="center"/>
          </w:tcPr>
          <w:p>
            <w:pPr>
              <w:spacing w:before="0" w:after="0" w:line="269" w:lineRule="auto"/>
              <w:jc w:val="center"/>
            </w:pPr>
            <w:r/>
          </w:p>
        </w:tc>
        <w:tc>
          <w:tcPr>
            <w:tcW w:type="dxa" w:w="1320"/>
            <w:tcMar>
              <w:top w:w="80" w:type="dxa"/>
              <w:bottom w:w="80" w:type="dxa"/>
              <w:start w:w="120" w:type="dxa"/>
              <w:end w:w="120" w:type="dxa"/>
            </w:tcMar>
            <w:vAlign w:val="center"/>
          </w:tcPr>
          <w:p>
            <w:pPr>
              <w:spacing w:before="0" w:after="0" w:line="269" w:lineRule="auto"/>
              <w:jc w:val="center"/>
            </w:pPr>
            <w:r/>
          </w:p>
        </w:tc>
        <w:tc>
          <w:tcPr>
            <w:tcW w:type="dxa" w:w="1630"/>
            <w:tcMar>
              <w:top w:w="80" w:type="dxa"/>
              <w:bottom w:w="80" w:type="dxa"/>
              <w:start w:w="120" w:type="dxa"/>
              <w:end w:w="120" w:type="dxa"/>
            </w:tcMar>
            <w:vAlign w:val="center"/>
          </w:tcPr>
          <w:p>
            <w:pPr>
              <w:spacing w:before="0" w:after="0" w:line="269" w:lineRule="auto"/>
              <w:jc w:val="center"/>
            </w:pPr>
            <w:r/>
          </w:p>
        </w:tc>
      </w:tr>
      <w:tr>
        <w:trPr>
          <w:cantSplit w:val="true"/>
        </w:trPr>
        <w:tc>
          <w:tcPr>
            <w:tcW w:type="dxa" w:w="1988"/>
            <w:tcMar>
              <w:top w:w="80" w:type="dxa"/>
              <w:bottom w:w="80" w:type="dxa"/>
              <w:start w:w="120" w:type="dxa"/>
              <w:end w:w="120" w:type="dxa"/>
            </w:tcMar>
            <w:vAlign w:val="center"/>
          </w:tcPr>
          <w:p>
            <w:pPr>
              <w:spacing w:before="0" w:after="0" w:line="269" w:lineRule="auto"/>
              <w:jc w:val="left"/>
            </w:pPr>
            <w:r/>
            <w:r>
              <w:rPr>
                <w:rFonts w:ascii="Calibri" w:hAnsi="Calibri"/>
                <w:color w:val="222222"/>
                <w:sz w:val="15"/>
              </w:rPr>
              <w:t>RefMet name</w:t>
            </w:r>
          </w:p>
        </w:tc>
        <w:tc>
          <w:tcPr>
            <w:tcW w:type="dxa" w:w="1422"/>
            <w:tcMar>
              <w:top w:w="80" w:type="dxa"/>
              <w:bottom w:w="80" w:type="dxa"/>
              <w:start w:w="120" w:type="dxa"/>
              <w:end w:w="120" w:type="dxa"/>
            </w:tcMar>
            <w:vAlign w:val="center"/>
          </w:tcPr>
          <w:p>
            <w:pPr>
              <w:spacing w:before="0" w:after="0" w:line="269" w:lineRule="auto"/>
              <w:jc w:val="center"/>
            </w:pPr>
            <w:r/>
          </w:p>
        </w:tc>
        <w:tc>
          <w:tcPr>
            <w:tcW w:type="dxa" w:w="960"/>
            <w:tcMar>
              <w:top w:w="80" w:type="dxa"/>
              <w:bottom w:w="80" w:type="dxa"/>
              <w:start w:w="120" w:type="dxa"/>
              <w:end w:w="120" w:type="dxa"/>
            </w:tcMar>
            <w:vAlign w:val="center"/>
          </w:tcPr>
          <w:p>
            <w:pPr>
              <w:spacing w:before="0" w:after="0" w:line="269" w:lineRule="auto"/>
              <w:jc w:val="center"/>
            </w:pPr>
            <w:r/>
          </w:p>
        </w:tc>
        <w:tc>
          <w:tcPr>
            <w:tcW w:type="dxa" w:w="2040"/>
            <w:tcMar>
              <w:top w:w="80" w:type="dxa"/>
              <w:bottom w:w="80" w:type="dxa"/>
              <w:start w:w="120" w:type="dxa"/>
              <w:end w:w="120" w:type="dxa"/>
            </w:tcMar>
            <w:vAlign w:val="center"/>
          </w:tcPr>
          <w:p>
            <w:pPr>
              <w:spacing w:before="0" w:after="0" w:line="269" w:lineRule="auto"/>
              <w:jc w:val="center"/>
            </w:pPr>
            <w:r/>
          </w:p>
        </w:tc>
        <w:tc>
          <w:tcPr>
            <w:tcW w:type="dxa" w:w="1320"/>
            <w:tcMar>
              <w:top w:w="80" w:type="dxa"/>
              <w:bottom w:w="80" w:type="dxa"/>
              <w:start w:w="120" w:type="dxa"/>
              <w:end w:w="120" w:type="dxa"/>
            </w:tcMar>
            <w:vAlign w:val="center"/>
          </w:tcPr>
          <w:p>
            <w:pPr>
              <w:spacing w:before="0" w:after="0" w:line="269" w:lineRule="auto"/>
              <w:jc w:val="center"/>
            </w:pPr>
            <w:r/>
          </w:p>
        </w:tc>
        <w:tc>
          <w:tcPr>
            <w:tcW w:type="dxa" w:w="1630"/>
            <w:tcMar>
              <w:top w:w="80" w:type="dxa"/>
              <w:bottom w:w="80" w:type="dxa"/>
              <w:start w:w="120" w:type="dxa"/>
              <w:end w:w="120" w:type="dxa"/>
            </w:tcMar>
            <w:vAlign w:val="center"/>
          </w:tcPr>
          <w:p>
            <w:pPr>
              <w:spacing w:before="0" w:after="0" w:line="269" w:lineRule="auto"/>
              <w:jc w:val="center"/>
            </w:pPr>
            <w:r/>
          </w:p>
        </w:tc>
      </w:tr>
      <w:tr>
        <w:trPr>
          <w:cantSplit w:val="true"/>
        </w:trPr>
        <w:tc>
          <w:tcPr>
            <w:tcW w:type="dxa" w:w="1988"/>
            <w:tcMar>
              <w:top w:w="80" w:type="dxa"/>
              <w:bottom w:w="80" w:type="dxa"/>
              <w:start w:w="120" w:type="dxa"/>
              <w:end w:w="120" w:type="dxa"/>
            </w:tcMar>
            <w:vAlign w:val="center"/>
          </w:tcPr>
          <w:p>
            <w:pPr>
              <w:spacing w:before="0" w:after="0" w:line="269" w:lineRule="auto"/>
              <w:jc w:val="left"/>
            </w:pPr>
            <w:r/>
            <w:r>
              <w:rPr>
                <w:rFonts w:ascii="Calibri" w:hAnsi="Calibri"/>
                <w:color w:val="222222"/>
                <w:sz w:val="15"/>
              </w:rPr>
              <w:t>Annotation resolution</w:t>
            </w:r>
          </w:p>
        </w:tc>
        <w:tc>
          <w:tcPr>
            <w:tcW w:type="dxa" w:w="1422"/>
            <w:tcMar>
              <w:top w:w="80" w:type="dxa"/>
              <w:bottom w:w="80" w:type="dxa"/>
              <w:start w:w="120" w:type="dxa"/>
              <w:end w:w="120" w:type="dxa"/>
            </w:tcMar>
            <w:vAlign w:val="center"/>
          </w:tcPr>
          <w:p>
            <w:pPr>
              <w:spacing w:before="0" w:after="0" w:line="269" w:lineRule="auto"/>
              <w:jc w:val="center"/>
            </w:pPr>
            <w:r/>
          </w:p>
        </w:tc>
        <w:tc>
          <w:tcPr>
            <w:tcW w:type="dxa" w:w="960"/>
            <w:tcMar>
              <w:top w:w="80" w:type="dxa"/>
              <w:bottom w:w="80" w:type="dxa"/>
              <w:start w:w="120" w:type="dxa"/>
              <w:end w:w="120" w:type="dxa"/>
            </w:tcMar>
            <w:vAlign w:val="center"/>
          </w:tcPr>
          <w:p>
            <w:pPr>
              <w:spacing w:before="0" w:after="0" w:line="269" w:lineRule="auto"/>
              <w:jc w:val="center"/>
            </w:pPr>
            <w:r/>
          </w:p>
        </w:tc>
        <w:tc>
          <w:tcPr>
            <w:tcW w:type="dxa" w:w="2040"/>
            <w:tcMar>
              <w:top w:w="80" w:type="dxa"/>
              <w:bottom w:w="80" w:type="dxa"/>
              <w:start w:w="120" w:type="dxa"/>
              <w:end w:w="120" w:type="dxa"/>
            </w:tcMar>
            <w:vAlign w:val="center"/>
          </w:tcPr>
          <w:p>
            <w:pPr>
              <w:spacing w:before="0" w:after="0" w:line="269" w:lineRule="auto"/>
              <w:jc w:val="center"/>
            </w:pPr>
            <w:r/>
          </w:p>
        </w:tc>
        <w:tc>
          <w:tcPr>
            <w:tcW w:type="dxa" w:w="1320"/>
            <w:tcMar>
              <w:top w:w="80" w:type="dxa"/>
              <w:bottom w:w="80" w:type="dxa"/>
              <w:start w:w="120" w:type="dxa"/>
              <w:end w:w="120" w:type="dxa"/>
            </w:tcMar>
            <w:vAlign w:val="center"/>
          </w:tcPr>
          <w:p>
            <w:pPr>
              <w:spacing w:before="0" w:after="0" w:line="269" w:lineRule="auto"/>
              <w:jc w:val="center"/>
            </w:pPr>
            <w:r/>
          </w:p>
        </w:tc>
        <w:tc>
          <w:tcPr>
            <w:tcW w:type="dxa" w:w="1630"/>
            <w:tcMar>
              <w:top w:w="80" w:type="dxa"/>
              <w:bottom w:w="80" w:type="dxa"/>
              <w:start w:w="120" w:type="dxa"/>
              <w:end w:w="120" w:type="dxa"/>
            </w:tcMar>
            <w:vAlign w:val="center"/>
          </w:tcPr>
          <w:p>
            <w:pPr>
              <w:spacing w:before="0" w:after="0" w:line="269" w:lineRule="auto"/>
              <w:jc w:val="center"/>
            </w:pPr>
            <w:r/>
          </w:p>
        </w:tc>
      </w:tr>
      <w:tr>
        <w:trPr>
          <w:cantSplit w:val="true"/>
        </w:trPr>
        <w:tc>
          <w:tcPr>
            <w:tcW w:type="dxa" w:w="1988"/>
            <w:tcMar>
              <w:top w:w="80" w:type="dxa"/>
              <w:bottom w:w="80" w:type="dxa"/>
              <w:start w:w="120" w:type="dxa"/>
              <w:end w:w="120" w:type="dxa"/>
            </w:tcMar>
            <w:vAlign w:val="center"/>
          </w:tcPr>
          <w:p>
            <w:pPr>
              <w:spacing w:before="0" w:after="0" w:line="269" w:lineRule="auto"/>
              <w:jc w:val="left"/>
            </w:pPr>
            <w:r/>
            <w:r>
              <w:rPr>
                <w:rFonts w:ascii="Calibri" w:hAnsi="Calibri"/>
                <w:color w:val="222222"/>
                <w:sz w:val="15"/>
              </w:rPr>
              <w:t>Units/scale</w:t>
            </w:r>
          </w:p>
        </w:tc>
        <w:tc>
          <w:tcPr>
            <w:tcW w:type="dxa" w:w="1422"/>
            <w:tcMar>
              <w:top w:w="80" w:type="dxa"/>
              <w:bottom w:w="80" w:type="dxa"/>
              <w:start w:w="120" w:type="dxa"/>
              <w:end w:w="120" w:type="dxa"/>
            </w:tcMar>
            <w:vAlign w:val="center"/>
          </w:tcPr>
          <w:p>
            <w:pPr>
              <w:spacing w:before="0" w:after="0" w:line="269" w:lineRule="auto"/>
              <w:jc w:val="center"/>
            </w:pPr>
            <w:r/>
          </w:p>
        </w:tc>
        <w:tc>
          <w:tcPr>
            <w:tcW w:type="dxa" w:w="960"/>
            <w:tcMar>
              <w:top w:w="80" w:type="dxa"/>
              <w:bottom w:w="80" w:type="dxa"/>
              <w:start w:w="120" w:type="dxa"/>
              <w:end w:w="120" w:type="dxa"/>
            </w:tcMar>
            <w:vAlign w:val="center"/>
          </w:tcPr>
          <w:p>
            <w:pPr>
              <w:spacing w:before="0" w:after="0" w:line="269" w:lineRule="auto"/>
              <w:jc w:val="center"/>
            </w:pPr>
            <w:r/>
          </w:p>
        </w:tc>
        <w:tc>
          <w:tcPr>
            <w:tcW w:type="dxa" w:w="2040"/>
            <w:tcMar>
              <w:top w:w="80" w:type="dxa"/>
              <w:bottom w:w="80" w:type="dxa"/>
              <w:start w:w="120" w:type="dxa"/>
              <w:end w:w="120" w:type="dxa"/>
            </w:tcMar>
            <w:vAlign w:val="center"/>
          </w:tcPr>
          <w:p>
            <w:pPr>
              <w:spacing w:before="0" w:after="0" w:line="269" w:lineRule="auto"/>
              <w:jc w:val="center"/>
            </w:pPr>
            <w:r/>
          </w:p>
        </w:tc>
        <w:tc>
          <w:tcPr>
            <w:tcW w:type="dxa" w:w="1320"/>
            <w:tcMar>
              <w:top w:w="80" w:type="dxa"/>
              <w:bottom w:w="80" w:type="dxa"/>
              <w:start w:w="120" w:type="dxa"/>
              <w:end w:w="120" w:type="dxa"/>
            </w:tcMar>
            <w:vAlign w:val="center"/>
          </w:tcPr>
          <w:p>
            <w:pPr>
              <w:spacing w:before="0" w:after="0" w:line="269" w:lineRule="auto"/>
              <w:jc w:val="center"/>
            </w:pPr>
            <w:r/>
          </w:p>
        </w:tc>
        <w:tc>
          <w:tcPr>
            <w:tcW w:type="dxa" w:w="1630"/>
            <w:tcMar>
              <w:top w:w="80" w:type="dxa"/>
              <w:bottom w:w="80" w:type="dxa"/>
              <w:start w:w="120" w:type="dxa"/>
              <w:end w:w="120" w:type="dxa"/>
            </w:tcMar>
            <w:vAlign w:val="center"/>
          </w:tcPr>
          <w:p>
            <w:pPr>
              <w:spacing w:before="0" w:after="0" w:line="269" w:lineRule="auto"/>
              <w:jc w:val="center"/>
            </w:pPr>
            <w:r/>
          </w:p>
        </w:tc>
      </w:tr>
      <w:tr>
        <w:trPr>
          <w:cantSplit w:val="true"/>
        </w:trPr>
        <w:tc>
          <w:tcPr>
            <w:tcW w:type="dxa" w:w="1988"/>
            <w:tcMar>
              <w:top w:w="80" w:type="dxa"/>
              <w:bottom w:w="80" w:type="dxa"/>
              <w:start w:w="120" w:type="dxa"/>
              <w:end w:w="120" w:type="dxa"/>
            </w:tcMar>
            <w:vAlign w:val="center"/>
          </w:tcPr>
          <w:p>
            <w:pPr>
              <w:spacing w:before="0" w:after="0" w:line="269" w:lineRule="auto"/>
              <w:jc w:val="left"/>
            </w:pPr>
            <w:r/>
            <w:r>
              <w:rPr>
                <w:rFonts w:ascii="Calibri" w:hAnsi="Calibri"/>
                <w:color w:val="222222"/>
                <w:sz w:val="15"/>
              </w:rPr>
              <w:t>Platform/mode</w:t>
            </w:r>
          </w:p>
        </w:tc>
        <w:tc>
          <w:tcPr>
            <w:tcW w:type="dxa" w:w="1422"/>
            <w:tcMar>
              <w:top w:w="80" w:type="dxa"/>
              <w:bottom w:w="80" w:type="dxa"/>
              <w:start w:w="120" w:type="dxa"/>
              <w:end w:w="120" w:type="dxa"/>
            </w:tcMar>
            <w:vAlign w:val="center"/>
          </w:tcPr>
          <w:p>
            <w:pPr>
              <w:spacing w:before="0" w:after="0" w:line="269" w:lineRule="auto"/>
              <w:jc w:val="center"/>
            </w:pPr>
            <w:r/>
          </w:p>
        </w:tc>
        <w:tc>
          <w:tcPr>
            <w:tcW w:type="dxa" w:w="960"/>
            <w:tcMar>
              <w:top w:w="80" w:type="dxa"/>
              <w:bottom w:w="80" w:type="dxa"/>
              <w:start w:w="120" w:type="dxa"/>
              <w:end w:w="120" w:type="dxa"/>
            </w:tcMar>
            <w:vAlign w:val="center"/>
          </w:tcPr>
          <w:p>
            <w:pPr>
              <w:spacing w:before="0" w:after="0" w:line="269" w:lineRule="auto"/>
              <w:jc w:val="center"/>
            </w:pPr>
            <w:r/>
          </w:p>
        </w:tc>
        <w:tc>
          <w:tcPr>
            <w:tcW w:type="dxa" w:w="2040"/>
            <w:tcMar>
              <w:top w:w="80" w:type="dxa"/>
              <w:bottom w:w="80" w:type="dxa"/>
              <w:start w:w="120" w:type="dxa"/>
              <w:end w:w="120" w:type="dxa"/>
            </w:tcMar>
            <w:vAlign w:val="center"/>
          </w:tcPr>
          <w:p>
            <w:pPr>
              <w:spacing w:before="0" w:after="0" w:line="269" w:lineRule="auto"/>
              <w:jc w:val="center"/>
            </w:pPr>
            <w:r/>
          </w:p>
        </w:tc>
        <w:tc>
          <w:tcPr>
            <w:tcW w:type="dxa" w:w="1320"/>
            <w:tcMar>
              <w:top w:w="80" w:type="dxa"/>
              <w:bottom w:w="80" w:type="dxa"/>
              <w:start w:w="120" w:type="dxa"/>
              <w:end w:w="120" w:type="dxa"/>
            </w:tcMar>
            <w:vAlign w:val="center"/>
          </w:tcPr>
          <w:p>
            <w:pPr>
              <w:spacing w:before="0" w:after="0" w:line="269" w:lineRule="auto"/>
              <w:jc w:val="center"/>
            </w:pPr>
            <w:r/>
          </w:p>
        </w:tc>
        <w:tc>
          <w:tcPr>
            <w:tcW w:type="dxa" w:w="1630"/>
            <w:tcMar>
              <w:top w:w="80" w:type="dxa"/>
              <w:bottom w:w="80" w:type="dxa"/>
              <w:start w:w="120" w:type="dxa"/>
              <w:end w:w="120" w:type="dxa"/>
            </w:tcMar>
            <w:vAlign w:val="center"/>
          </w:tcPr>
          <w:p>
            <w:pPr>
              <w:spacing w:before="0" w:after="0" w:line="269" w:lineRule="auto"/>
              <w:jc w:val="center"/>
            </w:pPr>
            <w:r/>
          </w:p>
        </w:tc>
      </w:tr>
      <w:tr>
        <w:trPr>
          <w:cantSplit w:val="true"/>
        </w:trPr>
        <w:tc>
          <w:tcPr>
            <w:tcW w:type="dxa" w:w="1988"/>
            <w:tcMar>
              <w:top w:w="80" w:type="dxa"/>
              <w:bottom w:w="80" w:type="dxa"/>
              <w:start w:w="120" w:type="dxa"/>
              <w:end w:w="120" w:type="dxa"/>
            </w:tcMar>
            <w:vAlign w:val="center"/>
          </w:tcPr>
          <w:p>
            <w:pPr>
              <w:spacing w:before="0" w:after="0" w:line="269" w:lineRule="auto"/>
              <w:jc w:val="left"/>
            </w:pPr>
            <w:r/>
            <w:r>
              <w:rPr>
                <w:rFonts w:ascii="Calibri" w:hAnsi="Calibri"/>
                <w:color w:val="222222"/>
                <w:sz w:val="15"/>
              </w:rPr>
              <w:t>Other: ______</w:t>
            </w:r>
          </w:p>
        </w:tc>
        <w:tc>
          <w:tcPr>
            <w:tcW w:type="dxa" w:w="1422"/>
            <w:tcMar>
              <w:top w:w="80" w:type="dxa"/>
              <w:bottom w:w="80" w:type="dxa"/>
              <w:start w:w="120" w:type="dxa"/>
              <w:end w:w="120" w:type="dxa"/>
            </w:tcMar>
            <w:vAlign w:val="center"/>
          </w:tcPr>
          <w:p>
            <w:pPr>
              <w:spacing w:before="0" w:after="0" w:line="269" w:lineRule="auto"/>
              <w:jc w:val="center"/>
            </w:pPr>
            <w:r/>
          </w:p>
        </w:tc>
        <w:tc>
          <w:tcPr>
            <w:tcW w:type="dxa" w:w="960"/>
            <w:tcMar>
              <w:top w:w="80" w:type="dxa"/>
              <w:bottom w:w="80" w:type="dxa"/>
              <w:start w:w="120" w:type="dxa"/>
              <w:end w:w="120" w:type="dxa"/>
            </w:tcMar>
            <w:vAlign w:val="center"/>
          </w:tcPr>
          <w:p>
            <w:pPr>
              <w:spacing w:before="0" w:after="0" w:line="269" w:lineRule="auto"/>
              <w:jc w:val="center"/>
            </w:pPr>
            <w:r/>
          </w:p>
        </w:tc>
        <w:tc>
          <w:tcPr>
            <w:tcW w:type="dxa" w:w="2040"/>
            <w:tcMar>
              <w:top w:w="80" w:type="dxa"/>
              <w:bottom w:w="80" w:type="dxa"/>
              <w:start w:w="120" w:type="dxa"/>
              <w:end w:w="120" w:type="dxa"/>
            </w:tcMar>
            <w:vAlign w:val="center"/>
          </w:tcPr>
          <w:p>
            <w:pPr>
              <w:spacing w:before="0" w:after="0" w:line="269" w:lineRule="auto"/>
              <w:jc w:val="center"/>
            </w:pPr>
            <w:r/>
          </w:p>
        </w:tc>
        <w:tc>
          <w:tcPr>
            <w:tcW w:type="dxa" w:w="1320"/>
            <w:tcMar>
              <w:top w:w="80" w:type="dxa"/>
              <w:bottom w:w="80" w:type="dxa"/>
              <w:start w:w="120" w:type="dxa"/>
              <w:end w:w="120" w:type="dxa"/>
            </w:tcMar>
            <w:vAlign w:val="center"/>
          </w:tcPr>
          <w:p>
            <w:pPr>
              <w:spacing w:before="0" w:after="0" w:line="269" w:lineRule="auto"/>
              <w:jc w:val="center"/>
            </w:pPr>
            <w:r/>
          </w:p>
        </w:tc>
        <w:tc>
          <w:tcPr>
            <w:tcW w:type="dxa" w:w="1630"/>
            <w:tcMar>
              <w:top w:w="80" w:type="dxa"/>
              <w:bottom w:w="80" w:type="dxa"/>
              <w:start w:w="120" w:type="dxa"/>
              <w:end w:w="120" w:type="dxa"/>
            </w:tcMar>
            <w:vAlign w:val="center"/>
          </w:tcPr>
          <w:p>
            <w:pPr>
              <w:spacing w:before="0" w:after="0" w:line="269" w:lineRule="auto"/>
              <w:jc w:val="center"/>
            </w:pPr>
            <w:r/>
          </w:p>
        </w:tc>
      </w:tr>
    </w:tbl>
    <w:p>
      <w:pPr>
        <w:spacing w:before="0" w:after="40"/>
      </w:pPr>
    </w:p>
    <w:p>
      <w:pPr>
        <w:pStyle w:val="Heading2"/>
      </w:pPr>
      <w:r>
        <w:rPr>
          <w:rFonts w:ascii="Calibri" w:hAnsi="Calibri"/>
          <w:color w:val="222222"/>
        </w:rPr>
        <w:t>10. Decision summary</w:t>
      </w:r>
    </w:p>
    <w:p>
      <w:r>
        <w:rPr>
          <w:rFonts w:ascii="Calibri" w:hAnsi="Calibri"/>
          <w:b/>
          <w:color w:val="222222"/>
        </w:rPr>
        <w:t>Directly comparable elements:</w:t>
      </w:r>
      <w:r>
        <w:rPr>
          <w:rFonts w:ascii="Calibri" w:hAnsi="Calibri"/>
          <w:color w:val="222222"/>
        </w:rPr>
        <w:t xml:space="preserve"> __________________________________________</w:t>
      </w:r>
    </w:p>
    <w:p>
      <w:r>
        <w:rPr>
          <w:rFonts w:ascii="Calibri" w:hAnsi="Calibri"/>
          <w:b/>
          <w:color w:val="222222"/>
        </w:rPr>
        <w:t>Partially comparable elements:</w:t>
      </w:r>
      <w:r>
        <w:rPr>
          <w:rFonts w:ascii="Calibri" w:hAnsi="Calibri"/>
          <w:color w:val="222222"/>
        </w:rPr>
        <w:t xml:space="preserve"> _________________________________________</w:t>
      </w:r>
    </w:p>
    <w:p>
      <w:r>
        <w:rPr>
          <w:rFonts w:ascii="Calibri" w:hAnsi="Calibri"/>
          <w:b/>
          <w:color w:val="222222"/>
        </w:rPr>
        <w:t>Elements that must remain separate:</w:t>
      </w:r>
      <w:r>
        <w:rPr>
          <w:rFonts w:ascii="Calibri" w:hAnsi="Calibri"/>
          <w:color w:val="222222"/>
        </w:rPr>
        <w:t xml:space="preserve"> ___________________________________</w:t>
      </w:r>
    </w:p>
    <w:p>
      <w:r>
        <w:rPr>
          <w:rFonts w:ascii="Calibri" w:hAnsi="Calibri"/>
          <w:b/>
          <w:color w:val="222222"/>
        </w:rPr>
        <w:t>Unresolved evidence:</w:t>
      </w:r>
      <w:r>
        <w:rPr>
          <w:rFonts w:ascii="Calibri" w:hAnsi="Calibri"/>
          <w:color w:val="222222"/>
        </w:rPr>
        <w:t xml:space="preserve"> ___________________________________________________</w:t>
      </w:r>
    </w:p>
    <w:p>
      <w:r>
        <w:rPr>
          <w:rFonts w:ascii="Calibri" w:hAnsi="Calibri"/>
          <w:color w:val="222222"/>
        </w:rPr>
        <w:t>Complete the required exclusion statement:</w:t>
      </w:r>
    </w:p>
    <w:p>
      <w:pPr>
        <w:spacing w:before="100" w:after="120"/>
        <w:ind w:left="259" w:right="115"/>
        <w:shd w:fill="F4F6F9"/>
        <w:pBdr>
          <w:left w:val="single" w:sz="16" w:space="8" w:color="2E74B5"/>
        </w:pBdr>
      </w:pPr>
      <w:r>
        <w:rPr>
          <w:rFonts w:ascii="Calibri" w:hAnsi="Calibri"/>
          <w:color w:val="1F4D78"/>
        </w:rPr>
        <w:t>We will not combine __________________ across the two studies because __________________. We can still compare __________________ by __________________.</w:t>
      </w:r>
    </w:p>
    <w:p>
      <w:r>
        <w:rPr>
          <w:rFonts w:ascii="Calibri" w:hAnsi="Calibri"/>
          <w:color w:val="222222"/>
        </w:rPr>
        <w:t>Write one bounded comparison claim:</w:t>
      </w:r>
    </w:p>
    <w:p>
      <w:pPr>
        <w:spacing w:before="100" w:after="120"/>
        <w:ind w:left="259" w:right="115"/>
        <w:shd w:fill="F4F6F9"/>
        <w:pBdr>
          <w:left w:val="single" w:sz="16" w:space="8" w:color="2E74B5"/>
        </w:pBdr>
      </w:pPr>
      <w:r>
        <w:rPr>
          <w:rFonts w:ascii="Calibri" w:hAnsi="Calibri"/>
          <w:color w:val="1F4D78"/>
        </w:rPr>
        <w:t>________________________________________________________________________</w:t>
      </w:r>
    </w:p>
    <w:p>
      <w:r>
        <w:rPr>
          <w:rFonts w:ascii="Calibri" w:hAnsi="Calibri"/>
          <w:color w:val="222222"/>
        </w:rPr>
        <w:t>Write one tempting but unsupported claim you will avoid:</w:t>
      </w:r>
    </w:p>
    <w:p>
      <w:pPr>
        <w:spacing w:before="100" w:after="120"/>
        <w:ind w:left="259" w:right="115"/>
        <w:shd w:fill="F4F6F9"/>
        <w:pBdr>
          <w:left w:val="single" w:sz="16" w:space="8" w:color="2E74B5"/>
        </w:pBdr>
      </w:pPr>
      <w:r>
        <w:rPr>
          <w:rFonts w:ascii="Calibri" w:hAnsi="Calibri"/>
          <w:color w:val="1F4D78"/>
        </w:rPr>
        <w:t>________________________________________________________________________</w:t>
      </w:r>
    </w:p>
    <w:p>
      <w:pPr>
        <w:pStyle w:val="Heading2"/>
      </w:pPr>
      <w:r>
        <w:rPr>
          <w:rFonts w:ascii="Calibri" w:hAnsi="Calibri"/>
          <w:color w:val="222222"/>
        </w:rPr>
        <w:t>Completion check</w:t>
      </w:r>
    </w:p>
    <w:p>
      <w:pPr>
        <w:numPr>
          <w:ilvl w:val="0"/>
          <w:numId w:val="89"/>
        </w:numPr>
        <w:spacing w:after="80" w:line="300" w:lineRule="auto"/>
      </w:pPr>
      <w:r>
        <w:rPr>
          <w:rFonts w:ascii="Calibri" w:hAnsi="Calibri"/>
          <w:color w:val="222222"/>
        </w:rPr>
        <w:t xml:space="preserve">[ ] Every factual entry has a source or explicit </w:t>
      </w:r>
      <w:r>
        <w:rPr>
          <w:rFonts w:ascii="Consolas" w:hAnsi="Consolas"/>
          <w:color w:val="1F4D78"/>
          <w:sz w:val="21"/>
          <w:shd w:fill="EEF1F4"/>
        </w:rPr>
        <w:t>NR</w:t>
      </w:r>
      <w:r>
        <w:rPr>
          <w:rFonts w:ascii="Calibri" w:hAnsi="Calibri"/>
          <w:color w:val="222222"/>
        </w:rPr>
        <w:t xml:space="preserve">, </w:t>
      </w:r>
      <w:r>
        <w:rPr>
          <w:rFonts w:ascii="Consolas" w:hAnsi="Consolas"/>
          <w:color w:val="1F4D78"/>
          <w:sz w:val="21"/>
          <w:shd w:fill="EEF1F4"/>
        </w:rPr>
        <w:t>NA</w:t>
      </w:r>
      <w:r>
        <w:rPr>
          <w:rFonts w:ascii="Calibri" w:hAnsi="Calibri"/>
          <w:color w:val="222222"/>
        </w:rPr>
        <w:t xml:space="preserve">, or </w:t>
      </w:r>
      <w:r>
        <w:rPr>
          <w:rFonts w:ascii="Consolas" w:hAnsi="Consolas"/>
          <w:color w:val="1F4D78"/>
          <w:sz w:val="21"/>
          <w:shd w:fill="EEF1F4"/>
        </w:rPr>
        <w:t>U</w:t>
      </w:r>
      <w:r>
        <w:rPr>
          <w:rFonts w:ascii="Calibri" w:hAnsi="Calibri"/>
          <w:color w:val="222222"/>
        </w:rPr>
        <w:t xml:space="preserve"> code.</w:t>
      </w:r>
    </w:p>
    <w:p>
      <w:pPr>
        <w:numPr>
          <w:ilvl w:val="0"/>
          <w:numId w:val="89"/>
        </w:numPr>
        <w:spacing w:after="80" w:line="300" w:lineRule="auto"/>
      </w:pPr>
      <w:r>
        <w:rPr>
          <w:rFonts w:ascii="Calibri" w:hAnsi="Calibri"/>
          <w:color w:val="222222"/>
        </w:rPr>
        <w:t>[ ] Participant counts are separate from biological sample and QC counts.</w:t>
      </w:r>
    </w:p>
    <w:p>
      <w:pPr>
        <w:numPr>
          <w:ilvl w:val="0"/>
          <w:numId w:val="89"/>
        </w:numPr>
        <w:spacing w:after="80" w:line="300" w:lineRule="auto"/>
      </w:pPr>
      <w:r>
        <w:rPr>
          <w:rFonts w:ascii="Calibri" w:hAnsi="Calibri"/>
          <w:color w:val="222222"/>
        </w:rPr>
        <w:t>[ ] Plasma and serum remain visible.</w:t>
      </w:r>
    </w:p>
    <w:p>
      <w:pPr>
        <w:numPr>
          <w:ilvl w:val="0"/>
          <w:numId w:val="89"/>
        </w:numPr>
        <w:spacing w:after="80" w:line="300" w:lineRule="auto"/>
      </w:pPr>
      <w:r>
        <w:rPr>
          <w:rFonts w:ascii="Calibri" w:hAnsi="Calibri"/>
          <w:color w:val="222222"/>
        </w:rPr>
        <w:t>[ ] All time labels have protocol meanings or are unresolved.</w:t>
      </w:r>
    </w:p>
    <w:p>
      <w:pPr>
        <w:numPr>
          <w:ilvl w:val="0"/>
          <w:numId w:val="89"/>
        </w:numPr>
        <w:spacing w:after="80" w:line="300" w:lineRule="auto"/>
      </w:pPr>
      <w:r>
        <w:rPr>
          <w:rFonts w:ascii="Calibri" w:hAnsi="Calibri"/>
          <w:color w:val="222222"/>
        </w:rPr>
        <w:t>[ ] Concurrent interventions and selection/assignment caveats are recorded.</w:t>
      </w:r>
    </w:p>
    <w:p>
      <w:pPr>
        <w:numPr>
          <w:ilvl w:val="0"/>
          <w:numId w:val="89"/>
        </w:numPr>
        <w:spacing w:after="80" w:line="300" w:lineRule="auto"/>
      </w:pPr>
      <w:r>
        <w:rPr>
          <w:rFonts w:ascii="Calibri" w:hAnsi="Calibri"/>
          <w:color w:val="222222"/>
        </w:rPr>
        <w:t>[ ] All analysis IDs and units are listed.</w:t>
      </w:r>
    </w:p>
    <w:p>
      <w:pPr>
        <w:numPr>
          <w:ilvl w:val="0"/>
          <w:numId w:val="89"/>
        </w:numPr>
        <w:spacing w:after="80" w:line="300" w:lineRule="auto"/>
      </w:pPr>
      <w:r>
        <w:rPr>
          <w:rFonts w:ascii="Calibri" w:hAnsi="Calibri"/>
          <w:color w:val="222222"/>
        </w:rPr>
        <w:t>[ ] At least one field is intentionally not harmonized.</w:t>
      </w:r>
    </w:p>
    <w:p>
      <w:pPr>
        <w:numPr>
          <w:ilvl w:val="0"/>
          <w:numId w:val="89"/>
        </w:numPr>
        <w:spacing w:after="80" w:line="300" w:lineRule="auto"/>
      </w:pPr>
      <w:r>
        <w:rPr>
          <w:rFonts w:ascii="Calibri" w:hAnsi="Calibri"/>
          <w:color w:val="222222"/>
        </w:rPr>
        <w:t>[ ] No conclusion relies on pooled cross-study quantitative values.</w:t>
      </w:r>
    </w:p>
    <w:p>
      <w:r>
        <w:br w:type="page"/>
      </w:r>
    </w:p>
    <w:p>
      <w:pPr>
        <w:pStyle w:val="Heading1"/>
      </w:pPr>
      <w:r>
        <w:rPr>
          <w:rFonts w:ascii="Calibri" w:hAnsi="Calibri"/>
          <w:color w:val="222222"/>
        </w:rPr>
        <w:t>Metabolite and metadata crosswalk - learner version</w:t>
      </w:r>
    </w:p>
    <w:p>
      <w:r>
        <w:rPr>
          <w:rFonts w:ascii="Calibri" w:hAnsi="Calibri"/>
          <w:b/>
          <w:color w:val="222222"/>
        </w:rPr>
        <w:t>Module:</w:t>
      </w:r>
      <w:r>
        <w:rPr>
          <w:rFonts w:ascii="Calibri" w:hAnsi="Calibri"/>
          <w:color w:val="222222"/>
        </w:rPr>
        <w:t xml:space="preserve"> Metabo-Diet</w:t>
      </w:r>
    </w:p>
    <w:p>
      <w:r>
        <w:rPr>
          <w:rFonts w:ascii="Calibri" w:hAnsi="Calibri"/>
          <w:b/>
          <w:color w:val="222222"/>
        </w:rPr>
        <w:t>Learner/reviewer:</w:t>
      </w:r>
      <w:r>
        <w:rPr>
          <w:rFonts w:ascii="Calibri" w:hAnsi="Calibri"/>
          <w:color w:val="222222"/>
        </w:rPr>
        <w:t xml:space="preserve"> ____________________</w:t>
      </w:r>
    </w:p>
    <w:p>
      <w:r>
        <w:rPr>
          <w:rFonts w:ascii="Calibri" w:hAnsi="Calibri"/>
          <w:b/>
          <w:color w:val="222222"/>
        </w:rPr>
        <w:t>Crosswalk version:</w:t>
      </w:r>
      <w:r>
        <w:rPr>
          <w:rFonts w:ascii="Calibri" w:hAnsi="Calibri"/>
          <w:color w:val="222222"/>
        </w:rPr>
        <w:t xml:space="preserve"> ____________________</w:t>
      </w:r>
    </w:p>
    <w:p>
      <w:r>
        <w:rPr>
          <w:rFonts w:ascii="Calibri" w:hAnsi="Calibri"/>
          <w:b/>
          <w:color w:val="222222"/>
        </w:rPr>
        <w:t>Created:</w:t>
      </w:r>
      <w:r>
        <w:rPr>
          <w:rFonts w:ascii="Calibri" w:hAnsi="Calibri"/>
          <w:color w:val="222222"/>
        </w:rPr>
        <w:t xml:space="preserve"> ____________________</w:t>
      </w:r>
    </w:p>
    <w:p>
      <w:r>
        <w:rPr>
          <w:rFonts w:ascii="Calibri" w:hAnsi="Calibri"/>
          <w:b/>
          <w:color w:val="222222"/>
        </w:rPr>
        <w:t>RefMet retrieval date/version:</w:t>
      </w:r>
      <w:r>
        <w:rPr>
          <w:rFonts w:ascii="Calibri" w:hAnsi="Calibri"/>
          <w:color w:val="222222"/>
        </w:rPr>
        <w:t xml:space="preserve"> ____________________</w:t>
      </w:r>
    </w:p>
    <w:p>
      <w:pPr>
        <w:pStyle w:val="Heading2"/>
      </w:pPr>
      <w:r>
        <w:rPr>
          <w:rFonts w:ascii="Calibri" w:hAnsi="Calibri"/>
          <w:color w:val="222222"/>
        </w:rPr>
        <w:t>What this worksheet is for</w:t>
      </w:r>
    </w:p>
    <w:p>
      <w:r>
        <w:rPr>
          <w:rFonts w:ascii="Calibri" w:hAnsi="Calibri"/>
          <w:color w:val="222222"/>
        </w:rPr>
        <w:t xml:space="preserve">This template records source evidence, harmonized representations, review decisions, and purpose-specific eligibility for </w:t>
      </w:r>
      <w:r>
        <w:rPr>
          <w:rFonts w:ascii="Consolas" w:hAnsi="Consolas"/>
          <w:color w:val="1F4D78"/>
          <w:sz w:val="21"/>
          <w:shd w:fill="EEF1F4"/>
        </w:rPr>
        <w:t>DIET_ACCESSION = ST001521</w:t>
      </w:r>
      <w:r>
        <w:rPr>
          <w:rFonts w:ascii="Calibri" w:hAnsi="Calibri"/>
          <w:color w:val="222222"/>
        </w:rPr>
        <w:t xml:space="preserve"> and </w:t>
      </w:r>
      <w:r>
        <w:rPr>
          <w:rFonts w:ascii="Consolas" w:hAnsi="Consolas"/>
          <w:color w:val="1F4D78"/>
          <w:sz w:val="21"/>
          <w:shd w:fill="EEF1F4"/>
        </w:rPr>
        <w:t>EXERCISE_ACCESSION = ST003348</w:t>
      </w:r>
      <w:r>
        <w:rPr>
          <w:rFonts w:ascii="Calibri" w:hAnsi="Calibri"/>
          <w:color w:val="222222"/>
        </w:rPr>
        <w:t>.</w:t>
      </w:r>
    </w:p>
    <w:p>
      <w:r>
        <w:rPr>
          <w:rFonts w:ascii="Calibri" w:hAnsi="Calibri"/>
          <w:color w:val="222222"/>
        </w:rPr>
        <w:t>It supports auditable name and metadata comparison. It does not authorize pooling quantitative values across the studies.</w:t>
      </w:r>
    </w:p>
    <w:p>
      <w:pPr>
        <w:pStyle w:val="Heading2"/>
      </w:pPr>
      <w:r>
        <w:rPr>
          <w:rFonts w:ascii="Calibri" w:hAnsi="Calibri"/>
          <w:color w:val="222222"/>
        </w:rPr>
        <w:t>Controlled values</w:t>
      </w:r>
    </w:p>
    <w:p>
      <w:pPr>
        <w:pStyle w:val="Heading3"/>
      </w:pPr>
      <w:r>
        <w:rPr>
          <w:rFonts w:ascii="Calibri" w:hAnsi="Calibri"/>
          <w:color w:val="222222"/>
        </w:rPr>
        <w:t>Mapping status</w:t>
      </w:r>
    </w:p>
    <w:p>
      <w:pPr>
        <w:numPr>
          <w:ilvl w:val="0"/>
          <w:numId w:val="90"/>
        </w:numPr>
        <w:spacing w:after="80" w:line="300" w:lineRule="auto"/>
      </w:pPr>
      <w:r>
        <w:rPr>
          <w:rFonts w:ascii="Consolas" w:hAnsi="Consolas"/>
          <w:color w:val="1F4D78"/>
          <w:sz w:val="21"/>
          <w:shd w:fill="EEF1F4"/>
        </w:rPr>
        <w:t>accepted_exact</w:t>
      </w:r>
    </w:p>
    <w:p>
      <w:pPr>
        <w:numPr>
          <w:ilvl w:val="0"/>
          <w:numId w:val="90"/>
        </w:numPr>
        <w:spacing w:after="80" w:line="300" w:lineRule="auto"/>
      </w:pPr>
      <w:r>
        <w:rPr>
          <w:rFonts w:ascii="Consolas" w:hAnsi="Consolas"/>
          <w:color w:val="1F4D78"/>
          <w:sz w:val="21"/>
          <w:shd w:fill="EEF1F4"/>
        </w:rPr>
        <w:t>accepted_broader</w:t>
      </w:r>
    </w:p>
    <w:p>
      <w:pPr>
        <w:numPr>
          <w:ilvl w:val="0"/>
          <w:numId w:val="90"/>
        </w:numPr>
        <w:spacing w:after="80" w:line="300" w:lineRule="auto"/>
      </w:pPr>
      <w:r>
        <w:rPr>
          <w:rFonts w:ascii="Consolas" w:hAnsi="Consolas"/>
          <w:color w:val="1F4D78"/>
          <w:sz w:val="21"/>
          <w:shd w:fill="EEF1F4"/>
        </w:rPr>
        <w:t>review_required</w:t>
      </w:r>
    </w:p>
    <w:p>
      <w:pPr>
        <w:numPr>
          <w:ilvl w:val="0"/>
          <w:numId w:val="90"/>
        </w:numPr>
        <w:spacing w:after="80" w:line="300" w:lineRule="auto"/>
      </w:pPr>
      <w:r>
        <w:rPr>
          <w:rFonts w:ascii="Consolas" w:hAnsi="Consolas"/>
          <w:color w:val="1F4D78"/>
          <w:sz w:val="21"/>
          <w:shd w:fill="EEF1F4"/>
        </w:rPr>
        <w:t>unmapped</w:t>
      </w:r>
    </w:p>
    <w:p>
      <w:pPr>
        <w:numPr>
          <w:ilvl w:val="0"/>
          <w:numId w:val="90"/>
        </w:numPr>
        <w:spacing w:after="80" w:line="300" w:lineRule="auto"/>
      </w:pPr>
      <w:r>
        <w:rPr>
          <w:rFonts w:ascii="Consolas" w:hAnsi="Consolas"/>
          <w:color w:val="1F4D78"/>
          <w:sz w:val="21"/>
          <w:shd w:fill="EEF1F4"/>
        </w:rPr>
        <w:t>excluded_nonbiological</w:t>
      </w:r>
    </w:p>
    <w:p>
      <w:pPr>
        <w:numPr>
          <w:ilvl w:val="0"/>
          <w:numId w:val="90"/>
        </w:numPr>
        <w:spacing w:after="80" w:line="300" w:lineRule="auto"/>
      </w:pPr>
      <w:r>
        <w:rPr>
          <w:rFonts w:ascii="Consolas" w:hAnsi="Consolas"/>
          <w:color w:val="1F4D78"/>
          <w:sz w:val="21"/>
          <w:shd w:fill="EEF1F4"/>
        </w:rPr>
        <w:t>not_evaluated</w:t>
      </w:r>
    </w:p>
    <w:p>
      <w:pPr>
        <w:pStyle w:val="Heading3"/>
      </w:pPr>
      <w:r>
        <w:rPr>
          <w:rFonts w:ascii="Calibri" w:hAnsi="Calibri"/>
          <w:color w:val="222222"/>
        </w:rPr>
        <w:t>Annotation resolution</w:t>
      </w:r>
    </w:p>
    <w:p>
      <w:pPr>
        <w:numPr>
          <w:ilvl w:val="0"/>
          <w:numId w:val="91"/>
        </w:numPr>
        <w:spacing w:after="80" w:line="300" w:lineRule="auto"/>
      </w:pPr>
      <w:r>
        <w:rPr>
          <w:rFonts w:ascii="Consolas" w:hAnsi="Consolas"/>
          <w:color w:val="1F4D78"/>
          <w:sz w:val="21"/>
          <w:shd w:fill="EEF1F4"/>
        </w:rPr>
        <w:t>discrete_structure</w:t>
      </w:r>
    </w:p>
    <w:p>
      <w:pPr>
        <w:numPr>
          <w:ilvl w:val="0"/>
          <w:numId w:val="91"/>
        </w:numPr>
        <w:spacing w:after="80" w:line="300" w:lineRule="auto"/>
      </w:pPr>
      <w:r>
        <w:rPr>
          <w:rFonts w:ascii="Consolas" w:hAnsi="Consolas"/>
          <w:color w:val="1F4D78"/>
          <w:sz w:val="21"/>
          <w:shd w:fill="EEF1F4"/>
        </w:rPr>
        <w:t>stereochemistry_unspecified</w:t>
      </w:r>
    </w:p>
    <w:p>
      <w:pPr>
        <w:numPr>
          <w:ilvl w:val="0"/>
          <w:numId w:val="91"/>
        </w:numPr>
        <w:spacing w:after="80" w:line="300" w:lineRule="auto"/>
      </w:pPr>
      <w:r>
        <w:rPr>
          <w:rFonts w:ascii="Consolas" w:hAnsi="Consolas"/>
          <w:color w:val="1F4D78"/>
          <w:sz w:val="21"/>
          <w:shd w:fill="EEF1F4"/>
        </w:rPr>
        <w:t>lipid_molecular_species</w:t>
      </w:r>
    </w:p>
    <w:p>
      <w:pPr>
        <w:numPr>
          <w:ilvl w:val="0"/>
          <w:numId w:val="91"/>
        </w:numPr>
        <w:spacing w:after="80" w:line="300" w:lineRule="auto"/>
      </w:pPr>
      <w:r>
        <w:rPr>
          <w:rFonts w:ascii="Consolas" w:hAnsi="Consolas"/>
          <w:color w:val="1F4D78"/>
          <w:sz w:val="21"/>
          <w:shd w:fill="EEF1F4"/>
        </w:rPr>
        <w:t>lipid_sum_composition</w:t>
      </w:r>
    </w:p>
    <w:p>
      <w:pPr>
        <w:numPr>
          <w:ilvl w:val="0"/>
          <w:numId w:val="91"/>
        </w:numPr>
        <w:spacing w:after="80" w:line="300" w:lineRule="auto"/>
      </w:pPr>
      <w:r>
        <w:rPr>
          <w:rFonts w:ascii="Consolas" w:hAnsi="Consolas"/>
          <w:color w:val="1F4D78"/>
          <w:sz w:val="21"/>
          <w:shd w:fill="EEF1F4"/>
        </w:rPr>
        <w:t>compound_class_only</w:t>
      </w:r>
    </w:p>
    <w:p>
      <w:pPr>
        <w:numPr>
          <w:ilvl w:val="0"/>
          <w:numId w:val="91"/>
        </w:numPr>
        <w:spacing w:after="80" w:line="300" w:lineRule="auto"/>
      </w:pPr>
      <w:r>
        <w:rPr>
          <w:rFonts w:ascii="Consolas" w:hAnsi="Consolas"/>
          <w:color w:val="1F4D78"/>
          <w:sz w:val="21"/>
          <w:shd w:fill="EEF1F4"/>
        </w:rPr>
        <w:t>unknown</w:t>
      </w:r>
    </w:p>
    <w:p>
      <w:pPr>
        <w:pStyle w:val="Heading3"/>
      </w:pPr>
      <w:r>
        <w:rPr>
          <w:rFonts w:ascii="Calibri" w:hAnsi="Calibri"/>
          <w:color w:val="222222"/>
        </w:rPr>
        <w:t>Eligibility</w:t>
      </w:r>
    </w:p>
    <w:p>
      <w:r>
        <w:rPr>
          <w:rFonts w:ascii="Calibri" w:hAnsi="Calibri"/>
          <w:color w:val="222222"/>
        </w:rPr>
        <w:t xml:space="preserve">Use </w:t>
      </w:r>
      <w:r>
        <w:rPr>
          <w:rFonts w:ascii="Consolas" w:hAnsi="Consolas"/>
          <w:color w:val="1F4D78"/>
          <w:sz w:val="21"/>
          <w:shd w:fill="EEF1F4"/>
        </w:rPr>
        <w:t>yes</w:t>
      </w:r>
      <w:r>
        <w:rPr>
          <w:rFonts w:ascii="Calibri" w:hAnsi="Calibri"/>
          <w:color w:val="222222"/>
        </w:rPr>
        <w:t xml:space="preserve">, </w:t>
      </w:r>
      <w:r>
        <w:rPr>
          <w:rFonts w:ascii="Consolas" w:hAnsi="Consolas"/>
          <w:color w:val="1F4D78"/>
          <w:sz w:val="21"/>
          <w:shd w:fill="EEF1F4"/>
        </w:rPr>
        <w:t>no</w:t>
      </w:r>
      <w:r>
        <w:rPr>
          <w:rFonts w:ascii="Calibri" w:hAnsi="Calibri"/>
          <w:color w:val="222222"/>
        </w:rPr>
        <w:t xml:space="preserve">, or </w:t>
      </w:r>
      <w:r>
        <w:rPr>
          <w:rFonts w:ascii="Consolas" w:hAnsi="Consolas"/>
          <w:color w:val="1F4D78"/>
          <w:sz w:val="21"/>
          <w:shd w:fill="EEF1F4"/>
        </w:rPr>
        <w:t>review</w:t>
      </w:r>
      <w:r>
        <w:rPr>
          <w:rFonts w:ascii="Calibri" w:hAnsi="Calibri"/>
          <w:color w:val="222222"/>
        </w:rPr>
        <w:t xml:space="preserve"> separately for:</w:t>
      </w:r>
    </w:p>
    <w:p>
      <w:pPr>
        <w:numPr>
          <w:ilvl w:val="0"/>
          <w:numId w:val="92"/>
        </w:numPr>
        <w:spacing w:after="80" w:line="300" w:lineRule="auto"/>
      </w:pPr>
      <w:r>
        <w:rPr>
          <w:rFonts w:ascii="Consolas" w:hAnsi="Consolas"/>
          <w:color w:val="1F4D78"/>
          <w:sz w:val="21"/>
          <w:shd w:fill="EEF1F4"/>
        </w:rPr>
        <w:t>eligible_exact_name_overlap</w:t>
      </w:r>
    </w:p>
    <w:p>
      <w:pPr>
        <w:numPr>
          <w:ilvl w:val="0"/>
          <w:numId w:val="92"/>
        </w:numPr>
        <w:spacing w:after="80" w:line="300" w:lineRule="auto"/>
      </w:pPr>
      <w:r>
        <w:rPr>
          <w:rFonts w:ascii="Consolas" w:hAnsi="Consolas"/>
          <w:color w:val="1F4D78"/>
          <w:sz w:val="21"/>
          <w:shd w:fill="EEF1F4"/>
        </w:rPr>
        <w:t>eligible_class_summary</w:t>
      </w:r>
    </w:p>
    <w:p>
      <w:pPr>
        <w:numPr>
          <w:ilvl w:val="0"/>
          <w:numId w:val="92"/>
        </w:numPr>
        <w:spacing w:after="80" w:line="300" w:lineRule="auto"/>
      </w:pPr>
      <w:r>
        <w:rPr>
          <w:rFonts w:ascii="Consolas" w:hAnsi="Consolas"/>
          <w:color w:val="1F4D78"/>
          <w:sz w:val="21"/>
          <w:shd w:fill="EEF1F4"/>
        </w:rPr>
        <w:t>eligible_within_study_quantitative</w:t>
      </w:r>
    </w:p>
    <w:p>
      <w:pPr>
        <w:numPr>
          <w:ilvl w:val="0"/>
          <w:numId w:val="92"/>
        </w:numPr>
        <w:spacing w:after="80" w:line="300" w:lineRule="auto"/>
      </w:pPr>
      <w:r>
        <w:rPr>
          <w:rFonts w:ascii="Consolas" w:hAnsi="Consolas"/>
          <w:color w:val="1F4D78"/>
          <w:sz w:val="21"/>
          <w:shd w:fill="EEF1F4"/>
        </w:rPr>
        <w:t>eligible_cross_study_quantitative</w:t>
      </w:r>
    </w:p>
    <w:p>
      <w:r>
        <w:rPr>
          <w:rFonts w:ascii="Calibri" w:hAnsi="Calibri"/>
          <w:color w:val="222222"/>
        </w:rPr>
        <w:t xml:space="preserve">For this module, </w:t>
      </w:r>
      <w:r>
        <w:rPr>
          <w:rFonts w:ascii="Consolas" w:hAnsi="Consolas"/>
          <w:color w:val="1F4D78"/>
          <w:sz w:val="21"/>
          <w:shd w:fill="EEF1F4"/>
        </w:rPr>
        <w:t>eligible_cross_study_quantitative</w:t>
      </w:r>
      <w:r>
        <w:rPr>
          <w:rFonts w:ascii="Calibri" w:hAnsi="Calibri"/>
          <w:color w:val="222222"/>
        </w:rPr>
        <w:t xml:space="preserve"> is </w:t>
      </w:r>
      <w:r>
        <w:rPr>
          <w:rFonts w:ascii="Consolas" w:hAnsi="Consolas"/>
          <w:color w:val="1F4D78"/>
          <w:sz w:val="21"/>
          <w:shd w:fill="EEF1F4"/>
        </w:rPr>
        <w:t>no</w:t>
      </w:r>
      <w:r>
        <w:rPr>
          <w:rFonts w:ascii="Calibri" w:hAnsi="Calibri"/>
          <w:color w:val="222222"/>
        </w:rPr>
        <w:t xml:space="preserve"> for both studies.</w:t>
      </w:r>
    </w:p>
    <w:p>
      <w:pPr>
        <w:pStyle w:val="Heading2"/>
      </w:pPr>
      <w:r>
        <w:rPr>
          <w:rFonts w:ascii="Calibri" w:hAnsi="Calibri"/>
          <w:color w:val="222222"/>
        </w:rPr>
        <w:t>Tab A - Metabolite mapping</w:t>
      </w:r>
    </w:p>
    <w:p>
      <w:r>
        <w:rPr>
          <w:rFonts w:ascii="Calibri" w:hAnsi="Calibri"/>
          <w:color w:val="222222"/>
        </w:rPr>
        <w:t>Use one row per source feature per analysis. Do not deduplicate before preserving source identity.</w:t>
      </w:r>
    </w:p>
    <w:tbl>
      <w:tblPr>
        <w:tblStyle w:val="TableGrid"/>
        <w:tblW w:type="dxa" w:w="9360"/>
        <w:jc w:val="left"/>
        <w:tblLayout w:type="fixed"/>
        <w:tblLook w:firstColumn="1" w:firstRow="1" w:lastColumn="0" w:lastRow="0" w:noHBand="0" w:noVBand="1" w:val="04A0"/>
        <w:tblInd w:w="120" w:type="dxa"/>
      </w:tblPr>
      <w:tblGrid>
        <w:gridCol w:w="4104"/>
        <w:gridCol w:w="5256"/>
      </w:tblGrid>
      <w:tr>
        <w:trPr>
          <w:cantSplit w:val="true"/>
          <w:tblHeader w:val="true"/>
        </w:trPr>
        <w:tc>
          <w:tcPr>
            <w:tcW w:type="dxa" w:w="4104"/>
            <w:tcMar>
              <w:top w:w="80" w:type="dxa"/>
              <w:bottom w:w="80" w:type="dxa"/>
              <w:start w:w="120" w:type="dxa"/>
              <w:end w:w="120" w:type="dxa"/>
            </w:tcMar>
            <w:vAlign w:val="center"/>
            <w:shd w:fill="E8EEF5"/>
          </w:tcPr>
          <w:p>
            <w:pPr>
              <w:spacing w:before="0" w:after="0" w:line="269" w:lineRule="auto"/>
              <w:jc w:val="left"/>
            </w:pPr>
            <w:r>
              <w:rPr>
                <w:b/>
                <w:color w:val="203748"/>
              </w:rPr>
            </w:r>
            <w:r>
              <w:rPr>
                <w:rFonts w:ascii="Calibri" w:hAnsi="Calibri"/>
                <w:b/>
                <w:color w:val="203748"/>
                <w:sz w:val="18"/>
              </w:rPr>
              <w:t>Column</w:t>
            </w:r>
          </w:p>
        </w:tc>
        <w:tc>
          <w:tcPr>
            <w:tcW w:type="dxa" w:w="5256"/>
            <w:tcMar>
              <w:top w:w="80" w:type="dxa"/>
              <w:bottom w:w="80" w:type="dxa"/>
              <w:start w:w="120" w:type="dxa"/>
              <w:end w:w="120" w:type="dxa"/>
            </w:tcMar>
            <w:vAlign w:val="center"/>
            <w:shd w:fill="E8EEF5"/>
          </w:tcPr>
          <w:p>
            <w:pPr>
              <w:spacing w:before="0" w:after="0" w:line="269" w:lineRule="auto"/>
              <w:jc w:val="center"/>
            </w:pPr>
            <w:r>
              <w:rPr>
                <w:b/>
                <w:color w:val="203748"/>
              </w:rPr>
            </w:r>
            <w:r>
              <w:rPr>
                <w:rFonts w:ascii="Calibri" w:hAnsi="Calibri"/>
                <w:b/>
                <w:color w:val="203748"/>
                <w:sz w:val="18"/>
              </w:rPr>
              <w:t>Required meaning</w:t>
            </w:r>
          </w:p>
        </w:tc>
      </w:tr>
      <w:tr>
        <w:trPr>
          <w:cantSplit w:val="true"/>
        </w:trPr>
        <w:tc>
          <w:tcPr>
            <w:tcW w:type="dxa" w:w="4104"/>
            <w:tcMar>
              <w:top w:w="80" w:type="dxa"/>
              <w:bottom w:w="80" w:type="dxa"/>
              <w:start w:w="120" w:type="dxa"/>
              <w:end w:w="120" w:type="dxa"/>
            </w:tcMar>
            <w:vAlign w:val="center"/>
          </w:tcPr>
          <w:p>
            <w:pPr>
              <w:spacing w:before="0" w:after="0" w:line="269" w:lineRule="auto"/>
              <w:jc w:val="left"/>
            </w:pPr>
            <w:r/>
            <w:r>
              <w:rPr>
                <w:rFonts w:ascii="Consolas" w:hAnsi="Consolas"/>
                <w:color w:val="1F4D78"/>
                <w:sz w:val="17"/>
                <w:shd w:fill="EEF1F4"/>
              </w:rPr>
              <w:t>row_id</w:t>
            </w:r>
          </w:p>
        </w:tc>
        <w:tc>
          <w:tcPr>
            <w:tcW w:type="dxa" w:w="5256"/>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Stable crosswalk-row identifier</w:t>
            </w:r>
          </w:p>
        </w:tc>
      </w:tr>
      <w:tr>
        <w:trPr>
          <w:cantSplit w:val="true"/>
        </w:trPr>
        <w:tc>
          <w:tcPr>
            <w:tcW w:type="dxa" w:w="4104"/>
            <w:tcMar>
              <w:top w:w="80" w:type="dxa"/>
              <w:bottom w:w="80" w:type="dxa"/>
              <w:start w:w="120" w:type="dxa"/>
              <w:end w:w="120" w:type="dxa"/>
            </w:tcMar>
            <w:vAlign w:val="center"/>
          </w:tcPr>
          <w:p>
            <w:pPr>
              <w:spacing w:before="0" w:after="0" w:line="269" w:lineRule="auto"/>
              <w:jc w:val="left"/>
            </w:pPr>
            <w:r/>
            <w:r>
              <w:rPr>
                <w:rFonts w:ascii="Consolas" w:hAnsi="Consolas"/>
                <w:color w:val="1F4D78"/>
                <w:sz w:val="17"/>
                <w:shd w:fill="EEF1F4"/>
              </w:rPr>
              <w:t>config_key</w:t>
            </w:r>
          </w:p>
        </w:tc>
        <w:tc>
          <w:tcPr>
            <w:tcW w:type="dxa" w:w="5256"/>
            <w:tcMar>
              <w:top w:w="80" w:type="dxa"/>
              <w:bottom w:w="80" w:type="dxa"/>
              <w:start w:w="120" w:type="dxa"/>
              <w:end w:w="120" w:type="dxa"/>
            </w:tcMar>
            <w:vAlign w:val="center"/>
          </w:tcPr>
          <w:p>
            <w:pPr>
              <w:spacing w:before="0" w:after="0" w:line="269" w:lineRule="auto"/>
              <w:jc w:val="left"/>
            </w:pPr>
            <w:r/>
            <w:r>
              <w:rPr>
                <w:rFonts w:ascii="Consolas" w:hAnsi="Consolas"/>
                <w:color w:val="1F4D78"/>
                <w:sz w:val="17"/>
                <w:shd w:fill="EEF1F4"/>
              </w:rPr>
              <w:t>DIET_ACCESSION</w:t>
            </w:r>
            <w:r>
              <w:rPr>
                <w:rFonts w:ascii="Calibri" w:hAnsi="Calibri"/>
                <w:color w:val="222222"/>
                <w:sz w:val="18"/>
              </w:rPr>
              <w:t xml:space="preserve"> or </w:t>
            </w:r>
            <w:r>
              <w:rPr>
                <w:rFonts w:ascii="Consolas" w:hAnsi="Consolas"/>
                <w:color w:val="1F4D78"/>
                <w:sz w:val="17"/>
                <w:shd w:fill="EEF1F4"/>
              </w:rPr>
              <w:t>EXERCISE_ACCESSION</w:t>
            </w:r>
          </w:p>
        </w:tc>
      </w:tr>
      <w:tr>
        <w:trPr>
          <w:cantSplit w:val="true"/>
        </w:trPr>
        <w:tc>
          <w:tcPr>
            <w:tcW w:type="dxa" w:w="4104"/>
            <w:tcMar>
              <w:top w:w="80" w:type="dxa"/>
              <w:bottom w:w="80" w:type="dxa"/>
              <w:start w:w="120" w:type="dxa"/>
              <w:end w:w="120" w:type="dxa"/>
            </w:tcMar>
            <w:vAlign w:val="center"/>
          </w:tcPr>
          <w:p>
            <w:pPr>
              <w:spacing w:before="0" w:after="0" w:line="269" w:lineRule="auto"/>
              <w:jc w:val="left"/>
            </w:pPr>
            <w:r/>
            <w:r>
              <w:rPr>
                <w:rFonts w:ascii="Consolas" w:hAnsi="Consolas"/>
                <w:color w:val="1F4D78"/>
                <w:sz w:val="17"/>
                <w:shd w:fill="EEF1F4"/>
              </w:rPr>
              <w:t>study_accession</w:t>
            </w:r>
          </w:p>
        </w:tc>
        <w:tc>
          <w:tcPr>
            <w:tcW w:type="dxa" w:w="5256"/>
            <w:tcMar>
              <w:top w:w="80" w:type="dxa"/>
              <w:bottom w:w="80" w:type="dxa"/>
              <w:start w:w="120" w:type="dxa"/>
              <w:end w:w="120" w:type="dxa"/>
            </w:tcMar>
            <w:vAlign w:val="center"/>
          </w:tcPr>
          <w:p>
            <w:pPr>
              <w:spacing w:before="0" w:after="0" w:line="269" w:lineRule="auto"/>
              <w:jc w:val="left"/>
            </w:pPr>
            <w:r/>
            <w:r>
              <w:rPr>
                <w:rFonts w:ascii="Consolas" w:hAnsi="Consolas"/>
                <w:color w:val="1F4D78"/>
                <w:sz w:val="17"/>
                <w:shd w:fill="EEF1F4"/>
              </w:rPr>
              <w:t>ST001521</w:t>
            </w:r>
            <w:r>
              <w:rPr>
                <w:rFonts w:ascii="Calibri" w:hAnsi="Calibri"/>
                <w:color w:val="222222"/>
                <w:sz w:val="18"/>
              </w:rPr>
              <w:t xml:space="preserve"> or </w:t>
            </w:r>
            <w:r>
              <w:rPr>
                <w:rFonts w:ascii="Consolas" w:hAnsi="Consolas"/>
                <w:color w:val="1F4D78"/>
                <w:sz w:val="17"/>
                <w:shd w:fill="EEF1F4"/>
              </w:rPr>
              <w:t>ST003348</w:t>
            </w:r>
          </w:p>
        </w:tc>
      </w:tr>
      <w:tr>
        <w:trPr>
          <w:cantSplit w:val="true"/>
        </w:trPr>
        <w:tc>
          <w:tcPr>
            <w:tcW w:type="dxa" w:w="4104"/>
            <w:tcMar>
              <w:top w:w="80" w:type="dxa"/>
              <w:bottom w:w="80" w:type="dxa"/>
              <w:start w:w="120" w:type="dxa"/>
              <w:end w:w="120" w:type="dxa"/>
            </w:tcMar>
            <w:vAlign w:val="center"/>
          </w:tcPr>
          <w:p>
            <w:pPr>
              <w:spacing w:before="0" w:after="0" w:line="269" w:lineRule="auto"/>
              <w:jc w:val="left"/>
            </w:pPr>
            <w:r/>
            <w:r>
              <w:rPr>
                <w:rFonts w:ascii="Consolas" w:hAnsi="Consolas"/>
                <w:color w:val="1F4D78"/>
                <w:sz w:val="17"/>
                <w:shd w:fill="EEF1F4"/>
              </w:rPr>
              <w:t>analysis_id</w:t>
            </w:r>
          </w:p>
        </w:tc>
        <w:tc>
          <w:tcPr>
            <w:tcW w:type="dxa" w:w="5256"/>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 xml:space="preserve">Source </w:t>
            </w:r>
            <w:r>
              <w:rPr>
                <w:rFonts w:ascii="Consolas" w:hAnsi="Consolas"/>
                <w:color w:val="1F4D78"/>
                <w:sz w:val="17"/>
                <w:shd w:fill="EEF1F4"/>
              </w:rPr>
              <w:t>AN...</w:t>
            </w:r>
            <w:r>
              <w:rPr>
                <w:rFonts w:ascii="Calibri" w:hAnsi="Calibri"/>
                <w:color w:val="222222"/>
                <w:sz w:val="18"/>
              </w:rPr>
              <w:t xml:space="preserve"> identifier</w:t>
            </w:r>
          </w:p>
        </w:tc>
      </w:tr>
      <w:tr>
        <w:trPr>
          <w:cantSplit w:val="true"/>
        </w:trPr>
        <w:tc>
          <w:tcPr>
            <w:tcW w:type="dxa" w:w="4104"/>
            <w:tcMar>
              <w:top w:w="80" w:type="dxa"/>
              <w:bottom w:w="80" w:type="dxa"/>
              <w:start w:w="120" w:type="dxa"/>
              <w:end w:w="120" w:type="dxa"/>
            </w:tcMar>
            <w:vAlign w:val="center"/>
          </w:tcPr>
          <w:p>
            <w:pPr>
              <w:spacing w:before="0" w:after="0" w:line="269" w:lineRule="auto"/>
              <w:jc w:val="left"/>
            </w:pPr>
            <w:r/>
            <w:r>
              <w:rPr>
                <w:rFonts w:ascii="Consolas" w:hAnsi="Consolas"/>
                <w:color w:val="1F4D78"/>
                <w:sz w:val="17"/>
                <w:shd w:fill="EEF1F4"/>
              </w:rPr>
              <w:t>source_feature_id</w:t>
            </w:r>
          </w:p>
        </w:tc>
        <w:tc>
          <w:tcPr>
            <w:tcW w:type="dxa" w:w="5256"/>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Original feature/metabolite ID if present</w:t>
            </w:r>
          </w:p>
        </w:tc>
      </w:tr>
      <w:tr>
        <w:trPr>
          <w:cantSplit w:val="true"/>
        </w:trPr>
        <w:tc>
          <w:tcPr>
            <w:tcW w:type="dxa" w:w="4104"/>
            <w:tcMar>
              <w:top w:w="80" w:type="dxa"/>
              <w:bottom w:w="80" w:type="dxa"/>
              <w:start w:w="120" w:type="dxa"/>
              <w:end w:w="120" w:type="dxa"/>
            </w:tcMar>
            <w:vAlign w:val="center"/>
          </w:tcPr>
          <w:p>
            <w:pPr>
              <w:spacing w:before="0" w:after="0" w:line="269" w:lineRule="auto"/>
              <w:jc w:val="left"/>
            </w:pPr>
            <w:r/>
            <w:r>
              <w:rPr>
                <w:rFonts w:ascii="Consolas" w:hAnsi="Consolas"/>
                <w:color w:val="1F4D78"/>
                <w:sz w:val="17"/>
                <w:shd w:fill="EEF1F4"/>
              </w:rPr>
              <w:t>source_metabolite_name</w:t>
            </w:r>
          </w:p>
        </w:tc>
        <w:tc>
          <w:tcPr>
            <w:tcW w:type="dxa" w:w="5256"/>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Exact deposited label</w:t>
            </w:r>
          </w:p>
        </w:tc>
      </w:tr>
      <w:tr>
        <w:trPr>
          <w:cantSplit w:val="true"/>
        </w:trPr>
        <w:tc>
          <w:tcPr>
            <w:tcW w:type="dxa" w:w="4104"/>
            <w:tcMar>
              <w:top w:w="80" w:type="dxa"/>
              <w:bottom w:w="80" w:type="dxa"/>
              <w:start w:w="120" w:type="dxa"/>
              <w:end w:w="120" w:type="dxa"/>
            </w:tcMar>
            <w:vAlign w:val="center"/>
          </w:tcPr>
          <w:p>
            <w:pPr>
              <w:spacing w:before="0" w:after="0" w:line="269" w:lineRule="auto"/>
              <w:jc w:val="left"/>
            </w:pPr>
            <w:r/>
            <w:r>
              <w:rPr>
                <w:rFonts w:ascii="Consolas" w:hAnsi="Consolas"/>
                <w:color w:val="1F4D78"/>
                <w:sz w:val="17"/>
                <w:shd w:fill="EEF1F4"/>
              </w:rPr>
              <w:t>source_refmet_name</w:t>
            </w:r>
          </w:p>
        </w:tc>
        <w:tc>
          <w:tcPr>
            <w:tcW w:type="dxa" w:w="5256"/>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RefMet value returned in the MW metabolite record, including blank</w:t>
            </w:r>
          </w:p>
        </w:tc>
      </w:tr>
      <w:tr>
        <w:trPr>
          <w:cantSplit w:val="true"/>
        </w:trPr>
        <w:tc>
          <w:tcPr>
            <w:tcW w:type="dxa" w:w="4104"/>
            <w:tcMar>
              <w:top w:w="80" w:type="dxa"/>
              <w:bottom w:w="80" w:type="dxa"/>
              <w:start w:w="120" w:type="dxa"/>
              <w:end w:w="120" w:type="dxa"/>
            </w:tcMar>
            <w:vAlign w:val="center"/>
          </w:tcPr>
          <w:p>
            <w:pPr>
              <w:spacing w:before="0" w:after="0" w:line="269" w:lineRule="auto"/>
              <w:jc w:val="left"/>
            </w:pPr>
            <w:r/>
            <w:r>
              <w:rPr>
                <w:rFonts w:ascii="Consolas" w:hAnsi="Consolas"/>
                <w:color w:val="1F4D78"/>
                <w:sz w:val="17"/>
                <w:shd w:fill="EEF1F4"/>
              </w:rPr>
              <w:t>source_formula</w:t>
            </w:r>
          </w:p>
        </w:tc>
        <w:tc>
          <w:tcPr>
            <w:tcW w:type="dxa" w:w="5256"/>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 xml:space="preserve">Original formula or </w:t>
            </w:r>
            <w:r>
              <w:rPr>
                <w:rFonts w:ascii="Consolas" w:hAnsi="Consolas"/>
                <w:color w:val="1F4D78"/>
                <w:sz w:val="17"/>
                <w:shd w:fill="EEF1F4"/>
              </w:rPr>
              <w:t>NR</w:t>
            </w:r>
          </w:p>
        </w:tc>
      </w:tr>
      <w:tr>
        <w:trPr>
          <w:cantSplit w:val="true"/>
        </w:trPr>
        <w:tc>
          <w:tcPr>
            <w:tcW w:type="dxa" w:w="4104"/>
            <w:tcMar>
              <w:top w:w="80" w:type="dxa"/>
              <w:bottom w:w="80" w:type="dxa"/>
              <w:start w:w="120" w:type="dxa"/>
              <w:end w:w="120" w:type="dxa"/>
            </w:tcMar>
            <w:vAlign w:val="center"/>
          </w:tcPr>
          <w:p>
            <w:pPr>
              <w:spacing w:before="0" w:after="0" w:line="269" w:lineRule="auto"/>
              <w:jc w:val="left"/>
            </w:pPr>
            <w:r/>
            <w:r>
              <w:rPr>
                <w:rFonts w:ascii="Consolas" w:hAnsi="Consolas"/>
                <w:color w:val="1F4D78"/>
                <w:sz w:val="17"/>
                <w:shd w:fill="EEF1F4"/>
              </w:rPr>
              <w:t>source_inchikey</w:t>
            </w:r>
          </w:p>
        </w:tc>
        <w:tc>
          <w:tcPr>
            <w:tcW w:type="dxa" w:w="5256"/>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 xml:space="preserve">Original InChIKey or </w:t>
            </w:r>
            <w:r>
              <w:rPr>
                <w:rFonts w:ascii="Consolas" w:hAnsi="Consolas"/>
                <w:color w:val="1F4D78"/>
                <w:sz w:val="17"/>
                <w:shd w:fill="EEF1F4"/>
              </w:rPr>
              <w:t>NR</w:t>
            </w:r>
          </w:p>
        </w:tc>
      </w:tr>
      <w:tr>
        <w:trPr>
          <w:cantSplit w:val="true"/>
        </w:trPr>
        <w:tc>
          <w:tcPr>
            <w:tcW w:type="dxa" w:w="4104"/>
            <w:tcMar>
              <w:top w:w="80" w:type="dxa"/>
              <w:bottom w:w="80" w:type="dxa"/>
              <w:start w:w="120" w:type="dxa"/>
              <w:end w:w="120" w:type="dxa"/>
            </w:tcMar>
            <w:vAlign w:val="center"/>
          </w:tcPr>
          <w:p>
            <w:pPr>
              <w:spacing w:before="0" w:after="0" w:line="269" w:lineRule="auto"/>
              <w:jc w:val="left"/>
            </w:pPr>
            <w:r/>
            <w:r>
              <w:rPr>
                <w:rFonts w:ascii="Consolas" w:hAnsi="Consolas"/>
                <w:color w:val="1F4D78"/>
                <w:sz w:val="17"/>
                <w:shd w:fill="EEF1F4"/>
              </w:rPr>
              <w:t>source_external_ids</w:t>
            </w:r>
          </w:p>
        </w:tc>
        <w:tc>
          <w:tcPr>
            <w:tcW w:type="dxa" w:w="5256"/>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PubChem, HMDB, KEGG, or other IDs with namespaces</w:t>
            </w:r>
          </w:p>
        </w:tc>
      </w:tr>
      <w:tr>
        <w:trPr>
          <w:cantSplit w:val="true"/>
        </w:trPr>
        <w:tc>
          <w:tcPr>
            <w:tcW w:type="dxa" w:w="4104"/>
            <w:tcMar>
              <w:top w:w="80" w:type="dxa"/>
              <w:bottom w:w="80" w:type="dxa"/>
              <w:start w:w="120" w:type="dxa"/>
              <w:end w:w="120" w:type="dxa"/>
            </w:tcMar>
            <w:vAlign w:val="center"/>
          </w:tcPr>
          <w:p>
            <w:pPr>
              <w:spacing w:before="0" w:after="0" w:line="269" w:lineRule="auto"/>
              <w:jc w:val="left"/>
            </w:pPr>
            <w:r/>
            <w:r>
              <w:rPr>
                <w:rFonts w:ascii="Consolas" w:hAnsi="Consolas"/>
                <w:color w:val="1F4D78"/>
                <w:sz w:val="17"/>
                <w:shd w:fill="EEF1F4"/>
              </w:rPr>
              <w:t>source_unit</w:t>
            </w:r>
          </w:p>
        </w:tc>
        <w:tc>
          <w:tcPr>
            <w:tcW w:type="dxa" w:w="5256"/>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Exact analysis unit or scale</w:t>
            </w:r>
          </w:p>
        </w:tc>
      </w:tr>
      <w:tr>
        <w:trPr>
          <w:cantSplit w:val="true"/>
        </w:trPr>
        <w:tc>
          <w:tcPr>
            <w:tcW w:type="dxa" w:w="4104"/>
            <w:tcMar>
              <w:top w:w="80" w:type="dxa"/>
              <w:bottom w:w="80" w:type="dxa"/>
              <w:start w:w="120" w:type="dxa"/>
              <w:end w:w="120" w:type="dxa"/>
            </w:tcMar>
            <w:vAlign w:val="center"/>
          </w:tcPr>
          <w:p>
            <w:pPr>
              <w:spacing w:before="0" w:after="0" w:line="269" w:lineRule="auto"/>
              <w:jc w:val="left"/>
            </w:pPr>
            <w:r/>
            <w:r>
              <w:rPr>
                <w:rFonts w:ascii="Consolas" w:hAnsi="Consolas"/>
                <w:color w:val="1F4D78"/>
                <w:sz w:val="17"/>
                <w:shd w:fill="EEF1F4"/>
              </w:rPr>
              <w:t>source_endpoint</w:t>
            </w:r>
          </w:p>
        </w:tc>
        <w:tc>
          <w:tcPr>
            <w:tcW w:type="dxa" w:w="5256"/>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Exact URL or cached file identifier</w:t>
            </w:r>
          </w:p>
        </w:tc>
      </w:tr>
      <w:tr>
        <w:trPr>
          <w:cantSplit w:val="true"/>
        </w:trPr>
        <w:tc>
          <w:tcPr>
            <w:tcW w:type="dxa" w:w="4104"/>
            <w:tcMar>
              <w:top w:w="80" w:type="dxa"/>
              <w:bottom w:w="80" w:type="dxa"/>
              <w:start w:w="120" w:type="dxa"/>
              <w:end w:w="120" w:type="dxa"/>
            </w:tcMar>
            <w:vAlign w:val="center"/>
          </w:tcPr>
          <w:p>
            <w:pPr>
              <w:spacing w:before="0" w:after="0" w:line="269" w:lineRule="auto"/>
              <w:jc w:val="left"/>
            </w:pPr>
            <w:r/>
            <w:r>
              <w:rPr>
                <w:rFonts w:ascii="Consolas" w:hAnsi="Consolas"/>
                <w:color w:val="1F4D78"/>
                <w:sz w:val="17"/>
                <w:shd w:fill="EEF1F4"/>
              </w:rPr>
              <w:t>retrieved_at_utc</w:t>
            </w:r>
          </w:p>
        </w:tc>
        <w:tc>
          <w:tcPr>
            <w:tcW w:type="dxa" w:w="5256"/>
            <w:tcMar>
              <w:top w:w="80" w:type="dxa"/>
              <w:bottom w:w="80" w:type="dxa"/>
              <w:start w:w="120" w:type="dxa"/>
              <w:end w:w="120" w:type="dxa"/>
            </w:tcMar>
            <w:vAlign w:val="center"/>
          </w:tcPr>
          <w:p>
            <w:pPr>
              <w:spacing w:before="0" w:after="0" w:line="269" w:lineRule="auto"/>
              <w:jc w:val="center"/>
            </w:pPr>
            <w:r/>
            <w:r>
              <w:rPr>
                <w:rFonts w:ascii="Calibri" w:hAnsi="Calibri"/>
                <w:color w:val="222222"/>
                <w:sz w:val="18"/>
              </w:rPr>
              <w:t>ISO 8601 timestamp</w:t>
            </w:r>
          </w:p>
        </w:tc>
      </w:tr>
      <w:tr>
        <w:trPr>
          <w:cantSplit w:val="true"/>
        </w:trPr>
        <w:tc>
          <w:tcPr>
            <w:tcW w:type="dxa" w:w="4104"/>
            <w:tcMar>
              <w:top w:w="80" w:type="dxa"/>
              <w:bottom w:w="80" w:type="dxa"/>
              <w:start w:w="120" w:type="dxa"/>
              <w:end w:w="120" w:type="dxa"/>
            </w:tcMar>
            <w:vAlign w:val="center"/>
          </w:tcPr>
          <w:p>
            <w:pPr>
              <w:spacing w:before="0" w:after="0" w:line="269" w:lineRule="auto"/>
              <w:jc w:val="left"/>
            </w:pPr>
            <w:r/>
            <w:r>
              <w:rPr>
                <w:rFonts w:ascii="Consolas" w:hAnsi="Consolas"/>
                <w:color w:val="1F4D78"/>
                <w:sz w:val="17"/>
                <w:shd w:fill="EEF1F4"/>
              </w:rPr>
              <w:t>lookup_string</w:t>
            </w:r>
          </w:p>
        </w:tc>
        <w:tc>
          <w:tcPr>
            <w:tcW w:type="dxa" w:w="5256"/>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Exact string sent to RefMet, if queried separately</w:t>
            </w:r>
          </w:p>
        </w:tc>
      </w:tr>
      <w:tr>
        <w:trPr>
          <w:cantSplit w:val="true"/>
        </w:trPr>
        <w:tc>
          <w:tcPr>
            <w:tcW w:type="dxa" w:w="4104"/>
            <w:tcMar>
              <w:top w:w="80" w:type="dxa"/>
              <w:bottom w:w="80" w:type="dxa"/>
              <w:start w:w="120" w:type="dxa"/>
              <w:end w:w="120" w:type="dxa"/>
            </w:tcMar>
            <w:vAlign w:val="center"/>
          </w:tcPr>
          <w:p>
            <w:pPr>
              <w:spacing w:before="0" w:after="0" w:line="269" w:lineRule="auto"/>
              <w:jc w:val="left"/>
            </w:pPr>
            <w:r/>
            <w:r>
              <w:rPr>
                <w:rFonts w:ascii="Consolas" w:hAnsi="Consolas"/>
                <w:color w:val="1F4D78"/>
                <w:sz w:val="17"/>
                <w:shd w:fill="EEF1F4"/>
              </w:rPr>
              <w:t>lookup_transform</w:t>
            </w:r>
          </w:p>
        </w:tc>
        <w:tc>
          <w:tcPr>
            <w:tcW w:type="dxa" w:w="5256"/>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 xml:space="preserve">Changes from source label to lookup string; use </w:t>
            </w:r>
            <w:r>
              <w:rPr>
                <w:rFonts w:ascii="Consolas" w:hAnsi="Consolas"/>
                <w:color w:val="1F4D78"/>
                <w:sz w:val="17"/>
                <w:shd w:fill="EEF1F4"/>
              </w:rPr>
              <w:t>none</w:t>
            </w:r>
            <w:r>
              <w:rPr>
                <w:rFonts w:ascii="Calibri" w:hAnsi="Calibri"/>
                <w:color w:val="222222"/>
                <w:sz w:val="18"/>
              </w:rPr>
              <w:t xml:space="preserve"> if unchanged</w:t>
            </w:r>
          </w:p>
        </w:tc>
      </w:tr>
      <w:tr>
        <w:trPr>
          <w:cantSplit w:val="true"/>
        </w:trPr>
        <w:tc>
          <w:tcPr>
            <w:tcW w:type="dxa" w:w="4104"/>
            <w:tcMar>
              <w:top w:w="80" w:type="dxa"/>
              <w:bottom w:w="80" w:type="dxa"/>
              <w:start w:w="120" w:type="dxa"/>
              <w:end w:w="120" w:type="dxa"/>
            </w:tcMar>
            <w:vAlign w:val="center"/>
          </w:tcPr>
          <w:p>
            <w:pPr>
              <w:spacing w:before="0" w:after="0" w:line="269" w:lineRule="auto"/>
              <w:jc w:val="left"/>
            </w:pPr>
            <w:r/>
            <w:r>
              <w:rPr>
                <w:rFonts w:ascii="Consolas" w:hAnsi="Consolas"/>
                <w:color w:val="1F4D78"/>
                <w:sz w:val="17"/>
                <w:shd w:fill="EEF1F4"/>
              </w:rPr>
              <w:t>refmet_candidate</w:t>
            </w:r>
          </w:p>
        </w:tc>
        <w:tc>
          <w:tcPr>
            <w:tcW w:type="dxa" w:w="5256"/>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Candidate standardized name; preserve multiple candidates</w:t>
            </w:r>
          </w:p>
        </w:tc>
      </w:tr>
      <w:tr>
        <w:trPr>
          <w:cantSplit w:val="true"/>
        </w:trPr>
        <w:tc>
          <w:tcPr>
            <w:tcW w:type="dxa" w:w="4104"/>
            <w:tcMar>
              <w:top w:w="80" w:type="dxa"/>
              <w:bottom w:w="80" w:type="dxa"/>
              <w:start w:w="120" w:type="dxa"/>
              <w:end w:w="120" w:type="dxa"/>
            </w:tcMar>
            <w:vAlign w:val="center"/>
          </w:tcPr>
          <w:p>
            <w:pPr>
              <w:spacing w:before="0" w:after="0" w:line="269" w:lineRule="auto"/>
              <w:jc w:val="left"/>
            </w:pPr>
            <w:r/>
            <w:r>
              <w:rPr>
                <w:rFonts w:ascii="Consolas" w:hAnsi="Consolas"/>
                <w:color w:val="1F4D78"/>
                <w:sz w:val="17"/>
                <w:shd w:fill="EEF1F4"/>
              </w:rPr>
              <w:t>refmet_query_url</w:t>
            </w:r>
          </w:p>
        </w:tc>
        <w:tc>
          <w:tcPr>
            <w:tcW w:type="dxa" w:w="5256"/>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Exact query or versioned bulk-table source</w:t>
            </w:r>
          </w:p>
        </w:tc>
      </w:tr>
      <w:tr>
        <w:trPr>
          <w:cantSplit w:val="true"/>
        </w:trPr>
        <w:tc>
          <w:tcPr>
            <w:tcW w:type="dxa" w:w="4104"/>
            <w:tcMar>
              <w:top w:w="80" w:type="dxa"/>
              <w:bottom w:w="80" w:type="dxa"/>
              <w:start w:w="120" w:type="dxa"/>
              <w:end w:w="120" w:type="dxa"/>
            </w:tcMar>
            <w:vAlign w:val="center"/>
          </w:tcPr>
          <w:p>
            <w:pPr>
              <w:spacing w:before="0" w:after="0" w:line="269" w:lineRule="auto"/>
              <w:jc w:val="left"/>
            </w:pPr>
            <w:r/>
            <w:r>
              <w:rPr>
                <w:rFonts w:ascii="Consolas" w:hAnsi="Consolas"/>
                <w:color w:val="1F4D78"/>
                <w:sz w:val="17"/>
                <w:shd w:fill="EEF1F4"/>
              </w:rPr>
              <w:t>annotation_resolution</w:t>
            </w:r>
          </w:p>
        </w:tc>
        <w:tc>
          <w:tcPr>
            <w:tcW w:type="dxa" w:w="5256"/>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Controlled value above</w:t>
            </w:r>
          </w:p>
        </w:tc>
      </w:tr>
      <w:tr>
        <w:trPr>
          <w:cantSplit w:val="true"/>
        </w:trPr>
        <w:tc>
          <w:tcPr>
            <w:tcW w:type="dxa" w:w="4104"/>
            <w:tcMar>
              <w:top w:w="80" w:type="dxa"/>
              <w:bottom w:w="80" w:type="dxa"/>
              <w:start w:w="120" w:type="dxa"/>
              <w:end w:w="120" w:type="dxa"/>
            </w:tcMar>
            <w:vAlign w:val="center"/>
          </w:tcPr>
          <w:p>
            <w:pPr>
              <w:spacing w:before="0" w:after="0" w:line="269" w:lineRule="auto"/>
              <w:jc w:val="left"/>
            </w:pPr>
            <w:r/>
            <w:r>
              <w:rPr>
                <w:rFonts w:ascii="Consolas" w:hAnsi="Consolas"/>
                <w:color w:val="1F4D78"/>
                <w:sz w:val="17"/>
                <w:shd w:fill="EEF1F4"/>
              </w:rPr>
              <w:t>identification_evidence</w:t>
            </w:r>
          </w:p>
        </w:tc>
        <w:tc>
          <w:tcPr>
            <w:tcW w:type="dxa" w:w="5256"/>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Evidence reported by source; do not upgrade it</w:t>
            </w:r>
          </w:p>
        </w:tc>
      </w:tr>
      <w:tr>
        <w:trPr>
          <w:cantSplit w:val="true"/>
        </w:trPr>
        <w:tc>
          <w:tcPr>
            <w:tcW w:type="dxa" w:w="4104"/>
            <w:tcMar>
              <w:top w:w="80" w:type="dxa"/>
              <w:bottom w:w="80" w:type="dxa"/>
              <w:start w:w="120" w:type="dxa"/>
              <w:end w:w="120" w:type="dxa"/>
            </w:tcMar>
            <w:vAlign w:val="center"/>
          </w:tcPr>
          <w:p>
            <w:pPr>
              <w:spacing w:before="0" w:after="0" w:line="269" w:lineRule="auto"/>
              <w:jc w:val="left"/>
            </w:pPr>
            <w:r/>
            <w:r>
              <w:rPr>
                <w:rFonts w:ascii="Consolas" w:hAnsi="Consolas"/>
                <w:color w:val="1F4D78"/>
                <w:sz w:val="17"/>
                <w:shd w:fill="EEF1F4"/>
              </w:rPr>
              <w:t>mapping_status</w:t>
            </w:r>
          </w:p>
        </w:tc>
        <w:tc>
          <w:tcPr>
            <w:tcW w:type="dxa" w:w="5256"/>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Controlled value above</w:t>
            </w:r>
          </w:p>
        </w:tc>
      </w:tr>
      <w:tr>
        <w:trPr>
          <w:cantSplit w:val="true"/>
        </w:trPr>
        <w:tc>
          <w:tcPr>
            <w:tcW w:type="dxa" w:w="4104"/>
            <w:tcMar>
              <w:top w:w="80" w:type="dxa"/>
              <w:bottom w:w="80" w:type="dxa"/>
              <w:start w:w="120" w:type="dxa"/>
              <w:end w:w="120" w:type="dxa"/>
            </w:tcMar>
            <w:vAlign w:val="center"/>
          </w:tcPr>
          <w:p>
            <w:pPr>
              <w:spacing w:before="0" w:after="0" w:line="269" w:lineRule="auto"/>
              <w:jc w:val="left"/>
            </w:pPr>
            <w:r/>
            <w:r>
              <w:rPr>
                <w:rFonts w:ascii="Consolas" w:hAnsi="Consolas"/>
                <w:color w:val="1F4D78"/>
                <w:sz w:val="17"/>
                <w:shd w:fill="EEF1F4"/>
              </w:rPr>
              <w:t>decision_reason</w:t>
            </w:r>
          </w:p>
        </w:tc>
        <w:tc>
          <w:tcPr>
            <w:tcW w:type="dxa" w:w="5256"/>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Evidence-based rationale</w:t>
            </w:r>
          </w:p>
        </w:tc>
      </w:tr>
      <w:tr>
        <w:trPr>
          <w:cantSplit w:val="true"/>
        </w:trPr>
        <w:tc>
          <w:tcPr>
            <w:tcW w:type="dxa" w:w="4104"/>
            <w:tcMar>
              <w:top w:w="80" w:type="dxa"/>
              <w:bottom w:w="80" w:type="dxa"/>
              <w:start w:w="120" w:type="dxa"/>
              <w:end w:w="120" w:type="dxa"/>
            </w:tcMar>
            <w:vAlign w:val="center"/>
          </w:tcPr>
          <w:p>
            <w:pPr>
              <w:spacing w:before="0" w:after="0" w:line="269" w:lineRule="auto"/>
              <w:jc w:val="left"/>
            </w:pPr>
            <w:r/>
            <w:r>
              <w:rPr>
                <w:rFonts w:ascii="Consolas" w:hAnsi="Consolas"/>
                <w:color w:val="1F4D78"/>
                <w:sz w:val="17"/>
                <w:shd w:fill="EEF1F4"/>
              </w:rPr>
              <w:t>reviewer_or_rule</w:t>
            </w:r>
          </w:p>
        </w:tc>
        <w:tc>
          <w:tcPr>
            <w:tcW w:type="dxa" w:w="5256"/>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Person, rule ID, or software version</w:t>
            </w:r>
          </w:p>
        </w:tc>
      </w:tr>
      <w:tr>
        <w:trPr>
          <w:cantSplit w:val="true"/>
        </w:trPr>
        <w:tc>
          <w:tcPr>
            <w:tcW w:type="dxa" w:w="4104"/>
            <w:tcMar>
              <w:top w:w="80" w:type="dxa"/>
              <w:bottom w:w="80" w:type="dxa"/>
              <w:start w:w="120" w:type="dxa"/>
              <w:end w:w="120" w:type="dxa"/>
            </w:tcMar>
            <w:vAlign w:val="center"/>
          </w:tcPr>
          <w:p>
            <w:pPr>
              <w:spacing w:before="0" w:after="0" w:line="269" w:lineRule="auto"/>
              <w:jc w:val="left"/>
            </w:pPr>
            <w:r/>
            <w:r>
              <w:rPr>
                <w:rFonts w:ascii="Consolas" w:hAnsi="Consolas"/>
                <w:color w:val="1F4D78"/>
                <w:sz w:val="17"/>
                <w:shd w:fill="EEF1F4"/>
              </w:rPr>
              <w:t>reviewed_at_utc</w:t>
            </w:r>
          </w:p>
        </w:tc>
        <w:tc>
          <w:tcPr>
            <w:tcW w:type="dxa" w:w="5256"/>
            <w:tcMar>
              <w:top w:w="80" w:type="dxa"/>
              <w:bottom w:w="80" w:type="dxa"/>
              <w:start w:w="120" w:type="dxa"/>
              <w:end w:w="120" w:type="dxa"/>
            </w:tcMar>
            <w:vAlign w:val="center"/>
          </w:tcPr>
          <w:p>
            <w:pPr>
              <w:spacing w:before="0" w:after="0" w:line="269" w:lineRule="auto"/>
              <w:jc w:val="center"/>
            </w:pPr>
            <w:r/>
            <w:r>
              <w:rPr>
                <w:rFonts w:ascii="Calibri" w:hAnsi="Calibri"/>
                <w:color w:val="222222"/>
                <w:sz w:val="18"/>
              </w:rPr>
              <w:t>ISO 8601 timestamp</w:t>
            </w:r>
          </w:p>
        </w:tc>
      </w:tr>
      <w:tr>
        <w:trPr>
          <w:cantSplit w:val="true"/>
        </w:trPr>
        <w:tc>
          <w:tcPr>
            <w:tcW w:type="dxa" w:w="4104"/>
            <w:tcMar>
              <w:top w:w="80" w:type="dxa"/>
              <w:bottom w:w="80" w:type="dxa"/>
              <w:start w:w="120" w:type="dxa"/>
              <w:end w:w="120" w:type="dxa"/>
            </w:tcMar>
            <w:vAlign w:val="center"/>
          </w:tcPr>
          <w:p>
            <w:pPr>
              <w:spacing w:before="0" w:after="0" w:line="269" w:lineRule="auto"/>
              <w:jc w:val="left"/>
            </w:pPr>
            <w:r/>
            <w:r>
              <w:rPr>
                <w:rFonts w:ascii="Consolas" w:hAnsi="Consolas"/>
                <w:color w:val="1F4D78"/>
                <w:sz w:val="17"/>
                <w:shd w:fill="EEF1F4"/>
              </w:rPr>
              <w:t>eligible_exact_name_overlap</w:t>
            </w:r>
          </w:p>
        </w:tc>
        <w:tc>
          <w:tcPr>
            <w:tcW w:type="dxa" w:w="5256"/>
            <w:tcMar>
              <w:top w:w="80" w:type="dxa"/>
              <w:bottom w:w="80" w:type="dxa"/>
              <w:start w:w="120" w:type="dxa"/>
              <w:end w:w="120" w:type="dxa"/>
            </w:tcMar>
            <w:vAlign w:val="center"/>
          </w:tcPr>
          <w:p>
            <w:pPr>
              <w:spacing w:before="0" w:after="0" w:line="269" w:lineRule="auto"/>
              <w:jc w:val="left"/>
            </w:pPr>
            <w:r/>
            <w:r>
              <w:rPr>
                <w:rFonts w:ascii="Consolas" w:hAnsi="Consolas"/>
                <w:color w:val="1F4D78"/>
                <w:sz w:val="17"/>
                <w:shd w:fill="EEF1F4"/>
              </w:rPr>
              <w:t>yes</w:t>
            </w:r>
            <w:r>
              <w:rPr>
                <w:rFonts w:ascii="Calibri" w:hAnsi="Calibri"/>
                <w:color w:val="222222"/>
                <w:sz w:val="18"/>
              </w:rPr>
              <w:t xml:space="preserve">, </w:t>
            </w:r>
            <w:r>
              <w:rPr>
                <w:rFonts w:ascii="Consolas" w:hAnsi="Consolas"/>
                <w:color w:val="1F4D78"/>
                <w:sz w:val="17"/>
                <w:shd w:fill="EEF1F4"/>
              </w:rPr>
              <w:t>no</w:t>
            </w:r>
            <w:r>
              <w:rPr>
                <w:rFonts w:ascii="Calibri" w:hAnsi="Calibri"/>
                <w:color w:val="222222"/>
                <w:sz w:val="18"/>
              </w:rPr>
              <w:t xml:space="preserve">, or </w:t>
            </w:r>
            <w:r>
              <w:rPr>
                <w:rFonts w:ascii="Consolas" w:hAnsi="Consolas"/>
                <w:color w:val="1F4D78"/>
                <w:sz w:val="17"/>
                <w:shd w:fill="EEF1F4"/>
              </w:rPr>
              <w:t>review</w:t>
            </w:r>
          </w:p>
        </w:tc>
      </w:tr>
      <w:tr>
        <w:trPr>
          <w:cantSplit w:val="true"/>
        </w:trPr>
        <w:tc>
          <w:tcPr>
            <w:tcW w:type="dxa" w:w="4104"/>
            <w:tcMar>
              <w:top w:w="80" w:type="dxa"/>
              <w:bottom w:w="80" w:type="dxa"/>
              <w:start w:w="120" w:type="dxa"/>
              <w:end w:w="120" w:type="dxa"/>
            </w:tcMar>
            <w:vAlign w:val="center"/>
          </w:tcPr>
          <w:p>
            <w:pPr>
              <w:spacing w:before="0" w:after="0" w:line="269" w:lineRule="auto"/>
              <w:jc w:val="left"/>
            </w:pPr>
            <w:r/>
            <w:r>
              <w:rPr>
                <w:rFonts w:ascii="Consolas" w:hAnsi="Consolas"/>
                <w:color w:val="1F4D78"/>
                <w:sz w:val="17"/>
                <w:shd w:fill="EEF1F4"/>
              </w:rPr>
              <w:t>eligible_class_summary</w:t>
            </w:r>
          </w:p>
        </w:tc>
        <w:tc>
          <w:tcPr>
            <w:tcW w:type="dxa" w:w="5256"/>
            <w:tcMar>
              <w:top w:w="80" w:type="dxa"/>
              <w:bottom w:w="80" w:type="dxa"/>
              <w:start w:w="120" w:type="dxa"/>
              <w:end w:w="120" w:type="dxa"/>
            </w:tcMar>
            <w:vAlign w:val="center"/>
          </w:tcPr>
          <w:p>
            <w:pPr>
              <w:spacing w:before="0" w:after="0" w:line="269" w:lineRule="auto"/>
              <w:jc w:val="left"/>
            </w:pPr>
            <w:r/>
            <w:r>
              <w:rPr>
                <w:rFonts w:ascii="Consolas" w:hAnsi="Consolas"/>
                <w:color w:val="1F4D78"/>
                <w:sz w:val="17"/>
                <w:shd w:fill="EEF1F4"/>
              </w:rPr>
              <w:t>yes</w:t>
            </w:r>
            <w:r>
              <w:rPr>
                <w:rFonts w:ascii="Calibri" w:hAnsi="Calibri"/>
                <w:color w:val="222222"/>
                <w:sz w:val="18"/>
              </w:rPr>
              <w:t xml:space="preserve">, </w:t>
            </w:r>
            <w:r>
              <w:rPr>
                <w:rFonts w:ascii="Consolas" w:hAnsi="Consolas"/>
                <w:color w:val="1F4D78"/>
                <w:sz w:val="17"/>
                <w:shd w:fill="EEF1F4"/>
              </w:rPr>
              <w:t>no</w:t>
            </w:r>
            <w:r>
              <w:rPr>
                <w:rFonts w:ascii="Calibri" w:hAnsi="Calibri"/>
                <w:color w:val="222222"/>
                <w:sz w:val="18"/>
              </w:rPr>
              <w:t xml:space="preserve">, or </w:t>
            </w:r>
            <w:r>
              <w:rPr>
                <w:rFonts w:ascii="Consolas" w:hAnsi="Consolas"/>
                <w:color w:val="1F4D78"/>
                <w:sz w:val="17"/>
                <w:shd w:fill="EEF1F4"/>
              </w:rPr>
              <w:t>review</w:t>
            </w:r>
          </w:p>
        </w:tc>
      </w:tr>
      <w:tr>
        <w:trPr>
          <w:cantSplit w:val="true"/>
        </w:trPr>
        <w:tc>
          <w:tcPr>
            <w:tcW w:type="dxa" w:w="4104"/>
            <w:tcMar>
              <w:top w:w="80" w:type="dxa"/>
              <w:bottom w:w="80" w:type="dxa"/>
              <w:start w:w="120" w:type="dxa"/>
              <w:end w:w="120" w:type="dxa"/>
            </w:tcMar>
            <w:vAlign w:val="center"/>
          </w:tcPr>
          <w:p>
            <w:pPr>
              <w:spacing w:before="0" w:after="0" w:line="269" w:lineRule="auto"/>
              <w:jc w:val="left"/>
            </w:pPr>
            <w:r/>
            <w:r>
              <w:rPr>
                <w:rFonts w:ascii="Consolas" w:hAnsi="Consolas"/>
                <w:color w:val="1F4D78"/>
                <w:sz w:val="17"/>
                <w:shd w:fill="EEF1F4"/>
              </w:rPr>
              <w:t>eligible_within_study_quantitative</w:t>
            </w:r>
          </w:p>
        </w:tc>
        <w:tc>
          <w:tcPr>
            <w:tcW w:type="dxa" w:w="5256"/>
            <w:tcMar>
              <w:top w:w="80" w:type="dxa"/>
              <w:bottom w:w="80" w:type="dxa"/>
              <w:start w:w="120" w:type="dxa"/>
              <w:end w:w="120" w:type="dxa"/>
            </w:tcMar>
            <w:vAlign w:val="center"/>
          </w:tcPr>
          <w:p>
            <w:pPr>
              <w:spacing w:before="0" w:after="0" w:line="269" w:lineRule="auto"/>
              <w:jc w:val="left"/>
            </w:pPr>
            <w:r/>
            <w:r>
              <w:rPr>
                <w:rFonts w:ascii="Consolas" w:hAnsi="Consolas"/>
                <w:color w:val="1F4D78"/>
                <w:sz w:val="17"/>
                <w:shd w:fill="EEF1F4"/>
              </w:rPr>
              <w:t>yes</w:t>
            </w:r>
            <w:r>
              <w:rPr>
                <w:rFonts w:ascii="Calibri" w:hAnsi="Calibri"/>
                <w:color w:val="222222"/>
                <w:sz w:val="18"/>
              </w:rPr>
              <w:t xml:space="preserve">, </w:t>
            </w:r>
            <w:r>
              <w:rPr>
                <w:rFonts w:ascii="Consolas" w:hAnsi="Consolas"/>
                <w:color w:val="1F4D78"/>
                <w:sz w:val="17"/>
                <w:shd w:fill="EEF1F4"/>
              </w:rPr>
              <w:t>no</w:t>
            </w:r>
            <w:r>
              <w:rPr>
                <w:rFonts w:ascii="Calibri" w:hAnsi="Calibri"/>
                <w:color w:val="222222"/>
                <w:sz w:val="18"/>
              </w:rPr>
              <w:t xml:space="preserve">, or </w:t>
            </w:r>
            <w:r>
              <w:rPr>
                <w:rFonts w:ascii="Consolas" w:hAnsi="Consolas"/>
                <w:color w:val="1F4D78"/>
                <w:sz w:val="17"/>
                <w:shd w:fill="EEF1F4"/>
              </w:rPr>
              <w:t>review</w:t>
            </w:r>
          </w:p>
        </w:tc>
      </w:tr>
      <w:tr>
        <w:trPr>
          <w:cantSplit w:val="true"/>
        </w:trPr>
        <w:tc>
          <w:tcPr>
            <w:tcW w:type="dxa" w:w="4104"/>
            <w:tcMar>
              <w:top w:w="80" w:type="dxa"/>
              <w:bottom w:w="80" w:type="dxa"/>
              <w:start w:w="120" w:type="dxa"/>
              <w:end w:w="120" w:type="dxa"/>
            </w:tcMar>
            <w:vAlign w:val="center"/>
          </w:tcPr>
          <w:p>
            <w:pPr>
              <w:spacing w:before="0" w:after="0" w:line="269" w:lineRule="auto"/>
              <w:jc w:val="left"/>
            </w:pPr>
            <w:r/>
            <w:r>
              <w:rPr>
                <w:rFonts w:ascii="Consolas" w:hAnsi="Consolas"/>
                <w:color w:val="1F4D78"/>
                <w:sz w:val="17"/>
                <w:shd w:fill="EEF1F4"/>
              </w:rPr>
              <w:t>eligible_cross_study_quantitative</w:t>
            </w:r>
          </w:p>
        </w:tc>
        <w:tc>
          <w:tcPr>
            <w:tcW w:type="dxa" w:w="5256"/>
            <w:tcMar>
              <w:top w:w="80" w:type="dxa"/>
              <w:bottom w:w="80" w:type="dxa"/>
              <w:start w:w="120" w:type="dxa"/>
              <w:end w:w="120" w:type="dxa"/>
            </w:tcMar>
            <w:vAlign w:val="center"/>
          </w:tcPr>
          <w:p>
            <w:pPr>
              <w:spacing w:before="0" w:after="0" w:line="269" w:lineRule="auto"/>
              <w:jc w:val="left"/>
            </w:pPr>
            <w:r/>
            <w:r>
              <w:rPr>
                <w:rFonts w:ascii="Consolas" w:hAnsi="Consolas"/>
                <w:color w:val="1F4D78"/>
                <w:sz w:val="17"/>
                <w:shd w:fill="EEF1F4"/>
              </w:rPr>
              <w:t>no</w:t>
            </w:r>
            <w:r>
              <w:rPr>
                <w:rFonts w:ascii="Calibri" w:hAnsi="Calibri"/>
                <w:color w:val="222222"/>
                <w:sz w:val="18"/>
              </w:rPr>
              <w:t xml:space="preserve"> for this module</w:t>
            </w:r>
          </w:p>
        </w:tc>
      </w:tr>
      <w:tr>
        <w:trPr>
          <w:cantSplit w:val="true"/>
        </w:trPr>
        <w:tc>
          <w:tcPr>
            <w:tcW w:type="dxa" w:w="4104"/>
            <w:tcMar>
              <w:top w:w="80" w:type="dxa"/>
              <w:bottom w:w="80" w:type="dxa"/>
              <w:start w:w="120" w:type="dxa"/>
              <w:end w:w="120" w:type="dxa"/>
            </w:tcMar>
            <w:vAlign w:val="center"/>
          </w:tcPr>
          <w:p>
            <w:pPr>
              <w:spacing w:before="0" w:after="0" w:line="269" w:lineRule="auto"/>
              <w:jc w:val="left"/>
            </w:pPr>
            <w:r/>
            <w:r>
              <w:rPr>
                <w:rFonts w:ascii="Consolas" w:hAnsi="Consolas"/>
                <w:color w:val="1F4D78"/>
                <w:sz w:val="17"/>
                <w:shd w:fill="EEF1F4"/>
              </w:rPr>
              <w:t>exclusion_reason</w:t>
            </w:r>
          </w:p>
        </w:tc>
        <w:tc>
          <w:tcPr>
            <w:tcW w:type="dxa" w:w="5256"/>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 xml:space="preserve">Required when an eligibility field is </w:t>
            </w:r>
            <w:r>
              <w:rPr>
                <w:rFonts w:ascii="Consolas" w:hAnsi="Consolas"/>
                <w:color w:val="1F4D78"/>
                <w:sz w:val="17"/>
                <w:shd w:fill="EEF1F4"/>
              </w:rPr>
              <w:t>no</w:t>
            </w:r>
          </w:p>
        </w:tc>
      </w:tr>
      <w:tr>
        <w:trPr>
          <w:cantSplit w:val="true"/>
        </w:trPr>
        <w:tc>
          <w:tcPr>
            <w:tcW w:type="dxa" w:w="4104"/>
            <w:tcMar>
              <w:top w:w="80" w:type="dxa"/>
              <w:bottom w:w="80" w:type="dxa"/>
              <w:start w:w="120" w:type="dxa"/>
              <w:end w:w="120" w:type="dxa"/>
            </w:tcMar>
            <w:vAlign w:val="center"/>
          </w:tcPr>
          <w:p>
            <w:pPr>
              <w:spacing w:before="0" w:after="0" w:line="269" w:lineRule="auto"/>
              <w:jc w:val="left"/>
            </w:pPr>
            <w:r/>
            <w:r>
              <w:rPr>
                <w:rFonts w:ascii="Consolas" w:hAnsi="Consolas"/>
                <w:color w:val="1F4D78"/>
                <w:sz w:val="17"/>
                <w:shd w:fill="EEF1F4"/>
              </w:rPr>
              <w:t>decision_log</w:t>
            </w:r>
          </w:p>
        </w:tc>
        <w:tc>
          <w:tcPr>
            <w:tcW w:type="dxa" w:w="5256"/>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Append-only note for changes</w:t>
            </w:r>
          </w:p>
        </w:tc>
      </w:tr>
    </w:tbl>
    <w:p>
      <w:pPr>
        <w:spacing w:before="0" w:after="40"/>
      </w:pPr>
    </w:p>
    <w:p>
      <w:pPr>
        <w:pStyle w:val="Heading3"/>
      </w:pPr>
      <w:r>
        <w:rPr>
          <w:rFonts w:ascii="Calibri" w:hAnsi="Calibri"/>
          <w:color w:val="222222"/>
        </w:rPr>
        <w:t>Blank working rows</w:t>
      </w:r>
    </w:p>
    <w:p>
      <w:r>
        <w:rPr>
          <w:rFonts w:ascii="Calibri" w:hAnsi="Calibri"/>
          <w:color w:val="222222"/>
        </w:rPr>
        <w:t>For the timed lesson, complete three rows: one retained shared name, one isotope-labeled or internal-standard exclusion, and one ambiguous or unmapped example. For a full project audit, complete at least 12 rows (six per study) and include a lipid when present.</w:t>
      </w:r>
    </w:p>
    <w:tbl>
      <w:tblPr>
        <w:tblStyle w:val="TableGrid"/>
        <w:tblW w:type="dxa" w:w="9360"/>
        <w:jc w:val="left"/>
        <w:tblLayout w:type="fixed"/>
        <w:tblLook w:firstColumn="1" w:firstRow="1" w:lastColumn="0" w:lastRow="0" w:noHBand="0" w:noVBand="1" w:val="04A0"/>
        <w:tblInd w:w="120" w:type="dxa"/>
      </w:tblPr>
      <w:tblGrid>
        <w:gridCol w:w="660"/>
        <w:gridCol w:w="700"/>
        <w:gridCol w:w="710"/>
        <w:gridCol w:w="820"/>
        <w:gridCol w:w="780"/>
        <w:gridCol w:w="690"/>
        <w:gridCol w:w="700"/>
        <w:gridCol w:w="660"/>
        <w:gridCol w:w="730"/>
        <w:gridCol w:w="730"/>
        <w:gridCol w:w="720"/>
        <w:gridCol w:w="710"/>
        <w:gridCol w:w="750"/>
      </w:tblGrid>
      <w:tr>
        <w:trPr>
          <w:cantSplit w:val="true"/>
          <w:tblHeader w:val="true"/>
        </w:trPr>
        <w:tc>
          <w:tcPr>
            <w:tcW w:type="dxa" w:w="660"/>
            <w:tcMar>
              <w:top w:w="80" w:type="dxa"/>
              <w:bottom w:w="80" w:type="dxa"/>
              <w:start w:w="120" w:type="dxa"/>
              <w:end w:w="120" w:type="dxa"/>
            </w:tcMar>
            <w:vAlign w:val="center"/>
            <w:shd w:fill="E8EEF5"/>
          </w:tcPr>
          <w:p>
            <w:pPr>
              <w:spacing w:before="0" w:after="0" w:line="269" w:lineRule="auto"/>
              <w:jc w:val="left"/>
            </w:pPr>
            <w:r>
              <w:rPr>
                <w:b/>
                <w:color w:val="203748"/>
              </w:rPr>
            </w:r>
            <w:r>
              <w:rPr>
                <w:rFonts w:ascii="Calibri" w:hAnsi="Calibri"/>
                <w:b/>
                <w:color w:val="203748"/>
                <w:sz w:val="15"/>
              </w:rPr>
              <w:t>row_id</w:t>
            </w:r>
          </w:p>
        </w:tc>
        <w:tc>
          <w:tcPr>
            <w:tcW w:type="dxa" w:w="700"/>
            <w:tcMar>
              <w:top w:w="80" w:type="dxa"/>
              <w:bottom w:w="80" w:type="dxa"/>
              <w:start w:w="120" w:type="dxa"/>
              <w:end w:w="120" w:type="dxa"/>
            </w:tcMar>
            <w:vAlign w:val="center"/>
            <w:shd w:fill="E8EEF5"/>
          </w:tcPr>
          <w:p>
            <w:pPr>
              <w:spacing w:before="0" w:after="0" w:line="269" w:lineRule="auto"/>
              <w:jc w:val="center"/>
            </w:pPr>
            <w:r>
              <w:rPr>
                <w:b/>
                <w:color w:val="203748"/>
              </w:rPr>
            </w:r>
            <w:r>
              <w:rPr>
                <w:rFonts w:ascii="Calibri" w:hAnsi="Calibri"/>
                <w:b/>
                <w:color w:val="203748"/>
                <w:sz w:val="15"/>
              </w:rPr>
              <w:t>config_key</w:t>
            </w:r>
          </w:p>
        </w:tc>
        <w:tc>
          <w:tcPr>
            <w:tcW w:type="dxa" w:w="710"/>
            <w:tcMar>
              <w:top w:w="80" w:type="dxa"/>
              <w:bottom w:w="80" w:type="dxa"/>
              <w:start w:w="120" w:type="dxa"/>
              <w:end w:w="120" w:type="dxa"/>
            </w:tcMar>
            <w:vAlign w:val="center"/>
            <w:shd w:fill="E8EEF5"/>
          </w:tcPr>
          <w:p>
            <w:pPr>
              <w:spacing w:before="0" w:after="0" w:line="269" w:lineRule="auto"/>
              <w:jc w:val="center"/>
            </w:pPr>
            <w:r>
              <w:rPr>
                <w:b/>
                <w:color w:val="203748"/>
              </w:rPr>
            </w:r>
            <w:r>
              <w:rPr>
                <w:rFonts w:ascii="Calibri" w:hAnsi="Calibri"/>
                <w:b/>
                <w:color w:val="203748"/>
                <w:sz w:val="15"/>
              </w:rPr>
              <w:t>analysis_id</w:t>
            </w:r>
          </w:p>
        </w:tc>
        <w:tc>
          <w:tcPr>
            <w:tcW w:type="dxa" w:w="820"/>
            <w:tcMar>
              <w:top w:w="80" w:type="dxa"/>
              <w:bottom w:w="80" w:type="dxa"/>
              <w:start w:w="120" w:type="dxa"/>
              <w:end w:w="120" w:type="dxa"/>
            </w:tcMar>
            <w:vAlign w:val="center"/>
            <w:shd w:fill="E8EEF5"/>
          </w:tcPr>
          <w:p>
            <w:pPr>
              <w:spacing w:before="0" w:after="0" w:line="269" w:lineRule="auto"/>
              <w:jc w:val="left"/>
            </w:pPr>
            <w:r>
              <w:rPr>
                <w:b/>
                <w:color w:val="203748"/>
              </w:rPr>
            </w:r>
            <w:r>
              <w:rPr>
                <w:rFonts w:ascii="Calibri" w:hAnsi="Calibri"/>
                <w:b/>
                <w:color w:val="203748"/>
                <w:sz w:val="15"/>
              </w:rPr>
              <w:t>source_metabolite_name</w:t>
            </w:r>
          </w:p>
        </w:tc>
        <w:tc>
          <w:tcPr>
            <w:tcW w:type="dxa" w:w="780"/>
            <w:tcMar>
              <w:top w:w="80" w:type="dxa"/>
              <w:bottom w:w="80" w:type="dxa"/>
              <w:start w:w="120" w:type="dxa"/>
              <w:end w:w="120" w:type="dxa"/>
            </w:tcMar>
            <w:vAlign w:val="center"/>
            <w:shd w:fill="E8EEF5"/>
          </w:tcPr>
          <w:p>
            <w:pPr>
              <w:spacing w:before="0" w:after="0" w:line="269" w:lineRule="auto"/>
              <w:jc w:val="center"/>
            </w:pPr>
            <w:r>
              <w:rPr>
                <w:b/>
                <w:color w:val="203748"/>
              </w:rPr>
            </w:r>
            <w:r>
              <w:rPr>
                <w:rFonts w:ascii="Calibri" w:hAnsi="Calibri"/>
                <w:b/>
                <w:color w:val="203748"/>
                <w:sz w:val="15"/>
              </w:rPr>
              <w:t>source_refmet_name</w:t>
            </w:r>
          </w:p>
        </w:tc>
        <w:tc>
          <w:tcPr>
            <w:tcW w:type="dxa" w:w="690"/>
            <w:tcMar>
              <w:top w:w="80" w:type="dxa"/>
              <w:bottom w:w="80" w:type="dxa"/>
              <w:start w:w="120" w:type="dxa"/>
              <w:end w:w="120" w:type="dxa"/>
            </w:tcMar>
            <w:vAlign w:val="center"/>
            <w:shd w:fill="E8EEF5"/>
          </w:tcPr>
          <w:p>
            <w:pPr>
              <w:spacing w:before="0" w:after="0" w:line="269" w:lineRule="auto"/>
              <w:jc w:val="center"/>
            </w:pPr>
            <w:r>
              <w:rPr>
                <w:b/>
                <w:color w:val="203748"/>
              </w:rPr>
            </w:r>
            <w:r>
              <w:rPr>
                <w:rFonts w:ascii="Calibri" w:hAnsi="Calibri"/>
                <w:b/>
                <w:color w:val="203748"/>
                <w:sz w:val="15"/>
              </w:rPr>
              <w:t>candidate</w:t>
            </w:r>
          </w:p>
        </w:tc>
        <w:tc>
          <w:tcPr>
            <w:tcW w:type="dxa" w:w="700"/>
            <w:tcMar>
              <w:top w:w="80" w:type="dxa"/>
              <w:bottom w:w="80" w:type="dxa"/>
              <w:start w:w="120" w:type="dxa"/>
              <w:end w:w="120" w:type="dxa"/>
            </w:tcMar>
            <w:vAlign w:val="center"/>
            <w:shd w:fill="E8EEF5"/>
          </w:tcPr>
          <w:p>
            <w:pPr>
              <w:spacing w:before="0" w:after="0" w:line="269" w:lineRule="auto"/>
              <w:jc w:val="center"/>
            </w:pPr>
            <w:r>
              <w:rPr>
                <w:b/>
                <w:color w:val="203748"/>
              </w:rPr>
            </w:r>
            <w:r>
              <w:rPr>
                <w:rFonts w:ascii="Calibri" w:hAnsi="Calibri"/>
                <w:b/>
                <w:color w:val="203748"/>
                <w:sz w:val="15"/>
              </w:rPr>
              <w:t>resolution</w:t>
            </w:r>
          </w:p>
        </w:tc>
        <w:tc>
          <w:tcPr>
            <w:tcW w:type="dxa" w:w="660"/>
            <w:tcMar>
              <w:top w:w="80" w:type="dxa"/>
              <w:bottom w:w="80" w:type="dxa"/>
              <w:start w:w="120" w:type="dxa"/>
              <w:end w:w="120" w:type="dxa"/>
            </w:tcMar>
            <w:vAlign w:val="center"/>
            <w:shd w:fill="E8EEF5"/>
          </w:tcPr>
          <w:p>
            <w:pPr>
              <w:spacing w:before="0" w:after="0" w:line="269" w:lineRule="auto"/>
              <w:jc w:val="center"/>
            </w:pPr>
            <w:r>
              <w:rPr>
                <w:b/>
                <w:color w:val="203748"/>
              </w:rPr>
            </w:r>
            <w:r>
              <w:rPr>
                <w:rFonts w:ascii="Calibri" w:hAnsi="Calibri"/>
                <w:b/>
                <w:color w:val="203748"/>
                <w:sz w:val="15"/>
              </w:rPr>
              <w:t>status</w:t>
            </w:r>
          </w:p>
        </w:tc>
        <w:tc>
          <w:tcPr>
            <w:tcW w:type="dxa" w:w="730"/>
            <w:tcMar>
              <w:top w:w="80" w:type="dxa"/>
              <w:bottom w:w="80" w:type="dxa"/>
              <w:start w:w="120" w:type="dxa"/>
              <w:end w:w="120" w:type="dxa"/>
            </w:tcMar>
            <w:vAlign w:val="center"/>
            <w:shd w:fill="E8EEF5"/>
          </w:tcPr>
          <w:p>
            <w:pPr>
              <w:spacing w:before="0" w:after="0" w:line="269" w:lineRule="auto"/>
              <w:jc w:val="center"/>
            </w:pPr>
            <w:r>
              <w:rPr>
                <w:b/>
                <w:color w:val="203748"/>
              </w:rPr>
            </w:r>
            <w:r>
              <w:rPr>
                <w:rFonts w:ascii="Calibri" w:hAnsi="Calibri"/>
                <w:b/>
                <w:color w:val="203748"/>
                <w:sz w:val="15"/>
              </w:rPr>
              <w:t>exact overlap</w:t>
            </w:r>
          </w:p>
        </w:tc>
        <w:tc>
          <w:tcPr>
            <w:tcW w:type="dxa" w:w="730"/>
            <w:tcMar>
              <w:top w:w="80" w:type="dxa"/>
              <w:bottom w:w="80" w:type="dxa"/>
              <w:start w:w="120" w:type="dxa"/>
              <w:end w:w="120" w:type="dxa"/>
            </w:tcMar>
            <w:vAlign w:val="center"/>
            <w:shd w:fill="E8EEF5"/>
          </w:tcPr>
          <w:p>
            <w:pPr>
              <w:spacing w:before="0" w:after="0" w:line="269" w:lineRule="auto"/>
              <w:jc w:val="center"/>
            </w:pPr>
            <w:r>
              <w:rPr>
                <w:b/>
                <w:color w:val="203748"/>
              </w:rPr>
            </w:r>
            <w:r>
              <w:rPr>
                <w:rFonts w:ascii="Calibri" w:hAnsi="Calibri"/>
                <w:b/>
                <w:color w:val="203748"/>
                <w:sz w:val="15"/>
              </w:rPr>
              <w:t>class summary</w:t>
            </w:r>
          </w:p>
        </w:tc>
        <w:tc>
          <w:tcPr>
            <w:tcW w:type="dxa" w:w="720"/>
            <w:tcMar>
              <w:top w:w="80" w:type="dxa"/>
              <w:bottom w:w="80" w:type="dxa"/>
              <w:start w:w="120" w:type="dxa"/>
              <w:end w:w="120" w:type="dxa"/>
            </w:tcMar>
            <w:vAlign w:val="center"/>
            <w:shd w:fill="E8EEF5"/>
          </w:tcPr>
          <w:p>
            <w:pPr>
              <w:spacing w:before="0" w:after="0" w:line="269" w:lineRule="auto"/>
              <w:jc w:val="center"/>
            </w:pPr>
            <w:r>
              <w:rPr>
                <w:b/>
                <w:color w:val="203748"/>
              </w:rPr>
            </w:r>
            <w:r>
              <w:rPr>
                <w:rFonts w:ascii="Calibri" w:hAnsi="Calibri"/>
                <w:b/>
                <w:color w:val="203748"/>
                <w:sz w:val="15"/>
              </w:rPr>
              <w:t>within-study</w:t>
            </w:r>
          </w:p>
        </w:tc>
        <w:tc>
          <w:tcPr>
            <w:tcW w:type="dxa" w:w="710"/>
            <w:tcMar>
              <w:top w:w="80" w:type="dxa"/>
              <w:bottom w:w="80" w:type="dxa"/>
              <w:start w:w="120" w:type="dxa"/>
              <w:end w:w="120" w:type="dxa"/>
            </w:tcMar>
            <w:vAlign w:val="center"/>
            <w:shd w:fill="E8EEF5"/>
          </w:tcPr>
          <w:p>
            <w:pPr>
              <w:spacing w:before="0" w:after="0" w:line="269" w:lineRule="auto"/>
              <w:jc w:val="center"/>
            </w:pPr>
            <w:r>
              <w:rPr>
                <w:b/>
                <w:color w:val="203748"/>
              </w:rPr>
            </w:r>
            <w:r>
              <w:rPr>
                <w:rFonts w:ascii="Calibri" w:hAnsi="Calibri"/>
                <w:b/>
                <w:color w:val="203748"/>
                <w:sz w:val="15"/>
              </w:rPr>
              <w:t>cross-study</w:t>
            </w:r>
          </w:p>
        </w:tc>
        <w:tc>
          <w:tcPr>
            <w:tcW w:type="dxa" w:w="750"/>
            <w:tcMar>
              <w:top w:w="80" w:type="dxa"/>
              <w:bottom w:w="80" w:type="dxa"/>
              <w:start w:w="120" w:type="dxa"/>
              <w:end w:w="120" w:type="dxa"/>
            </w:tcMar>
            <w:vAlign w:val="center"/>
            <w:shd w:fill="E8EEF5"/>
          </w:tcPr>
          <w:p>
            <w:pPr>
              <w:spacing w:before="0" w:after="0" w:line="269" w:lineRule="auto"/>
              <w:jc w:val="center"/>
            </w:pPr>
            <w:r>
              <w:rPr>
                <w:b/>
                <w:color w:val="203748"/>
              </w:rPr>
            </w:r>
            <w:r>
              <w:rPr>
                <w:rFonts w:ascii="Calibri" w:hAnsi="Calibri"/>
                <w:b/>
                <w:color w:val="203748"/>
                <w:sz w:val="15"/>
              </w:rPr>
              <w:t>decision reason</w:t>
            </w:r>
          </w:p>
        </w:tc>
      </w:tr>
      <w:tr>
        <w:trPr>
          <w:cantSplit w:val="true"/>
        </w:trPr>
        <w:tc>
          <w:tcPr>
            <w:tcW w:type="dxa" w:w="660"/>
            <w:tcMar>
              <w:top w:w="80" w:type="dxa"/>
              <w:bottom w:w="80" w:type="dxa"/>
              <w:start w:w="120" w:type="dxa"/>
              <w:end w:w="120" w:type="dxa"/>
            </w:tcMar>
            <w:vAlign w:val="center"/>
          </w:tcPr>
          <w:p>
            <w:pPr>
              <w:spacing w:before="0" w:after="0" w:line="269" w:lineRule="auto"/>
              <w:jc w:val="left"/>
            </w:pPr>
            <w:r/>
            <w:r>
              <w:rPr>
                <w:rFonts w:ascii="Calibri" w:hAnsi="Calibri"/>
                <w:color w:val="222222"/>
                <w:sz w:val="15"/>
              </w:rPr>
              <w:t>M001</w:t>
            </w:r>
          </w:p>
        </w:tc>
        <w:tc>
          <w:tcPr>
            <w:tcW w:type="dxa" w:w="700"/>
            <w:tcMar>
              <w:top w:w="80" w:type="dxa"/>
              <w:bottom w:w="80" w:type="dxa"/>
              <w:start w:w="120" w:type="dxa"/>
              <w:end w:w="120" w:type="dxa"/>
            </w:tcMar>
            <w:vAlign w:val="center"/>
          </w:tcPr>
          <w:p>
            <w:pPr>
              <w:spacing w:before="0" w:after="0" w:line="269" w:lineRule="auto"/>
              <w:jc w:val="center"/>
            </w:pPr>
            <w:r/>
          </w:p>
        </w:tc>
        <w:tc>
          <w:tcPr>
            <w:tcW w:type="dxa" w:w="710"/>
            <w:tcMar>
              <w:top w:w="80" w:type="dxa"/>
              <w:bottom w:w="80" w:type="dxa"/>
              <w:start w:w="120" w:type="dxa"/>
              <w:end w:w="120" w:type="dxa"/>
            </w:tcMar>
            <w:vAlign w:val="center"/>
          </w:tcPr>
          <w:p>
            <w:pPr>
              <w:spacing w:before="0" w:after="0" w:line="269" w:lineRule="auto"/>
              <w:jc w:val="center"/>
            </w:pPr>
            <w:r/>
          </w:p>
        </w:tc>
        <w:tc>
          <w:tcPr>
            <w:tcW w:type="dxa" w:w="820"/>
            <w:tcMar>
              <w:top w:w="80" w:type="dxa"/>
              <w:bottom w:w="80" w:type="dxa"/>
              <w:start w:w="120" w:type="dxa"/>
              <w:end w:w="120" w:type="dxa"/>
            </w:tcMar>
            <w:vAlign w:val="center"/>
          </w:tcPr>
          <w:p>
            <w:pPr>
              <w:spacing w:before="0" w:after="0" w:line="269" w:lineRule="auto"/>
              <w:jc w:val="center"/>
            </w:pPr>
            <w:r/>
          </w:p>
        </w:tc>
        <w:tc>
          <w:tcPr>
            <w:tcW w:type="dxa" w:w="780"/>
            <w:tcMar>
              <w:top w:w="80" w:type="dxa"/>
              <w:bottom w:w="80" w:type="dxa"/>
              <w:start w:w="120" w:type="dxa"/>
              <w:end w:w="120" w:type="dxa"/>
            </w:tcMar>
            <w:vAlign w:val="center"/>
          </w:tcPr>
          <w:p>
            <w:pPr>
              <w:spacing w:before="0" w:after="0" w:line="269" w:lineRule="auto"/>
              <w:jc w:val="center"/>
            </w:pPr>
            <w:r/>
          </w:p>
        </w:tc>
        <w:tc>
          <w:tcPr>
            <w:tcW w:type="dxa" w:w="690"/>
            <w:tcMar>
              <w:top w:w="80" w:type="dxa"/>
              <w:bottom w:w="80" w:type="dxa"/>
              <w:start w:w="120" w:type="dxa"/>
              <w:end w:w="120" w:type="dxa"/>
            </w:tcMar>
            <w:vAlign w:val="center"/>
          </w:tcPr>
          <w:p>
            <w:pPr>
              <w:spacing w:before="0" w:after="0" w:line="269" w:lineRule="auto"/>
              <w:jc w:val="center"/>
            </w:pPr>
            <w:r/>
          </w:p>
        </w:tc>
        <w:tc>
          <w:tcPr>
            <w:tcW w:type="dxa" w:w="700"/>
            <w:tcMar>
              <w:top w:w="80" w:type="dxa"/>
              <w:bottom w:w="80" w:type="dxa"/>
              <w:start w:w="120" w:type="dxa"/>
              <w:end w:w="120" w:type="dxa"/>
            </w:tcMar>
            <w:vAlign w:val="center"/>
          </w:tcPr>
          <w:p>
            <w:pPr>
              <w:spacing w:before="0" w:after="0" w:line="269" w:lineRule="auto"/>
              <w:jc w:val="center"/>
            </w:pPr>
            <w:r/>
          </w:p>
        </w:tc>
        <w:tc>
          <w:tcPr>
            <w:tcW w:type="dxa" w:w="660"/>
            <w:tcMar>
              <w:top w:w="80" w:type="dxa"/>
              <w:bottom w:w="80" w:type="dxa"/>
              <w:start w:w="120" w:type="dxa"/>
              <w:end w:w="120" w:type="dxa"/>
            </w:tcMar>
            <w:vAlign w:val="center"/>
          </w:tcPr>
          <w:p>
            <w:pPr>
              <w:spacing w:before="0" w:after="0" w:line="269" w:lineRule="auto"/>
              <w:jc w:val="center"/>
            </w:pPr>
            <w:r/>
          </w:p>
        </w:tc>
        <w:tc>
          <w:tcPr>
            <w:tcW w:type="dxa" w:w="730"/>
            <w:tcMar>
              <w:top w:w="80" w:type="dxa"/>
              <w:bottom w:w="80" w:type="dxa"/>
              <w:start w:w="120" w:type="dxa"/>
              <w:end w:w="120" w:type="dxa"/>
            </w:tcMar>
            <w:vAlign w:val="center"/>
          </w:tcPr>
          <w:p>
            <w:pPr>
              <w:spacing w:before="0" w:after="0" w:line="269" w:lineRule="auto"/>
              <w:jc w:val="center"/>
            </w:pPr>
            <w:r/>
          </w:p>
        </w:tc>
        <w:tc>
          <w:tcPr>
            <w:tcW w:type="dxa" w:w="730"/>
            <w:tcMar>
              <w:top w:w="80" w:type="dxa"/>
              <w:bottom w:w="80" w:type="dxa"/>
              <w:start w:w="120" w:type="dxa"/>
              <w:end w:w="120" w:type="dxa"/>
            </w:tcMar>
            <w:vAlign w:val="center"/>
          </w:tcPr>
          <w:p>
            <w:pPr>
              <w:spacing w:before="0" w:after="0" w:line="269" w:lineRule="auto"/>
              <w:jc w:val="center"/>
            </w:pPr>
            <w:r/>
          </w:p>
        </w:tc>
        <w:tc>
          <w:tcPr>
            <w:tcW w:type="dxa" w:w="720"/>
            <w:tcMar>
              <w:top w:w="80" w:type="dxa"/>
              <w:bottom w:w="80" w:type="dxa"/>
              <w:start w:w="120" w:type="dxa"/>
              <w:end w:w="120" w:type="dxa"/>
            </w:tcMar>
            <w:vAlign w:val="center"/>
          </w:tcPr>
          <w:p>
            <w:pPr>
              <w:spacing w:before="0" w:after="0" w:line="269" w:lineRule="auto"/>
              <w:jc w:val="center"/>
            </w:pPr>
            <w:r/>
          </w:p>
        </w:tc>
        <w:tc>
          <w:tcPr>
            <w:tcW w:type="dxa" w:w="710"/>
            <w:tcMar>
              <w:top w:w="80" w:type="dxa"/>
              <w:bottom w:w="80" w:type="dxa"/>
              <w:start w:w="120" w:type="dxa"/>
              <w:end w:w="120" w:type="dxa"/>
            </w:tcMar>
            <w:vAlign w:val="center"/>
          </w:tcPr>
          <w:p>
            <w:pPr>
              <w:spacing w:before="0" w:after="0" w:line="269" w:lineRule="auto"/>
              <w:jc w:val="center"/>
            </w:pPr>
            <w:r/>
            <w:r>
              <w:rPr>
                <w:rFonts w:ascii="Calibri" w:hAnsi="Calibri"/>
                <w:color w:val="222222"/>
                <w:sz w:val="15"/>
              </w:rPr>
              <w:t>no</w:t>
            </w:r>
          </w:p>
        </w:tc>
        <w:tc>
          <w:tcPr>
            <w:tcW w:type="dxa" w:w="750"/>
            <w:tcMar>
              <w:top w:w="80" w:type="dxa"/>
              <w:bottom w:w="80" w:type="dxa"/>
              <w:start w:w="120" w:type="dxa"/>
              <w:end w:w="120" w:type="dxa"/>
            </w:tcMar>
            <w:vAlign w:val="center"/>
          </w:tcPr>
          <w:p>
            <w:pPr>
              <w:spacing w:before="0" w:after="0" w:line="269" w:lineRule="auto"/>
              <w:jc w:val="center"/>
            </w:pPr>
            <w:r/>
          </w:p>
        </w:tc>
      </w:tr>
      <w:tr>
        <w:trPr>
          <w:cantSplit w:val="true"/>
        </w:trPr>
        <w:tc>
          <w:tcPr>
            <w:tcW w:type="dxa" w:w="660"/>
            <w:tcMar>
              <w:top w:w="80" w:type="dxa"/>
              <w:bottom w:w="80" w:type="dxa"/>
              <w:start w:w="120" w:type="dxa"/>
              <w:end w:w="120" w:type="dxa"/>
            </w:tcMar>
            <w:vAlign w:val="center"/>
          </w:tcPr>
          <w:p>
            <w:pPr>
              <w:spacing w:before="0" w:after="0" w:line="269" w:lineRule="auto"/>
              <w:jc w:val="left"/>
            </w:pPr>
            <w:r/>
            <w:r>
              <w:rPr>
                <w:rFonts w:ascii="Calibri" w:hAnsi="Calibri"/>
                <w:color w:val="222222"/>
                <w:sz w:val="15"/>
              </w:rPr>
              <w:t>M002</w:t>
            </w:r>
          </w:p>
        </w:tc>
        <w:tc>
          <w:tcPr>
            <w:tcW w:type="dxa" w:w="700"/>
            <w:tcMar>
              <w:top w:w="80" w:type="dxa"/>
              <w:bottom w:w="80" w:type="dxa"/>
              <w:start w:w="120" w:type="dxa"/>
              <w:end w:w="120" w:type="dxa"/>
            </w:tcMar>
            <w:vAlign w:val="center"/>
          </w:tcPr>
          <w:p>
            <w:pPr>
              <w:spacing w:before="0" w:after="0" w:line="269" w:lineRule="auto"/>
              <w:jc w:val="center"/>
            </w:pPr>
            <w:r/>
          </w:p>
        </w:tc>
        <w:tc>
          <w:tcPr>
            <w:tcW w:type="dxa" w:w="710"/>
            <w:tcMar>
              <w:top w:w="80" w:type="dxa"/>
              <w:bottom w:w="80" w:type="dxa"/>
              <w:start w:w="120" w:type="dxa"/>
              <w:end w:w="120" w:type="dxa"/>
            </w:tcMar>
            <w:vAlign w:val="center"/>
          </w:tcPr>
          <w:p>
            <w:pPr>
              <w:spacing w:before="0" w:after="0" w:line="269" w:lineRule="auto"/>
              <w:jc w:val="center"/>
            </w:pPr>
            <w:r/>
          </w:p>
        </w:tc>
        <w:tc>
          <w:tcPr>
            <w:tcW w:type="dxa" w:w="820"/>
            <w:tcMar>
              <w:top w:w="80" w:type="dxa"/>
              <w:bottom w:w="80" w:type="dxa"/>
              <w:start w:w="120" w:type="dxa"/>
              <w:end w:w="120" w:type="dxa"/>
            </w:tcMar>
            <w:vAlign w:val="center"/>
          </w:tcPr>
          <w:p>
            <w:pPr>
              <w:spacing w:before="0" w:after="0" w:line="269" w:lineRule="auto"/>
              <w:jc w:val="center"/>
            </w:pPr>
            <w:r/>
          </w:p>
        </w:tc>
        <w:tc>
          <w:tcPr>
            <w:tcW w:type="dxa" w:w="780"/>
            <w:tcMar>
              <w:top w:w="80" w:type="dxa"/>
              <w:bottom w:w="80" w:type="dxa"/>
              <w:start w:w="120" w:type="dxa"/>
              <w:end w:w="120" w:type="dxa"/>
            </w:tcMar>
            <w:vAlign w:val="center"/>
          </w:tcPr>
          <w:p>
            <w:pPr>
              <w:spacing w:before="0" w:after="0" w:line="269" w:lineRule="auto"/>
              <w:jc w:val="center"/>
            </w:pPr>
            <w:r/>
          </w:p>
        </w:tc>
        <w:tc>
          <w:tcPr>
            <w:tcW w:type="dxa" w:w="690"/>
            <w:tcMar>
              <w:top w:w="80" w:type="dxa"/>
              <w:bottom w:w="80" w:type="dxa"/>
              <w:start w:w="120" w:type="dxa"/>
              <w:end w:w="120" w:type="dxa"/>
            </w:tcMar>
            <w:vAlign w:val="center"/>
          </w:tcPr>
          <w:p>
            <w:pPr>
              <w:spacing w:before="0" w:after="0" w:line="269" w:lineRule="auto"/>
              <w:jc w:val="center"/>
            </w:pPr>
            <w:r/>
          </w:p>
        </w:tc>
        <w:tc>
          <w:tcPr>
            <w:tcW w:type="dxa" w:w="700"/>
            <w:tcMar>
              <w:top w:w="80" w:type="dxa"/>
              <w:bottom w:w="80" w:type="dxa"/>
              <w:start w:w="120" w:type="dxa"/>
              <w:end w:w="120" w:type="dxa"/>
            </w:tcMar>
            <w:vAlign w:val="center"/>
          </w:tcPr>
          <w:p>
            <w:pPr>
              <w:spacing w:before="0" w:after="0" w:line="269" w:lineRule="auto"/>
              <w:jc w:val="center"/>
            </w:pPr>
            <w:r/>
          </w:p>
        </w:tc>
        <w:tc>
          <w:tcPr>
            <w:tcW w:type="dxa" w:w="660"/>
            <w:tcMar>
              <w:top w:w="80" w:type="dxa"/>
              <w:bottom w:w="80" w:type="dxa"/>
              <w:start w:w="120" w:type="dxa"/>
              <w:end w:w="120" w:type="dxa"/>
            </w:tcMar>
            <w:vAlign w:val="center"/>
          </w:tcPr>
          <w:p>
            <w:pPr>
              <w:spacing w:before="0" w:after="0" w:line="269" w:lineRule="auto"/>
              <w:jc w:val="center"/>
            </w:pPr>
            <w:r/>
          </w:p>
        </w:tc>
        <w:tc>
          <w:tcPr>
            <w:tcW w:type="dxa" w:w="730"/>
            <w:tcMar>
              <w:top w:w="80" w:type="dxa"/>
              <w:bottom w:w="80" w:type="dxa"/>
              <w:start w:w="120" w:type="dxa"/>
              <w:end w:w="120" w:type="dxa"/>
            </w:tcMar>
            <w:vAlign w:val="center"/>
          </w:tcPr>
          <w:p>
            <w:pPr>
              <w:spacing w:before="0" w:after="0" w:line="269" w:lineRule="auto"/>
              <w:jc w:val="center"/>
            </w:pPr>
            <w:r/>
          </w:p>
        </w:tc>
        <w:tc>
          <w:tcPr>
            <w:tcW w:type="dxa" w:w="730"/>
            <w:tcMar>
              <w:top w:w="80" w:type="dxa"/>
              <w:bottom w:w="80" w:type="dxa"/>
              <w:start w:w="120" w:type="dxa"/>
              <w:end w:w="120" w:type="dxa"/>
            </w:tcMar>
            <w:vAlign w:val="center"/>
          </w:tcPr>
          <w:p>
            <w:pPr>
              <w:spacing w:before="0" w:after="0" w:line="269" w:lineRule="auto"/>
              <w:jc w:val="center"/>
            </w:pPr>
            <w:r/>
          </w:p>
        </w:tc>
        <w:tc>
          <w:tcPr>
            <w:tcW w:type="dxa" w:w="720"/>
            <w:tcMar>
              <w:top w:w="80" w:type="dxa"/>
              <w:bottom w:w="80" w:type="dxa"/>
              <w:start w:w="120" w:type="dxa"/>
              <w:end w:w="120" w:type="dxa"/>
            </w:tcMar>
            <w:vAlign w:val="center"/>
          </w:tcPr>
          <w:p>
            <w:pPr>
              <w:spacing w:before="0" w:after="0" w:line="269" w:lineRule="auto"/>
              <w:jc w:val="center"/>
            </w:pPr>
            <w:r/>
          </w:p>
        </w:tc>
        <w:tc>
          <w:tcPr>
            <w:tcW w:type="dxa" w:w="710"/>
            <w:tcMar>
              <w:top w:w="80" w:type="dxa"/>
              <w:bottom w:w="80" w:type="dxa"/>
              <w:start w:w="120" w:type="dxa"/>
              <w:end w:w="120" w:type="dxa"/>
            </w:tcMar>
            <w:vAlign w:val="center"/>
          </w:tcPr>
          <w:p>
            <w:pPr>
              <w:spacing w:before="0" w:after="0" w:line="269" w:lineRule="auto"/>
              <w:jc w:val="center"/>
            </w:pPr>
            <w:r/>
            <w:r>
              <w:rPr>
                <w:rFonts w:ascii="Calibri" w:hAnsi="Calibri"/>
                <w:color w:val="222222"/>
                <w:sz w:val="15"/>
              </w:rPr>
              <w:t>no</w:t>
            </w:r>
          </w:p>
        </w:tc>
        <w:tc>
          <w:tcPr>
            <w:tcW w:type="dxa" w:w="750"/>
            <w:tcMar>
              <w:top w:w="80" w:type="dxa"/>
              <w:bottom w:w="80" w:type="dxa"/>
              <w:start w:w="120" w:type="dxa"/>
              <w:end w:w="120" w:type="dxa"/>
            </w:tcMar>
            <w:vAlign w:val="center"/>
          </w:tcPr>
          <w:p>
            <w:pPr>
              <w:spacing w:before="0" w:after="0" w:line="269" w:lineRule="auto"/>
              <w:jc w:val="center"/>
            </w:pPr>
            <w:r/>
          </w:p>
        </w:tc>
      </w:tr>
      <w:tr>
        <w:trPr>
          <w:cantSplit w:val="true"/>
        </w:trPr>
        <w:tc>
          <w:tcPr>
            <w:tcW w:type="dxa" w:w="660"/>
            <w:tcMar>
              <w:top w:w="80" w:type="dxa"/>
              <w:bottom w:w="80" w:type="dxa"/>
              <w:start w:w="120" w:type="dxa"/>
              <w:end w:w="120" w:type="dxa"/>
            </w:tcMar>
            <w:vAlign w:val="center"/>
          </w:tcPr>
          <w:p>
            <w:pPr>
              <w:spacing w:before="0" w:after="0" w:line="269" w:lineRule="auto"/>
              <w:jc w:val="left"/>
            </w:pPr>
            <w:r/>
            <w:r>
              <w:rPr>
                <w:rFonts w:ascii="Calibri" w:hAnsi="Calibri"/>
                <w:color w:val="222222"/>
                <w:sz w:val="15"/>
              </w:rPr>
              <w:t>M003</w:t>
            </w:r>
          </w:p>
        </w:tc>
        <w:tc>
          <w:tcPr>
            <w:tcW w:type="dxa" w:w="700"/>
            <w:tcMar>
              <w:top w:w="80" w:type="dxa"/>
              <w:bottom w:w="80" w:type="dxa"/>
              <w:start w:w="120" w:type="dxa"/>
              <w:end w:w="120" w:type="dxa"/>
            </w:tcMar>
            <w:vAlign w:val="center"/>
          </w:tcPr>
          <w:p>
            <w:pPr>
              <w:spacing w:before="0" w:after="0" w:line="269" w:lineRule="auto"/>
              <w:jc w:val="center"/>
            </w:pPr>
            <w:r/>
          </w:p>
        </w:tc>
        <w:tc>
          <w:tcPr>
            <w:tcW w:type="dxa" w:w="710"/>
            <w:tcMar>
              <w:top w:w="80" w:type="dxa"/>
              <w:bottom w:w="80" w:type="dxa"/>
              <w:start w:w="120" w:type="dxa"/>
              <w:end w:w="120" w:type="dxa"/>
            </w:tcMar>
            <w:vAlign w:val="center"/>
          </w:tcPr>
          <w:p>
            <w:pPr>
              <w:spacing w:before="0" w:after="0" w:line="269" w:lineRule="auto"/>
              <w:jc w:val="center"/>
            </w:pPr>
            <w:r/>
          </w:p>
        </w:tc>
        <w:tc>
          <w:tcPr>
            <w:tcW w:type="dxa" w:w="820"/>
            <w:tcMar>
              <w:top w:w="80" w:type="dxa"/>
              <w:bottom w:w="80" w:type="dxa"/>
              <w:start w:w="120" w:type="dxa"/>
              <w:end w:w="120" w:type="dxa"/>
            </w:tcMar>
            <w:vAlign w:val="center"/>
          </w:tcPr>
          <w:p>
            <w:pPr>
              <w:spacing w:before="0" w:after="0" w:line="269" w:lineRule="auto"/>
              <w:jc w:val="center"/>
            </w:pPr>
            <w:r/>
          </w:p>
        </w:tc>
        <w:tc>
          <w:tcPr>
            <w:tcW w:type="dxa" w:w="780"/>
            <w:tcMar>
              <w:top w:w="80" w:type="dxa"/>
              <w:bottom w:w="80" w:type="dxa"/>
              <w:start w:w="120" w:type="dxa"/>
              <w:end w:w="120" w:type="dxa"/>
            </w:tcMar>
            <w:vAlign w:val="center"/>
          </w:tcPr>
          <w:p>
            <w:pPr>
              <w:spacing w:before="0" w:after="0" w:line="269" w:lineRule="auto"/>
              <w:jc w:val="center"/>
            </w:pPr>
            <w:r/>
          </w:p>
        </w:tc>
        <w:tc>
          <w:tcPr>
            <w:tcW w:type="dxa" w:w="690"/>
            <w:tcMar>
              <w:top w:w="80" w:type="dxa"/>
              <w:bottom w:w="80" w:type="dxa"/>
              <w:start w:w="120" w:type="dxa"/>
              <w:end w:w="120" w:type="dxa"/>
            </w:tcMar>
            <w:vAlign w:val="center"/>
          </w:tcPr>
          <w:p>
            <w:pPr>
              <w:spacing w:before="0" w:after="0" w:line="269" w:lineRule="auto"/>
              <w:jc w:val="center"/>
            </w:pPr>
            <w:r/>
          </w:p>
        </w:tc>
        <w:tc>
          <w:tcPr>
            <w:tcW w:type="dxa" w:w="700"/>
            <w:tcMar>
              <w:top w:w="80" w:type="dxa"/>
              <w:bottom w:w="80" w:type="dxa"/>
              <w:start w:w="120" w:type="dxa"/>
              <w:end w:w="120" w:type="dxa"/>
            </w:tcMar>
            <w:vAlign w:val="center"/>
          </w:tcPr>
          <w:p>
            <w:pPr>
              <w:spacing w:before="0" w:after="0" w:line="269" w:lineRule="auto"/>
              <w:jc w:val="center"/>
            </w:pPr>
            <w:r/>
          </w:p>
        </w:tc>
        <w:tc>
          <w:tcPr>
            <w:tcW w:type="dxa" w:w="660"/>
            <w:tcMar>
              <w:top w:w="80" w:type="dxa"/>
              <w:bottom w:w="80" w:type="dxa"/>
              <w:start w:w="120" w:type="dxa"/>
              <w:end w:w="120" w:type="dxa"/>
            </w:tcMar>
            <w:vAlign w:val="center"/>
          </w:tcPr>
          <w:p>
            <w:pPr>
              <w:spacing w:before="0" w:after="0" w:line="269" w:lineRule="auto"/>
              <w:jc w:val="center"/>
            </w:pPr>
            <w:r/>
          </w:p>
        </w:tc>
        <w:tc>
          <w:tcPr>
            <w:tcW w:type="dxa" w:w="730"/>
            <w:tcMar>
              <w:top w:w="80" w:type="dxa"/>
              <w:bottom w:w="80" w:type="dxa"/>
              <w:start w:w="120" w:type="dxa"/>
              <w:end w:w="120" w:type="dxa"/>
            </w:tcMar>
            <w:vAlign w:val="center"/>
          </w:tcPr>
          <w:p>
            <w:pPr>
              <w:spacing w:before="0" w:after="0" w:line="269" w:lineRule="auto"/>
              <w:jc w:val="center"/>
            </w:pPr>
            <w:r/>
          </w:p>
        </w:tc>
        <w:tc>
          <w:tcPr>
            <w:tcW w:type="dxa" w:w="730"/>
            <w:tcMar>
              <w:top w:w="80" w:type="dxa"/>
              <w:bottom w:w="80" w:type="dxa"/>
              <w:start w:w="120" w:type="dxa"/>
              <w:end w:w="120" w:type="dxa"/>
            </w:tcMar>
            <w:vAlign w:val="center"/>
          </w:tcPr>
          <w:p>
            <w:pPr>
              <w:spacing w:before="0" w:after="0" w:line="269" w:lineRule="auto"/>
              <w:jc w:val="center"/>
            </w:pPr>
            <w:r/>
          </w:p>
        </w:tc>
        <w:tc>
          <w:tcPr>
            <w:tcW w:type="dxa" w:w="720"/>
            <w:tcMar>
              <w:top w:w="80" w:type="dxa"/>
              <w:bottom w:w="80" w:type="dxa"/>
              <w:start w:w="120" w:type="dxa"/>
              <w:end w:w="120" w:type="dxa"/>
            </w:tcMar>
            <w:vAlign w:val="center"/>
          </w:tcPr>
          <w:p>
            <w:pPr>
              <w:spacing w:before="0" w:after="0" w:line="269" w:lineRule="auto"/>
              <w:jc w:val="center"/>
            </w:pPr>
            <w:r/>
          </w:p>
        </w:tc>
        <w:tc>
          <w:tcPr>
            <w:tcW w:type="dxa" w:w="710"/>
            <w:tcMar>
              <w:top w:w="80" w:type="dxa"/>
              <w:bottom w:w="80" w:type="dxa"/>
              <w:start w:w="120" w:type="dxa"/>
              <w:end w:w="120" w:type="dxa"/>
            </w:tcMar>
            <w:vAlign w:val="center"/>
          </w:tcPr>
          <w:p>
            <w:pPr>
              <w:spacing w:before="0" w:after="0" w:line="269" w:lineRule="auto"/>
              <w:jc w:val="center"/>
            </w:pPr>
            <w:r/>
            <w:r>
              <w:rPr>
                <w:rFonts w:ascii="Calibri" w:hAnsi="Calibri"/>
                <w:color w:val="222222"/>
                <w:sz w:val="15"/>
              </w:rPr>
              <w:t>no</w:t>
            </w:r>
          </w:p>
        </w:tc>
        <w:tc>
          <w:tcPr>
            <w:tcW w:type="dxa" w:w="750"/>
            <w:tcMar>
              <w:top w:w="80" w:type="dxa"/>
              <w:bottom w:w="80" w:type="dxa"/>
              <w:start w:w="120" w:type="dxa"/>
              <w:end w:w="120" w:type="dxa"/>
            </w:tcMar>
            <w:vAlign w:val="center"/>
          </w:tcPr>
          <w:p>
            <w:pPr>
              <w:spacing w:before="0" w:after="0" w:line="269" w:lineRule="auto"/>
              <w:jc w:val="center"/>
            </w:pPr>
            <w:r/>
          </w:p>
        </w:tc>
      </w:tr>
      <w:tr>
        <w:trPr>
          <w:cantSplit w:val="true"/>
        </w:trPr>
        <w:tc>
          <w:tcPr>
            <w:tcW w:type="dxa" w:w="660"/>
            <w:tcMar>
              <w:top w:w="80" w:type="dxa"/>
              <w:bottom w:w="80" w:type="dxa"/>
              <w:start w:w="120" w:type="dxa"/>
              <w:end w:w="120" w:type="dxa"/>
            </w:tcMar>
            <w:vAlign w:val="center"/>
          </w:tcPr>
          <w:p>
            <w:pPr>
              <w:spacing w:before="0" w:after="0" w:line="269" w:lineRule="auto"/>
              <w:jc w:val="left"/>
            </w:pPr>
            <w:r/>
            <w:r>
              <w:rPr>
                <w:rFonts w:ascii="Calibri" w:hAnsi="Calibri"/>
                <w:color w:val="222222"/>
                <w:sz w:val="15"/>
              </w:rPr>
              <w:t>M004</w:t>
            </w:r>
          </w:p>
        </w:tc>
        <w:tc>
          <w:tcPr>
            <w:tcW w:type="dxa" w:w="700"/>
            <w:tcMar>
              <w:top w:w="80" w:type="dxa"/>
              <w:bottom w:w="80" w:type="dxa"/>
              <w:start w:w="120" w:type="dxa"/>
              <w:end w:w="120" w:type="dxa"/>
            </w:tcMar>
            <w:vAlign w:val="center"/>
          </w:tcPr>
          <w:p>
            <w:pPr>
              <w:spacing w:before="0" w:after="0" w:line="269" w:lineRule="auto"/>
              <w:jc w:val="center"/>
            </w:pPr>
            <w:r/>
          </w:p>
        </w:tc>
        <w:tc>
          <w:tcPr>
            <w:tcW w:type="dxa" w:w="710"/>
            <w:tcMar>
              <w:top w:w="80" w:type="dxa"/>
              <w:bottom w:w="80" w:type="dxa"/>
              <w:start w:w="120" w:type="dxa"/>
              <w:end w:w="120" w:type="dxa"/>
            </w:tcMar>
            <w:vAlign w:val="center"/>
          </w:tcPr>
          <w:p>
            <w:pPr>
              <w:spacing w:before="0" w:after="0" w:line="269" w:lineRule="auto"/>
              <w:jc w:val="center"/>
            </w:pPr>
            <w:r/>
          </w:p>
        </w:tc>
        <w:tc>
          <w:tcPr>
            <w:tcW w:type="dxa" w:w="820"/>
            <w:tcMar>
              <w:top w:w="80" w:type="dxa"/>
              <w:bottom w:w="80" w:type="dxa"/>
              <w:start w:w="120" w:type="dxa"/>
              <w:end w:w="120" w:type="dxa"/>
            </w:tcMar>
            <w:vAlign w:val="center"/>
          </w:tcPr>
          <w:p>
            <w:pPr>
              <w:spacing w:before="0" w:after="0" w:line="269" w:lineRule="auto"/>
              <w:jc w:val="center"/>
            </w:pPr>
            <w:r/>
          </w:p>
        </w:tc>
        <w:tc>
          <w:tcPr>
            <w:tcW w:type="dxa" w:w="780"/>
            <w:tcMar>
              <w:top w:w="80" w:type="dxa"/>
              <w:bottom w:w="80" w:type="dxa"/>
              <w:start w:w="120" w:type="dxa"/>
              <w:end w:w="120" w:type="dxa"/>
            </w:tcMar>
            <w:vAlign w:val="center"/>
          </w:tcPr>
          <w:p>
            <w:pPr>
              <w:spacing w:before="0" w:after="0" w:line="269" w:lineRule="auto"/>
              <w:jc w:val="center"/>
            </w:pPr>
            <w:r/>
          </w:p>
        </w:tc>
        <w:tc>
          <w:tcPr>
            <w:tcW w:type="dxa" w:w="690"/>
            <w:tcMar>
              <w:top w:w="80" w:type="dxa"/>
              <w:bottom w:w="80" w:type="dxa"/>
              <w:start w:w="120" w:type="dxa"/>
              <w:end w:w="120" w:type="dxa"/>
            </w:tcMar>
            <w:vAlign w:val="center"/>
          </w:tcPr>
          <w:p>
            <w:pPr>
              <w:spacing w:before="0" w:after="0" w:line="269" w:lineRule="auto"/>
              <w:jc w:val="center"/>
            </w:pPr>
            <w:r/>
          </w:p>
        </w:tc>
        <w:tc>
          <w:tcPr>
            <w:tcW w:type="dxa" w:w="700"/>
            <w:tcMar>
              <w:top w:w="80" w:type="dxa"/>
              <w:bottom w:w="80" w:type="dxa"/>
              <w:start w:w="120" w:type="dxa"/>
              <w:end w:w="120" w:type="dxa"/>
            </w:tcMar>
            <w:vAlign w:val="center"/>
          </w:tcPr>
          <w:p>
            <w:pPr>
              <w:spacing w:before="0" w:after="0" w:line="269" w:lineRule="auto"/>
              <w:jc w:val="center"/>
            </w:pPr>
            <w:r/>
          </w:p>
        </w:tc>
        <w:tc>
          <w:tcPr>
            <w:tcW w:type="dxa" w:w="660"/>
            <w:tcMar>
              <w:top w:w="80" w:type="dxa"/>
              <w:bottom w:w="80" w:type="dxa"/>
              <w:start w:w="120" w:type="dxa"/>
              <w:end w:w="120" w:type="dxa"/>
            </w:tcMar>
            <w:vAlign w:val="center"/>
          </w:tcPr>
          <w:p>
            <w:pPr>
              <w:spacing w:before="0" w:after="0" w:line="269" w:lineRule="auto"/>
              <w:jc w:val="center"/>
            </w:pPr>
            <w:r/>
          </w:p>
        </w:tc>
        <w:tc>
          <w:tcPr>
            <w:tcW w:type="dxa" w:w="730"/>
            <w:tcMar>
              <w:top w:w="80" w:type="dxa"/>
              <w:bottom w:w="80" w:type="dxa"/>
              <w:start w:w="120" w:type="dxa"/>
              <w:end w:w="120" w:type="dxa"/>
            </w:tcMar>
            <w:vAlign w:val="center"/>
          </w:tcPr>
          <w:p>
            <w:pPr>
              <w:spacing w:before="0" w:after="0" w:line="269" w:lineRule="auto"/>
              <w:jc w:val="center"/>
            </w:pPr>
            <w:r/>
          </w:p>
        </w:tc>
        <w:tc>
          <w:tcPr>
            <w:tcW w:type="dxa" w:w="730"/>
            <w:tcMar>
              <w:top w:w="80" w:type="dxa"/>
              <w:bottom w:w="80" w:type="dxa"/>
              <w:start w:w="120" w:type="dxa"/>
              <w:end w:w="120" w:type="dxa"/>
            </w:tcMar>
            <w:vAlign w:val="center"/>
          </w:tcPr>
          <w:p>
            <w:pPr>
              <w:spacing w:before="0" w:after="0" w:line="269" w:lineRule="auto"/>
              <w:jc w:val="center"/>
            </w:pPr>
            <w:r/>
          </w:p>
        </w:tc>
        <w:tc>
          <w:tcPr>
            <w:tcW w:type="dxa" w:w="720"/>
            <w:tcMar>
              <w:top w:w="80" w:type="dxa"/>
              <w:bottom w:w="80" w:type="dxa"/>
              <w:start w:w="120" w:type="dxa"/>
              <w:end w:w="120" w:type="dxa"/>
            </w:tcMar>
            <w:vAlign w:val="center"/>
          </w:tcPr>
          <w:p>
            <w:pPr>
              <w:spacing w:before="0" w:after="0" w:line="269" w:lineRule="auto"/>
              <w:jc w:val="center"/>
            </w:pPr>
            <w:r/>
          </w:p>
        </w:tc>
        <w:tc>
          <w:tcPr>
            <w:tcW w:type="dxa" w:w="710"/>
            <w:tcMar>
              <w:top w:w="80" w:type="dxa"/>
              <w:bottom w:w="80" w:type="dxa"/>
              <w:start w:w="120" w:type="dxa"/>
              <w:end w:w="120" w:type="dxa"/>
            </w:tcMar>
            <w:vAlign w:val="center"/>
          </w:tcPr>
          <w:p>
            <w:pPr>
              <w:spacing w:before="0" w:after="0" w:line="269" w:lineRule="auto"/>
              <w:jc w:val="center"/>
            </w:pPr>
            <w:r/>
            <w:r>
              <w:rPr>
                <w:rFonts w:ascii="Calibri" w:hAnsi="Calibri"/>
                <w:color w:val="222222"/>
                <w:sz w:val="15"/>
              </w:rPr>
              <w:t>no</w:t>
            </w:r>
          </w:p>
        </w:tc>
        <w:tc>
          <w:tcPr>
            <w:tcW w:type="dxa" w:w="750"/>
            <w:tcMar>
              <w:top w:w="80" w:type="dxa"/>
              <w:bottom w:w="80" w:type="dxa"/>
              <w:start w:w="120" w:type="dxa"/>
              <w:end w:w="120" w:type="dxa"/>
            </w:tcMar>
            <w:vAlign w:val="center"/>
          </w:tcPr>
          <w:p>
            <w:pPr>
              <w:spacing w:before="0" w:after="0" w:line="269" w:lineRule="auto"/>
              <w:jc w:val="center"/>
            </w:pPr>
            <w:r/>
          </w:p>
        </w:tc>
      </w:tr>
      <w:tr>
        <w:trPr>
          <w:cantSplit w:val="true"/>
        </w:trPr>
        <w:tc>
          <w:tcPr>
            <w:tcW w:type="dxa" w:w="660"/>
            <w:tcMar>
              <w:top w:w="80" w:type="dxa"/>
              <w:bottom w:w="80" w:type="dxa"/>
              <w:start w:w="120" w:type="dxa"/>
              <w:end w:w="120" w:type="dxa"/>
            </w:tcMar>
            <w:vAlign w:val="center"/>
          </w:tcPr>
          <w:p>
            <w:pPr>
              <w:spacing w:before="0" w:after="0" w:line="269" w:lineRule="auto"/>
              <w:jc w:val="left"/>
            </w:pPr>
            <w:r/>
            <w:r>
              <w:rPr>
                <w:rFonts w:ascii="Calibri" w:hAnsi="Calibri"/>
                <w:color w:val="222222"/>
                <w:sz w:val="15"/>
              </w:rPr>
              <w:t>M005</w:t>
            </w:r>
          </w:p>
        </w:tc>
        <w:tc>
          <w:tcPr>
            <w:tcW w:type="dxa" w:w="700"/>
            <w:tcMar>
              <w:top w:w="80" w:type="dxa"/>
              <w:bottom w:w="80" w:type="dxa"/>
              <w:start w:w="120" w:type="dxa"/>
              <w:end w:w="120" w:type="dxa"/>
            </w:tcMar>
            <w:vAlign w:val="center"/>
          </w:tcPr>
          <w:p>
            <w:pPr>
              <w:spacing w:before="0" w:after="0" w:line="269" w:lineRule="auto"/>
              <w:jc w:val="center"/>
            </w:pPr>
            <w:r/>
          </w:p>
        </w:tc>
        <w:tc>
          <w:tcPr>
            <w:tcW w:type="dxa" w:w="710"/>
            <w:tcMar>
              <w:top w:w="80" w:type="dxa"/>
              <w:bottom w:w="80" w:type="dxa"/>
              <w:start w:w="120" w:type="dxa"/>
              <w:end w:w="120" w:type="dxa"/>
            </w:tcMar>
            <w:vAlign w:val="center"/>
          </w:tcPr>
          <w:p>
            <w:pPr>
              <w:spacing w:before="0" w:after="0" w:line="269" w:lineRule="auto"/>
              <w:jc w:val="center"/>
            </w:pPr>
            <w:r/>
          </w:p>
        </w:tc>
        <w:tc>
          <w:tcPr>
            <w:tcW w:type="dxa" w:w="820"/>
            <w:tcMar>
              <w:top w:w="80" w:type="dxa"/>
              <w:bottom w:w="80" w:type="dxa"/>
              <w:start w:w="120" w:type="dxa"/>
              <w:end w:w="120" w:type="dxa"/>
            </w:tcMar>
            <w:vAlign w:val="center"/>
          </w:tcPr>
          <w:p>
            <w:pPr>
              <w:spacing w:before="0" w:after="0" w:line="269" w:lineRule="auto"/>
              <w:jc w:val="center"/>
            </w:pPr>
            <w:r/>
          </w:p>
        </w:tc>
        <w:tc>
          <w:tcPr>
            <w:tcW w:type="dxa" w:w="780"/>
            <w:tcMar>
              <w:top w:w="80" w:type="dxa"/>
              <w:bottom w:w="80" w:type="dxa"/>
              <w:start w:w="120" w:type="dxa"/>
              <w:end w:w="120" w:type="dxa"/>
            </w:tcMar>
            <w:vAlign w:val="center"/>
          </w:tcPr>
          <w:p>
            <w:pPr>
              <w:spacing w:before="0" w:after="0" w:line="269" w:lineRule="auto"/>
              <w:jc w:val="center"/>
            </w:pPr>
            <w:r/>
          </w:p>
        </w:tc>
        <w:tc>
          <w:tcPr>
            <w:tcW w:type="dxa" w:w="690"/>
            <w:tcMar>
              <w:top w:w="80" w:type="dxa"/>
              <w:bottom w:w="80" w:type="dxa"/>
              <w:start w:w="120" w:type="dxa"/>
              <w:end w:w="120" w:type="dxa"/>
            </w:tcMar>
            <w:vAlign w:val="center"/>
          </w:tcPr>
          <w:p>
            <w:pPr>
              <w:spacing w:before="0" w:after="0" w:line="269" w:lineRule="auto"/>
              <w:jc w:val="center"/>
            </w:pPr>
            <w:r/>
          </w:p>
        </w:tc>
        <w:tc>
          <w:tcPr>
            <w:tcW w:type="dxa" w:w="700"/>
            <w:tcMar>
              <w:top w:w="80" w:type="dxa"/>
              <w:bottom w:w="80" w:type="dxa"/>
              <w:start w:w="120" w:type="dxa"/>
              <w:end w:w="120" w:type="dxa"/>
            </w:tcMar>
            <w:vAlign w:val="center"/>
          </w:tcPr>
          <w:p>
            <w:pPr>
              <w:spacing w:before="0" w:after="0" w:line="269" w:lineRule="auto"/>
              <w:jc w:val="center"/>
            </w:pPr>
            <w:r/>
          </w:p>
        </w:tc>
        <w:tc>
          <w:tcPr>
            <w:tcW w:type="dxa" w:w="660"/>
            <w:tcMar>
              <w:top w:w="80" w:type="dxa"/>
              <w:bottom w:w="80" w:type="dxa"/>
              <w:start w:w="120" w:type="dxa"/>
              <w:end w:w="120" w:type="dxa"/>
            </w:tcMar>
            <w:vAlign w:val="center"/>
          </w:tcPr>
          <w:p>
            <w:pPr>
              <w:spacing w:before="0" w:after="0" w:line="269" w:lineRule="auto"/>
              <w:jc w:val="center"/>
            </w:pPr>
            <w:r/>
          </w:p>
        </w:tc>
        <w:tc>
          <w:tcPr>
            <w:tcW w:type="dxa" w:w="730"/>
            <w:tcMar>
              <w:top w:w="80" w:type="dxa"/>
              <w:bottom w:w="80" w:type="dxa"/>
              <w:start w:w="120" w:type="dxa"/>
              <w:end w:w="120" w:type="dxa"/>
            </w:tcMar>
            <w:vAlign w:val="center"/>
          </w:tcPr>
          <w:p>
            <w:pPr>
              <w:spacing w:before="0" w:after="0" w:line="269" w:lineRule="auto"/>
              <w:jc w:val="center"/>
            </w:pPr>
            <w:r/>
          </w:p>
        </w:tc>
        <w:tc>
          <w:tcPr>
            <w:tcW w:type="dxa" w:w="730"/>
            <w:tcMar>
              <w:top w:w="80" w:type="dxa"/>
              <w:bottom w:w="80" w:type="dxa"/>
              <w:start w:w="120" w:type="dxa"/>
              <w:end w:w="120" w:type="dxa"/>
            </w:tcMar>
            <w:vAlign w:val="center"/>
          </w:tcPr>
          <w:p>
            <w:pPr>
              <w:spacing w:before="0" w:after="0" w:line="269" w:lineRule="auto"/>
              <w:jc w:val="center"/>
            </w:pPr>
            <w:r/>
          </w:p>
        </w:tc>
        <w:tc>
          <w:tcPr>
            <w:tcW w:type="dxa" w:w="720"/>
            <w:tcMar>
              <w:top w:w="80" w:type="dxa"/>
              <w:bottom w:w="80" w:type="dxa"/>
              <w:start w:w="120" w:type="dxa"/>
              <w:end w:w="120" w:type="dxa"/>
            </w:tcMar>
            <w:vAlign w:val="center"/>
          </w:tcPr>
          <w:p>
            <w:pPr>
              <w:spacing w:before="0" w:after="0" w:line="269" w:lineRule="auto"/>
              <w:jc w:val="center"/>
            </w:pPr>
            <w:r/>
          </w:p>
        </w:tc>
        <w:tc>
          <w:tcPr>
            <w:tcW w:type="dxa" w:w="710"/>
            <w:tcMar>
              <w:top w:w="80" w:type="dxa"/>
              <w:bottom w:w="80" w:type="dxa"/>
              <w:start w:w="120" w:type="dxa"/>
              <w:end w:w="120" w:type="dxa"/>
            </w:tcMar>
            <w:vAlign w:val="center"/>
          </w:tcPr>
          <w:p>
            <w:pPr>
              <w:spacing w:before="0" w:after="0" w:line="269" w:lineRule="auto"/>
              <w:jc w:val="center"/>
            </w:pPr>
            <w:r/>
            <w:r>
              <w:rPr>
                <w:rFonts w:ascii="Calibri" w:hAnsi="Calibri"/>
                <w:color w:val="222222"/>
                <w:sz w:val="15"/>
              </w:rPr>
              <w:t>no</w:t>
            </w:r>
          </w:p>
        </w:tc>
        <w:tc>
          <w:tcPr>
            <w:tcW w:type="dxa" w:w="750"/>
            <w:tcMar>
              <w:top w:w="80" w:type="dxa"/>
              <w:bottom w:w="80" w:type="dxa"/>
              <w:start w:w="120" w:type="dxa"/>
              <w:end w:w="120" w:type="dxa"/>
            </w:tcMar>
            <w:vAlign w:val="center"/>
          </w:tcPr>
          <w:p>
            <w:pPr>
              <w:spacing w:before="0" w:after="0" w:line="269" w:lineRule="auto"/>
              <w:jc w:val="center"/>
            </w:pPr>
            <w:r/>
          </w:p>
        </w:tc>
      </w:tr>
      <w:tr>
        <w:trPr>
          <w:cantSplit w:val="true"/>
        </w:trPr>
        <w:tc>
          <w:tcPr>
            <w:tcW w:type="dxa" w:w="660"/>
            <w:tcMar>
              <w:top w:w="80" w:type="dxa"/>
              <w:bottom w:w="80" w:type="dxa"/>
              <w:start w:w="120" w:type="dxa"/>
              <w:end w:w="120" w:type="dxa"/>
            </w:tcMar>
            <w:vAlign w:val="center"/>
          </w:tcPr>
          <w:p>
            <w:pPr>
              <w:spacing w:before="0" w:after="0" w:line="269" w:lineRule="auto"/>
              <w:jc w:val="left"/>
            </w:pPr>
            <w:r/>
            <w:r>
              <w:rPr>
                <w:rFonts w:ascii="Calibri" w:hAnsi="Calibri"/>
                <w:color w:val="222222"/>
                <w:sz w:val="15"/>
              </w:rPr>
              <w:t>M006</w:t>
            </w:r>
          </w:p>
        </w:tc>
        <w:tc>
          <w:tcPr>
            <w:tcW w:type="dxa" w:w="700"/>
            <w:tcMar>
              <w:top w:w="80" w:type="dxa"/>
              <w:bottom w:w="80" w:type="dxa"/>
              <w:start w:w="120" w:type="dxa"/>
              <w:end w:w="120" w:type="dxa"/>
            </w:tcMar>
            <w:vAlign w:val="center"/>
          </w:tcPr>
          <w:p>
            <w:pPr>
              <w:spacing w:before="0" w:after="0" w:line="269" w:lineRule="auto"/>
              <w:jc w:val="center"/>
            </w:pPr>
            <w:r/>
          </w:p>
        </w:tc>
        <w:tc>
          <w:tcPr>
            <w:tcW w:type="dxa" w:w="710"/>
            <w:tcMar>
              <w:top w:w="80" w:type="dxa"/>
              <w:bottom w:w="80" w:type="dxa"/>
              <w:start w:w="120" w:type="dxa"/>
              <w:end w:w="120" w:type="dxa"/>
            </w:tcMar>
            <w:vAlign w:val="center"/>
          </w:tcPr>
          <w:p>
            <w:pPr>
              <w:spacing w:before="0" w:after="0" w:line="269" w:lineRule="auto"/>
              <w:jc w:val="center"/>
            </w:pPr>
            <w:r/>
          </w:p>
        </w:tc>
        <w:tc>
          <w:tcPr>
            <w:tcW w:type="dxa" w:w="820"/>
            <w:tcMar>
              <w:top w:w="80" w:type="dxa"/>
              <w:bottom w:w="80" w:type="dxa"/>
              <w:start w:w="120" w:type="dxa"/>
              <w:end w:w="120" w:type="dxa"/>
            </w:tcMar>
            <w:vAlign w:val="center"/>
          </w:tcPr>
          <w:p>
            <w:pPr>
              <w:spacing w:before="0" w:after="0" w:line="269" w:lineRule="auto"/>
              <w:jc w:val="center"/>
            </w:pPr>
            <w:r/>
          </w:p>
        </w:tc>
        <w:tc>
          <w:tcPr>
            <w:tcW w:type="dxa" w:w="780"/>
            <w:tcMar>
              <w:top w:w="80" w:type="dxa"/>
              <w:bottom w:w="80" w:type="dxa"/>
              <w:start w:w="120" w:type="dxa"/>
              <w:end w:w="120" w:type="dxa"/>
            </w:tcMar>
            <w:vAlign w:val="center"/>
          </w:tcPr>
          <w:p>
            <w:pPr>
              <w:spacing w:before="0" w:after="0" w:line="269" w:lineRule="auto"/>
              <w:jc w:val="center"/>
            </w:pPr>
            <w:r/>
          </w:p>
        </w:tc>
        <w:tc>
          <w:tcPr>
            <w:tcW w:type="dxa" w:w="690"/>
            <w:tcMar>
              <w:top w:w="80" w:type="dxa"/>
              <w:bottom w:w="80" w:type="dxa"/>
              <w:start w:w="120" w:type="dxa"/>
              <w:end w:w="120" w:type="dxa"/>
            </w:tcMar>
            <w:vAlign w:val="center"/>
          </w:tcPr>
          <w:p>
            <w:pPr>
              <w:spacing w:before="0" w:after="0" w:line="269" w:lineRule="auto"/>
              <w:jc w:val="center"/>
            </w:pPr>
            <w:r/>
          </w:p>
        </w:tc>
        <w:tc>
          <w:tcPr>
            <w:tcW w:type="dxa" w:w="700"/>
            <w:tcMar>
              <w:top w:w="80" w:type="dxa"/>
              <w:bottom w:w="80" w:type="dxa"/>
              <w:start w:w="120" w:type="dxa"/>
              <w:end w:w="120" w:type="dxa"/>
            </w:tcMar>
            <w:vAlign w:val="center"/>
          </w:tcPr>
          <w:p>
            <w:pPr>
              <w:spacing w:before="0" w:after="0" w:line="269" w:lineRule="auto"/>
              <w:jc w:val="center"/>
            </w:pPr>
            <w:r/>
          </w:p>
        </w:tc>
        <w:tc>
          <w:tcPr>
            <w:tcW w:type="dxa" w:w="660"/>
            <w:tcMar>
              <w:top w:w="80" w:type="dxa"/>
              <w:bottom w:w="80" w:type="dxa"/>
              <w:start w:w="120" w:type="dxa"/>
              <w:end w:w="120" w:type="dxa"/>
            </w:tcMar>
            <w:vAlign w:val="center"/>
          </w:tcPr>
          <w:p>
            <w:pPr>
              <w:spacing w:before="0" w:after="0" w:line="269" w:lineRule="auto"/>
              <w:jc w:val="center"/>
            </w:pPr>
            <w:r/>
          </w:p>
        </w:tc>
        <w:tc>
          <w:tcPr>
            <w:tcW w:type="dxa" w:w="730"/>
            <w:tcMar>
              <w:top w:w="80" w:type="dxa"/>
              <w:bottom w:w="80" w:type="dxa"/>
              <w:start w:w="120" w:type="dxa"/>
              <w:end w:w="120" w:type="dxa"/>
            </w:tcMar>
            <w:vAlign w:val="center"/>
          </w:tcPr>
          <w:p>
            <w:pPr>
              <w:spacing w:before="0" w:after="0" w:line="269" w:lineRule="auto"/>
              <w:jc w:val="center"/>
            </w:pPr>
            <w:r/>
          </w:p>
        </w:tc>
        <w:tc>
          <w:tcPr>
            <w:tcW w:type="dxa" w:w="730"/>
            <w:tcMar>
              <w:top w:w="80" w:type="dxa"/>
              <w:bottom w:w="80" w:type="dxa"/>
              <w:start w:w="120" w:type="dxa"/>
              <w:end w:w="120" w:type="dxa"/>
            </w:tcMar>
            <w:vAlign w:val="center"/>
          </w:tcPr>
          <w:p>
            <w:pPr>
              <w:spacing w:before="0" w:after="0" w:line="269" w:lineRule="auto"/>
              <w:jc w:val="center"/>
            </w:pPr>
            <w:r/>
          </w:p>
        </w:tc>
        <w:tc>
          <w:tcPr>
            <w:tcW w:type="dxa" w:w="720"/>
            <w:tcMar>
              <w:top w:w="80" w:type="dxa"/>
              <w:bottom w:w="80" w:type="dxa"/>
              <w:start w:w="120" w:type="dxa"/>
              <w:end w:w="120" w:type="dxa"/>
            </w:tcMar>
            <w:vAlign w:val="center"/>
          </w:tcPr>
          <w:p>
            <w:pPr>
              <w:spacing w:before="0" w:after="0" w:line="269" w:lineRule="auto"/>
              <w:jc w:val="center"/>
            </w:pPr>
            <w:r/>
          </w:p>
        </w:tc>
        <w:tc>
          <w:tcPr>
            <w:tcW w:type="dxa" w:w="710"/>
            <w:tcMar>
              <w:top w:w="80" w:type="dxa"/>
              <w:bottom w:w="80" w:type="dxa"/>
              <w:start w:w="120" w:type="dxa"/>
              <w:end w:w="120" w:type="dxa"/>
            </w:tcMar>
            <w:vAlign w:val="center"/>
          </w:tcPr>
          <w:p>
            <w:pPr>
              <w:spacing w:before="0" w:after="0" w:line="269" w:lineRule="auto"/>
              <w:jc w:val="center"/>
            </w:pPr>
            <w:r/>
            <w:r>
              <w:rPr>
                <w:rFonts w:ascii="Calibri" w:hAnsi="Calibri"/>
                <w:color w:val="222222"/>
                <w:sz w:val="15"/>
              </w:rPr>
              <w:t>no</w:t>
            </w:r>
          </w:p>
        </w:tc>
        <w:tc>
          <w:tcPr>
            <w:tcW w:type="dxa" w:w="750"/>
            <w:tcMar>
              <w:top w:w="80" w:type="dxa"/>
              <w:bottom w:w="80" w:type="dxa"/>
              <w:start w:w="120" w:type="dxa"/>
              <w:end w:w="120" w:type="dxa"/>
            </w:tcMar>
            <w:vAlign w:val="center"/>
          </w:tcPr>
          <w:p>
            <w:pPr>
              <w:spacing w:before="0" w:after="0" w:line="269" w:lineRule="auto"/>
              <w:jc w:val="center"/>
            </w:pPr>
            <w:r/>
          </w:p>
        </w:tc>
      </w:tr>
      <w:tr>
        <w:trPr>
          <w:cantSplit w:val="true"/>
        </w:trPr>
        <w:tc>
          <w:tcPr>
            <w:tcW w:type="dxa" w:w="660"/>
            <w:tcMar>
              <w:top w:w="80" w:type="dxa"/>
              <w:bottom w:w="80" w:type="dxa"/>
              <w:start w:w="120" w:type="dxa"/>
              <w:end w:w="120" w:type="dxa"/>
            </w:tcMar>
            <w:vAlign w:val="center"/>
          </w:tcPr>
          <w:p>
            <w:pPr>
              <w:spacing w:before="0" w:after="0" w:line="269" w:lineRule="auto"/>
              <w:jc w:val="left"/>
            </w:pPr>
            <w:r/>
            <w:r>
              <w:rPr>
                <w:rFonts w:ascii="Calibri" w:hAnsi="Calibri"/>
                <w:color w:val="222222"/>
                <w:sz w:val="15"/>
              </w:rPr>
              <w:t>M007</w:t>
            </w:r>
          </w:p>
        </w:tc>
        <w:tc>
          <w:tcPr>
            <w:tcW w:type="dxa" w:w="700"/>
            <w:tcMar>
              <w:top w:w="80" w:type="dxa"/>
              <w:bottom w:w="80" w:type="dxa"/>
              <w:start w:w="120" w:type="dxa"/>
              <w:end w:w="120" w:type="dxa"/>
            </w:tcMar>
            <w:vAlign w:val="center"/>
          </w:tcPr>
          <w:p>
            <w:pPr>
              <w:spacing w:before="0" w:after="0" w:line="269" w:lineRule="auto"/>
              <w:jc w:val="center"/>
            </w:pPr>
            <w:r/>
          </w:p>
        </w:tc>
        <w:tc>
          <w:tcPr>
            <w:tcW w:type="dxa" w:w="710"/>
            <w:tcMar>
              <w:top w:w="80" w:type="dxa"/>
              <w:bottom w:w="80" w:type="dxa"/>
              <w:start w:w="120" w:type="dxa"/>
              <w:end w:w="120" w:type="dxa"/>
            </w:tcMar>
            <w:vAlign w:val="center"/>
          </w:tcPr>
          <w:p>
            <w:pPr>
              <w:spacing w:before="0" w:after="0" w:line="269" w:lineRule="auto"/>
              <w:jc w:val="center"/>
            </w:pPr>
            <w:r/>
          </w:p>
        </w:tc>
        <w:tc>
          <w:tcPr>
            <w:tcW w:type="dxa" w:w="820"/>
            <w:tcMar>
              <w:top w:w="80" w:type="dxa"/>
              <w:bottom w:w="80" w:type="dxa"/>
              <w:start w:w="120" w:type="dxa"/>
              <w:end w:w="120" w:type="dxa"/>
            </w:tcMar>
            <w:vAlign w:val="center"/>
          </w:tcPr>
          <w:p>
            <w:pPr>
              <w:spacing w:before="0" w:after="0" w:line="269" w:lineRule="auto"/>
              <w:jc w:val="center"/>
            </w:pPr>
            <w:r/>
          </w:p>
        </w:tc>
        <w:tc>
          <w:tcPr>
            <w:tcW w:type="dxa" w:w="780"/>
            <w:tcMar>
              <w:top w:w="80" w:type="dxa"/>
              <w:bottom w:w="80" w:type="dxa"/>
              <w:start w:w="120" w:type="dxa"/>
              <w:end w:w="120" w:type="dxa"/>
            </w:tcMar>
            <w:vAlign w:val="center"/>
          </w:tcPr>
          <w:p>
            <w:pPr>
              <w:spacing w:before="0" w:after="0" w:line="269" w:lineRule="auto"/>
              <w:jc w:val="center"/>
            </w:pPr>
            <w:r/>
          </w:p>
        </w:tc>
        <w:tc>
          <w:tcPr>
            <w:tcW w:type="dxa" w:w="690"/>
            <w:tcMar>
              <w:top w:w="80" w:type="dxa"/>
              <w:bottom w:w="80" w:type="dxa"/>
              <w:start w:w="120" w:type="dxa"/>
              <w:end w:w="120" w:type="dxa"/>
            </w:tcMar>
            <w:vAlign w:val="center"/>
          </w:tcPr>
          <w:p>
            <w:pPr>
              <w:spacing w:before="0" w:after="0" w:line="269" w:lineRule="auto"/>
              <w:jc w:val="center"/>
            </w:pPr>
            <w:r/>
          </w:p>
        </w:tc>
        <w:tc>
          <w:tcPr>
            <w:tcW w:type="dxa" w:w="700"/>
            <w:tcMar>
              <w:top w:w="80" w:type="dxa"/>
              <w:bottom w:w="80" w:type="dxa"/>
              <w:start w:w="120" w:type="dxa"/>
              <w:end w:w="120" w:type="dxa"/>
            </w:tcMar>
            <w:vAlign w:val="center"/>
          </w:tcPr>
          <w:p>
            <w:pPr>
              <w:spacing w:before="0" w:after="0" w:line="269" w:lineRule="auto"/>
              <w:jc w:val="center"/>
            </w:pPr>
            <w:r/>
          </w:p>
        </w:tc>
        <w:tc>
          <w:tcPr>
            <w:tcW w:type="dxa" w:w="660"/>
            <w:tcMar>
              <w:top w:w="80" w:type="dxa"/>
              <w:bottom w:w="80" w:type="dxa"/>
              <w:start w:w="120" w:type="dxa"/>
              <w:end w:w="120" w:type="dxa"/>
            </w:tcMar>
            <w:vAlign w:val="center"/>
          </w:tcPr>
          <w:p>
            <w:pPr>
              <w:spacing w:before="0" w:after="0" w:line="269" w:lineRule="auto"/>
              <w:jc w:val="center"/>
            </w:pPr>
            <w:r/>
          </w:p>
        </w:tc>
        <w:tc>
          <w:tcPr>
            <w:tcW w:type="dxa" w:w="730"/>
            <w:tcMar>
              <w:top w:w="80" w:type="dxa"/>
              <w:bottom w:w="80" w:type="dxa"/>
              <w:start w:w="120" w:type="dxa"/>
              <w:end w:w="120" w:type="dxa"/>
            </w:tcMar>
            <w:vAlign w:val="center"/>
          </w:tcPr>
          <w:p>
            <w:pPr>
              <w:spacing w:before="0" w:after="0" w:line="269" w:lineRule="auto"/>
              <w:jc w:val="center"/>
            </w:pPr>
            <w:r/>
          </w:p>
        </w:tc>
        <w:tc>
          <w:tcPr>
            <w:tcW w:type="dxa" w:w="730"/>
            <w:tcMar>
              <w:top w:w="80" w:type="dxa"/>
              <w:bottom w:w="80" w:type="dxa"/>
              <w:start w:w="120" w:type="dxa"/>
              <w:end w:w="120" w:type="dxa"/>
            </w:tcMar>
            <w:vAlign w:val="center"/>
          </w:tcPr>
          <w:p>
            <w:pPr>
              <w:spacing w:before="0" w:after="0" w:line="269" w:lineRule="auto"/>
              <w:jc w:val="center"/>
            </w:pPr>
            <w:r/>
          </w:p>
        </w:tc>
        <w:tc>
          <w:tcPr>
            <w:tcW w:type="dxa" w:w="720"/>
            <w:tcMar>
              <w:top w:w="80" w:type="dxa"/>
              <w:bottom w:w="80" w:type="dxa"/>
              <w:start w:w="120" w:type="dxa"/>
              <w:end w:w="120" w:type="dxa"/>
            </w:tcMar>
            <w:vAlign w:val="center"/>
          </w:tcPr>
          <w:p>
            <w:pPr>
              <w:spacing w:before="0" w:after="0" w:line="269" w:lineRule="auto"/>
              <w:jc w:val="center"/>
            </w:pPr>
            <w:r/>
          </w:p>
        </w:tc>
        <w:tc>
          <w:tcPr>
            <w:tcW w:type="dxa" w:w="710"/>
            <w:tcMar>
              <w:top w:w="80" w:type="dxa"/>
              <w:bottom w:w="80" w:type="dxa"/>
              <w:start w:w="120" w:type="dxa"/>
              <w:end w:w="120" w:type="dxa"/>
            </w:tcMar>
            <w:vAlign w:val="center"/>
          </w:tcPr>
          <w:p>
            <w:pPr>
              <w:spacing w:before="0" w:after="0" w:line="269" w:lineRule="auto"/>
              <w:jc w:val="center"/>
            </w:pPr>
            <w:r/>
            <w:r>
              <w:rPr>
                <w:rFonts w:ascii="Calibri" w:hAnsi="Calibri"/>
                <w:color w:val="222222"/>
                <w:sz w:val="15"/>
              </w:rPr>
              <w:t>no</w:t>
            </w:r>
          </w:p>
        </w:tc>
        <w:tc>
          <w:tcPr>
            <w:tcW w:type="dxa" w:w="750"/>
            <w:tcMar>
              <w:top w:w="80" w:type="dxa"/>
              <w:bottom w:w="80" w:type="dxa"/>
              <w:start w:w="120" w:type="dxa"/>
              <w:end w:w="120" w:type="dxa"/>
            </w:tcMar>
            <w:vAlign w:val="center"/>
          </w:tcPr>
          <w:p>
            <w:pPr>
              <w:spacing w:before="0" w:after="0" w:line="269" w:lineRule="auto"/>
              <w:jc w:val="center"/>
            </w:pPr>
            <w:r/>
          </w:p>
        </w:tc>
      </w:tr>
      <w:tr>
        <w:trPr>
          <w:cantSplit w:val="true"/>
        </w:trPr>
        <w:tc>
          <w:tcPr>
            <w:tcW w:type="dxa" w:w="660"/>
            <w:tcMar>
              <w:top w:w="80" w:type="dxa"/>
              <w:bottom w:w="80" w:type="dxa"/>
              <w:start w:w="120" w:type="dxa"/>
              <w:end w:w="120" w:type="dxa"/>
            </w:tcMar>
            <w:vAlign w:val="center"/>
          </w:tcPr>
          <w:p>
            <w:pPr>
              <w:spacing w:before="0" w:after="0" w:line="269" w:lineRule="auto"/>
              <w:jc w:val="left"/>
            </w:pPr>
            <w:r/>
            <w:r>
              <w:rPr>
                <w:rFonts w:ascii="Calibri" w:hAnsi="Calibri"/>
                <w:color w:val="222222"/>
                <w:sz w:val="15"/>
              </w:rPr>
              <w:t>M008</w:t>
            </w:r>
          </w:p>
        </w:tc>
        <w:tc>
          <w:tcPr>
            <w:tcW w:type="dxa" w:w="700"/>
            <w:tcMar>
              <w:top w:w="80" w:type="dxa"/>
              <w:bottom w:w="80" w:type="dxa"/>
              <w:start w:w="120" w:type="dxa"/>
              <w:end w:w="120" w:type="dxa"/>
            </w:tcMar>
            <w:vAlign w:val="center"/>
          </w:tcPr>
          <w:p>
            <w:pPr>
              <w:spacing w:before="0" w:after="0" w:line="269" w:lineRule="auto"/>
              <w:jc w:val="center"/>
            </w:pPr>
            <w:r/>
          </w:p>
        </w:tc>
        <w:tc>
          <w:tcPr>
            <w:tcW w:type="dxa" w:w="710"/>
            <w:tcMar>
              <w:top w:w="80" w:type="dxa"/>
              <w:bottom w:w="80" w:type="dxa"/>
              <w:start w:w="120" w:type="dxa"/>
              <w:end w:w="120" w:type="dxa"/>
            </w:tcMar>
            <w:vAlign w:val="center"/>
          </w:tcPr>
          <w:p>
            <w:pPr>
              <w:spacing w:before="0" w:after="0" w:line="269" w:lineRule="auto"/>
              <w:jc w:val="center"/>
            </w:pPr>
            <w:r/>
          </w:p>
        </w:tc>
        <w:tc>
          <w:tcPr>
            <w:tcW w:type="dxa" w:w="820"/>
            <w:tcMar>
              <w:top w:w="80" w:type="dxa"/>
              <w:bottom w:w="80" w:type="dxa"/>
              <w:start w:w="120" w:type="dxa"/>
              <w:end w:w="120" w:type="dxa"/>
            </w:tcMar>
            <w:vAlign w:val="center"/>
          </w:tcPr>
          <w:p>
            <w:pPr>
              <w:spacing w:before="0" w:after="0" w:line="269" w:lineRule="auto"/>
              <w:jc w:val="center"/>
            </w:pPr>
            <w:r/>
          </w:p>
        </w:tc>
        <w:tc>
          <w:tcPr>
            <w:tcW w:type="dxa" w:w="780"/>
            <w:tcMar>
              <w:top w:w="80" w:type="dxa"/>
              <w:bottom w:w="80" w:type="dxa"/>
              <w:start w:w="120" w:type="dxa"/>
              <w:end w:w="120" w:type="dxa"/>
            </w:tcMar>
            <w:vAlign w:val="center"/>
          </w:tcPr>
          <w:p>
            <w:pPr>
              <w:spacing w:before="0" w:after="0" w:line="269" w:lineRule="auto"/>
              <w:jc w:val="center"/>
            </w:pPr>
            <w:r/>
          </w:p>
        </w:tc>
        <w:tc>
          <w:tcPr>
            <w:tcW w:type="dxa" w:w="690"/>
            <w:tcMar>
              <w:top w:w="80" w:type="dxa"/>
              <w:bottom w:w="80" w:type="dxa"/>
              <w:start w:w="120" w:type="dxa"/>
              <w:end w:w="120" w:type="dxa"/>
            </w:tcMar>
            <w:vAlign w:val="center"/>
          </w:tcPr>
          <w:p>
            <w:pPr>
              <w:spacing w:before="0" w:after="0" w:line="269" w:lineRule="auto"/>
              <w:jc w:val="center"/>
            </w:pPr>
            <w:r/>
          </w:p>
        </w:tc>
        <w:tc>
          <w:tcPr>
            <w:tcW w:type="dxa" w:w="700"/>
            <w:tcMar>
              <w:top w:w="80" w:type="dxa"/>
              <w:bottom w:w="80" w:type="dxa"/>
              <w:start w:w="120" w:type="dxa"/>
              <w:end w:w="120" w:type="dxa"/>
            </w:tcMar>
            <w:vAlign w:val="center"/>
          </w:tcPr>
          <w:p>
            <w:pPr>
              <w:spacing w:before="0" w:after="0" w:line="269" w:lineRule="auto"/>
              <w:jc w:val="center"/>
            </w:pPr>
            <w:r/>
          </w:p>
        </w:tc>
        <w:tc>
          <w:tcPr>
            <w:tcW w:type="dxa" w:w="660"/>
            <w:tcMar>
              <w:top w:w="80" w:type="dxa"/>
              <w:bottom w:w="80" w:type="dxa"/>
              <w:start w:w="120" w:type="dxa"/>
              <w:end w:w="120" w:type="dxa"/>
            </w:tcMar>
            <w:vAlign w:val="center"/>
          </w:tcPr>
          <w:p>
            <w:pPr>
              <w:spacing w:before="0" w:after="0" w:line="269" w:lineRule="auto"/>
              <w:jc w:val="center"/>
            </w:pPr>
            <w:r/>
          </w:p>
        </w:tc>
        <w:tc>
          <w:tcPr>
            <w:tcW w:type="dxa" w:w="730"/>
            <w:tcMar>
              <w:top w:w="80" w:type="dxa"/>
              <w:bottom w:w="80" w:type="dxa"/>
              <w:start w:w="120" w:type="dxa"/>
              <w:end w:w="120" w:type="dxa"/>
            </w:tcMar>
            <w:vAlign w:val="center"/>
          </w:tcPr>
          <w:p>
            <w:pPr>
              <w:spacing w:before="0" w:after="0" w:line="269" w:lineRule="auto"/>
              <w:jc w:val="center"/>
            </w:pPr>
            <w:r/>
          </w:p>
        </w:tc>
        <w:tc>
          <w:tcPr>
            <w:tcW w:type="dxa" w:w="730"/>
            <w:tcMar>
              <w:top w:w="80" w:type="dxa"/>
              <w:bottom w:w="80" w:type="dxa"/>
              <w:start w:w="120" w:type="dxa"/>
              <w:end w:w="120" w:type="dxa"/>
            </w:tcMar>
            <w:vAlign w:val="center"/>
          </w:tcPr>
          <w:p>
            <w:pPr>
              <w:spacing w:before="0" w:after="0" w:line="269" w:lineRule="auto"/>
              <w:jc w:val="center"/>
            </w:pPr>
            <w:r/>
          </w:p>
        </w:tc>
        <w:tc>
          <w:tcPr>
            <w:tcW w:type="dxa" w:w="720"/>
            <w:tcMar>
              <w:top w:w="80" w:type="dxa"/>
              <w:bottom w:w="80" w:type="dxa"/>
              <w:start w:w="120" w:type="dxa"/>
              <w:end w:w="120" w:type="dxa"/>
            </w:tcMar>
            <w:vAlign w:val="center"/>
          </w:tcPr>
          <w:p>
            <w:pPr>
              <w:spacing w:before="0" w:after="0" w:line="269" w:lineRule="auto"/>
              <w:jc w:val="center"/>
            </w:pPr>
            <w:r/>
          </w:p>
        </w:tc>
        <w:tc>
          <w:tcPr>
            <w:tcW w:type="dxa" w:w="710"/>
            <w:tcMar>
              <w:top w:w="80" w:type="dxa"/>
              <w:bottom w:w="80" w:type="dxa"/>
              <w:start w:w="120" w:type="dxa"/>
              <w:end w:w="120" w:type="dxa"/>
            </w:tcMar>
            <w:vAlign w:val="center"/>
          </w:tcPr>
          <w:p>
            <w:pPr>
              <w:spacing w:before="0" w:after="0" w:line="269" w:lineRule="auto"/>
              <w:jc w:val="center"/>
            </w:pPr>
            <w:r/>
            <w:r>
              <w:rPr>
                <w:rFonts w:ascii="Calibri" w:hAnsi="Calibri"/>
                <w:color w:val="222222"/>
                <w:sz w:val="15"/>
              </w:rPr>
              <w:t>no</w:t>
            </w:r>
          </w:p>
        </w:tc>
        <w:tc>
          <w:tcPr>
            <w:tcW w:type="dxa" w:w="750"/>
            <w:tcMar>
              <w:top w:w="80" w:type="dxa"/>
              <w:bottom w:w="80" w:type="dxa"/>
              <w:start w:w="120" w:type="dxa"/>
              <w:end w:w="120" w:type="dxa"/>
            </w:tcMar>
            <w:vAlign w:val="center"/>
          </w:tcPr>
          <w:p>
            <w:pPr>
              <w:spacing w:before="0" w:after="0" w:line="269" w:lineRule="auto"/>
              <w:jc w:val="center"/>
            </w:pPr>
            <w:r/>
          </w:p>
        </w:tc>
      </w:tr>
      <w:tr>
        <w:trPr>
          <w:cantSplit w:val="true"/>
        </w:trPr>
        <w:tc>
          <w:tcPr>
            <w:tcW w:type="dxa" w:w="660"/>
            <w:tcMar>
              <w:top w:w="80" w:type="dxa"/>
              <w:bottom w:w="80" w:type="dxa"/>
              <w:start w:w="120" w:type="dxa"/>
              <w:end w:w="120" w:type="dxa"/>
            </w:tcMar>
            <w:vAlign w:val="center"/>
          </w:tcPr>
          <w:p>
            <w:pPr>
              <w:spacing w:before="0" w:after="0" w:line="269" w:lineRule="auto"/>
              <w:jc w:val="left"/>
            </w:pPr>
            <w:r/>
            <w:r>
              <w:rPr>
                <w:rFonts w:ascii="Calibri" w:hAnsi="Calibri"/>
                <w:color w:val="222222"/>
                <w:sz w:val="15"/>
              </w:rPr>
              <w:t>M009</w:t>
            </w:r>
          </w:p>
        </w:tc>
        <w:tc>
          <w:tcPr>
            <w:tcW w:type="dxa" w:w="700"/>
            <w:tcMar>
              <w:top w:w="80" w:type="dxa"/>
              <w:bottom w:w="80" w:type="dxa"/>
              <w:start w:w="120" w:type="dxa"/>
              <w:end w:w="120" w:type="dxa"/>
            </w:tcMar>
            <w:vAlign w:val="center"/>
          </w:tcPr>
          <w:p>
            <w:pPr>
              <w:spacing w:before="0" w:after="0" w:line="269" w:lineRule="auto"/>
              <w:jc w:val="center"/>
            </w:pPr>
            <w:r/>
          </w:p>
        </w:tc>
        <w:tc>
          <w:tcPr>
            <w:tcW w:type="dxa" w:w="710"/>
            <w:tcMar>
              <w:top w:w="80" w:type="dxa"/>
              <w:bottom w:w="80" w:type="dxa"/>
              <w:start w:w="120" w:type="dxa"/>
              <w:end w:w="120" w:type="dxa"/>
            </w:tcMar>
            <w:vAlign w:val="center"/>
          </w:tcPr>
          <w:p>
            <w:pPr>
              <w:spacing w:before="0" w:after="0" w:line="269" w:lineRule="auto"/>
              <w:jc w:val="center"/>
            </w:pPr>
            <w:r/>
          </w:p>
        </w:tc>
        <w:tc>
          <w:tcPr>
            <w:tcW w:type="dxa" w:w="820"/>
            <w:tcMar>
              <w:top w:w="80" w:type="dxa"/>
              <w:bottom w:w="80" w:type="dxa"/>
              <w:start w:w="120" w:type="dxa"/>
              <w:end w:w="120" w:type="dxa"/>
            </w:tcMar>
            <w:vAlign w:val="center"/>
          </w:tcPr>
          <w:p>
            <w:pPr>
              <w:spacing w:before="0" w:after="0" w:line="269" w:lineRule="auto"/>
              <w:jc w:val="center"/>
            </w:pPr>
            <w:r/>
          </w:p>
        </w:tc>
        <w:tc>
          <w:tcPr>
            <w:tcW w:type="dxa" w:w="780"/>
            <w:tcMar>
              <w:top w:w="80" w:type="dxa"/>
              <w:bottom w:w="80" w:type="dxa"/>
              <w:start w:w="120" w:type="dxa"/>
              <w:end w:w="120" w:type="dxa"/>
            </w:tcMar>
            <w:vAlign w:val="center"/>
          </w:tcPr>
          <w:p>
            <w:pPr>
              <w:spacing w:before="0" w:after="0" w:line="269" w:lineRule="auto"/>
              <w:jc w:val="center"/>
            </w:pPr>
            <w:r/>
          </w:p>
        </w:tc>
        <w:tc>
          <w:tcPr>
            <w:tcW w:type="dxa" w:w="690"/>
            <w:tcMar>
              <w:top w:w="80" w:type="dxa"/>
              <w:bottom w:w="80" w:type="dxa"/>
              <w:start w:w="120" w:type="dxa"/>
              <w:end w:w="120" w:type="dxa"/>
            </w:tcMar>
            <w:vAlign w:val="center"/>
          </w:tcPr>
          <w:p>
            <w:pPr>
              <w:spacing w:before="0" w:after="0" w:line="269" w:lineRule="auto"/>
              <w:jc w:val="center"/>
            </w:pPr>
            <w:r/>
          </w:p>
        </w:tc>
        <w:tc>
          <w:tcPr>
            <w:tcW w:type="dxa" w:w="700"/>
            <w:tcMar>
              <w:top w:w="80" w:type="dxa"/>
              <w:bottom w:w="80" w:type="dxa"/>
              <w:start w:w="120" w:type="dxa"/>
              <w:end w:w="120" w:type="dxa"/>
            </w:tcMar>
            <w:vAlign w:val="center"/>
          </w:tcPr>
          <w:p>
            <w:pPr>
              <w:spacing w:before="0" w:after="0" w:line="269" w:lineRule="auto"/>
              <w:jc w:val="center"/>
            </w:pPr>
            <w:r/>
          </w:p>
        </w:tc>
        <w:tc>
          <w:tcPr>
            <w:tcW w:type="dxa" w:w="660"/>
            <w:tcMar>
              <w:top w:w="80" w:type="dxa"/>
              <w:bottom w:w="80" w:type="dxa"/>
              <w:start w:w="120" w:type="dxa"/>
              <w:end w:w="120" w:type="dxa"/>
            </w:tcMar>
            <w:vAlign w:val="center"/>
          </w:tcPr>
          <w:p>
            <w:pPr>
              <w:spacing w:before="0" w:after="0" w:line="269" w:lineRule="auto"/>
              <w:jc w:val="center"/>
            </w:pPr>
            <w:r/>
          </w:p>
        </w:tc>
        <w:tc>
          <w:tcPr>
            <w:tcW w:type="dxa" w:w="730"/>
            <w:tcMar>
              <w:top w:w="80" w:type="dxa"/>
              <w:bottom w:w="80" w:type="dxa"/>
              <w:start w:w="120" w:type="dxa"/>
              <w:end w:w="120" w:type="dxa"/>
            </w:tcMar>
            <w:vAlign w:val="center"/>
          </w:tcPr>
          <w:p>
            <w:pPr>
              <w:spacing w:before="0" w:after="0" w:line="269" w:lineRule="auto"/>
              <w:jc w:val="center"/>
            </w:pPr>
            <w:r/>
          </w:p>
        </w:tc>
        <w:tc>
          <w:tcPr>
            <w:tcW w:type="dxa" w:w="730"/>
            <w:tcMar>
              <w:top w:w="80" w:type="dxa"/>
              <w:bottom w:w="80" w:type="dxa"/>
              <w:start w:w="120" w:type="dxa"/>
              <w:end w:w="120" w:type="dxa"/>
            </w:tcMar>
            <w:vAlign w:val="center"/>
          </w:tcPr>
          <w:p>
            <w:pPr>
              <w:spacing w:before="0" w:after="0" w:line="269" w:lineRule="auto"/>
              <w:jc w:val="center"/>
            </w:pPr>
            <w:r/>
          </w:p>
        </w:tc>
        <w:tc>
          <w:tcPr>
            <w:tcW w:type="dxa" w:w="720"/>
            <w:tcMar>
              <w:top w:w="80" w:type="dxa"/>
              <w:bottom w:w="80" w:type="dxa"/>
              <w:start w:w="120" w:type="dxa"/>
              <w:end w:w="120" w:type="dxa"/>
            </w:tcMar>
            <w:vAlign w:val="center"/>
          </w:tcPr>
          <w:p>
            <w:pPr>
              <w:spacing w:before="0" w:after="0" w:line="269" w:lineRule="auto"/>
              <w:jc w:val="center"/>
            </w:pPr>
            <w:r/>
          </w:p>
        </w:tc>
        <w:tc>
          <w:tcPr>
            <w:tcW w:type="dxa" w:w="710"/>
            <w:tcMar>
              <w:top w:w="80" w:type="dxa"/>
              <w:bottom w:w="80" w:type="dxa"/>
              <w:start w:w="120" w:type="dxa"/>
              <w:end w:w="120" w:type="dxa"/>
            </w:tcMar>
            <w:vAlign w:val="center"/>
          </w:tcPr>
          <w:p>
            <w:pPr>
              <w:spacing w:before="0" w:after="0" w:line="269" w:lineRule="auto"/>
              <w:jc w:val="center"/>
            </w:pPr>
            <w:r/>
            <w:r>
              <w:rPr>
                <w:rFonts w:ascii="Calibri" w:hAnsi="Calibri"/>
                <w:color w:val="222222"/>
                <w:sz w:val="15"/>
              </w:rPr>
              <w:t>no</w:t>
            </w:r>
          </w:p>
        </w:tc>
        <w:tc>
          <w:tcPr>
            <w:tcW w:type="dxa" w:w="750"/>
            <w:tcMar>
              <w:top w:w="80" w:type="dxa"/>
              <w:bottom w:w="80" w:type="dxa"/>
              <w:start w:w="120" w:type="dxa"/>
              <w:end w:w="120" w:type="dxa"/>
            </w:tcMar>
            <w:vAlign w:val="center"/>
          </w:tcPr>
          <w:p>
            <w:pPr>
              <w:spacing w:before="0" w:after="0" w:line="269" w:lineRule="auto"/>
              <w:jc w:val="center"/>
            </w:pPr>
            <w:r/>
          </w:p>
        </w:tc>
      </w:tr>
      <w:tr>
        <w:trPr>
          <w:cantSplit w:val="true"/>
        </w:trPr>
        <w:tc>
          <w:tcPr>
            <w:tcW w:type="dxa" w:w="660"/>
            <w:tcMar>
              <w:top w:w="80" w:type="dxa"/>
              <w:bottom w:w="80" w:type="dxa"/>
              <w:start w:w="120" w:type="dxa"/>
              <w:end w:w="120" w:type="dxa"/>
            </w:tcMar>
            <w:vAlign w:val="center"/>
          </w:tcPr>
          <w:p>
            <w:pPr>
              <w:spacing w:before="0" w:after="0" w:line="269" w:lineRule="auto"/>
              <w:jc w:val="left"/>
            </w:pPr>
            <w:r/>
            <w:r>
              <w:rPr>
                <w:rFonts w:ascii="Calibri" w:hAnsi="Calibri"/>
                <w:color w:val="222222"/>
                <w:sz w:val="15"/>
              </w:rPr>
              <w:t>M010</w:t>
            </w:r>
          </w:p>
        </w:tc>
        <w:tc>
          <w:tcPr>
            <w:tcW w:type="dxa" w:w="700"/>
            <w:tcMar>
              <w:top w:w="80" w:type="dxa"/>
              <w:bottom w:w="80" w:type="dxa"/>
              <w:start w:w="120" w:type="dxa"/>
              <w:end w:w="120" w:type="dxa"/>
            </w:tcMar>
            <w:vAlign w:val="center"/>
          </w:tcPr>
          <w:p>
            <w:pPr>
              <w:spacing w:before="0" w:after="0" w:line="269" w:lineRule="auto"/>
              <w:jc w:val="center"/>
            </w:pPr>
            <w:r/>
          </w:p>
        </w:tc>
        <w:tc>
          <w:tcPr>
            <w:tcW w:type="dxa" w:w="710"/>
            <w:tcMar>
              <w:top w:w="80" w:type="dxa"/>
              <w:bottom w:w="80" w:type="dxa"/>
              <w:start w:w="120" w:type="dxa"/>
              <w:end w:w="120" w:type="dxa"/>
            </w:tcMar>
            <w:vAlign w:val="center"/>
          </w:tcPr>
          <w:p>
            <w:pPr>
              <w:spacing w:before="0" w:after="0" w:line="269" w:lineRule="auto"/>
              <w:jc w:val="center"/>
            </w:pPr>
            <w:r/>
          </w:p>
        </w:tc>
        <w:tc>
          <w:tcPr>
            <w:tcW w:type="dxa" w:w="820"/>
            <w:tcMar>
              <w:top w:w="80" w:type="dxa"/>
              <w:bottom w:w="80" w:type="dxa"/>
              <w:start w:w="120" w:type="dxa"/>
              <w:end w:w="120" w:type="dxa"/>
            </w:tcMar>
            <w:vAlign w:val="center"/>
          </w:tcPr>
          <w:p>
            <w:pPr>
              <w:spacing w:before="0" w:after="0" w:line="269" w:lineRule="auto"/>
              <w:jc w:val="center"/>
            </w:pPr>
            <w:r/>
          </w:p>
        </w:tc>
        <w:tc>
          <w:tcPr>
            <w:tcW w:type="dxa" w:w="780"/>
            <w:tcMar>
              <w:top w:w="80" w:type="dxa"/>
              <w:bottom w:w="80" w:type="dxa"/>
              <w:start w:w="120" w:type="dxa"/>
              <w:end w:w="120" w:type="dxa"/>
            </w:tcMar>
            <w:vAlign w:val="center"/>
          </w:tcPr>
          <w:p>
            <w:pPr>
              <w:spacing w:before="0" w:after="0" w:line="269" w:lineRule="auto"/>
              <w:jc w:val="center"/>
            </w:pPr>
            <w:r/>
          </w:p>
        </w:tc>
        <w:tc>
          <w:tcPr>
            <w:tcW w:type="dxa" w:w="690"/>
            <w:tcMar>
              <w:top w:w="80" w:type="dxa"/>
              <w:bottom w:w="80" w:type="dxa"/>
              <w:start w:w="120" w:type="dxa"/>
              <w:end w:w="120" w:type="dxa"/>
            </w:tcMar>
            <w:vAlign w:val="center"/>
          </w:tcPr>
          <w:p>
            <w:pPr>
              <w:spacing w:before="0" w:after="0" w:line="269" w:lineRule="auto"/>
              <w:jc w:val="center"/>
            </w:pPr>
            <w:r/>
          </w:p>
        </w:tc>
        <w:tc>
          <w:tcPr>
            <w:tcW w:type="dxa" w:w="700"/>
            <w:tcMar>
              <w:top w:w="80" w:type="dxa"/>
              <w:bottom w:w="80" w:type="dxa"/>
              <w:start w:w="120" w:type="dxa"/>
              <w:end w:w="120" w:type="dxa"/>
            </w:tcMar>
            <w:vAlign w:val="center"/>
          </w:tcPr>
          <w:p>
            <w:pPr>
              <w:spacing w:before="0" w:after="0" w:line="269" w:lineRule="auto"/>
              <w:jc w:val="center"/>
            </w:pPr>
            <w:r/>
          </w:p>
        </w:tc>
        <w:tc>
          <w:tcPr>
            <w:tcW w:type="dxa" w:w="660"/>
            <w:tcMar>
              <w:top w:w="80" w:type="dxa"/>
              <w:bottom w:w="80" w:type="dxa"/>
              <w:start w:w="120" w:type="dxa"/>
              <w:end w:w="120" w:type="dxa"/>
            </w:tcMar>
            <w:vAlign w:val="center"/>
          </w:tcPr>
          <w:p>
            <w:pPr>
              <w:spacing w:before="0" w:after="0" w:line="269" w:lineRule="auto"/>
              <w:jc w:val="center"/>
            </w:pPr>
            <w:r/>
          </w:p>
        </w:tc>
        <w:tc>
          <w:tcPr>
            <w:tcW w:type="dxa" w:w="730"/>
            <w:tcMar>
              <w:top w:w="80" w:type="dxa"/>
              <w:bottom w:w="80" w:type="dxa"/>
              <w:start w:w="120" w:type="dxa"/>
              <w:end w:w="120" w:type="dxa"/>
            </w:tcMar>
            <w:vAlign w:val="center"/>
          </w:tcPr>
          <w:p>
            <w:pPr>
              <w:spacing w:before="0" w:after="0" w:line="269" w:lineRule="auto"/>
              <w:jc w:val="center"/>
            </w:pPr>
            <w:r/>
          </w:p>
        </w:tc>
        <w:tc>
          <w:tcPr>
            <w:tcW w:type="dxa" w:w="730"/>
            <w:tcMar>
              <w:top w:w="80" w:type="dxa"/>
              <w:bottom w:w="80" w:type="dxa"/>
              <w:start w:w="120" w:type="dxa"/>
              <w:end w:w="120" w:type="dxa"/>
            </w:tcMar>
            <w:vAlign w:val="center"/>
          </w:tcPr>
          <w:p>
            <w:pPr>
              <w:spacing w:before="0" w:after="0" w:line="269" w:lineRule="auto"/>
              <w:jc w:val="center"/>
            </w:pPr>
            <w:r/>
          </w:p>
        </w:tc>
        <w:tc>
          <w:tcPr>
            <w:tcW w:type="dxa" w:w="720"/>
            <w:tcMar>
              <w:top w:w="80" w:type="dxa"/>
              <w:bottom w:w="80" w:type="dxa"/>
              <w:start w:w="120" w:type="dxa"/>
              <w:end w:w="120" w:type="dxa"/>
            </w:tcMar>
            <w:vAlign w:val="center"/>
          </w:tcPr>
          <w:p>
            <w:pPr>
              <w:spacing w:before="0" w:after="0" w:line="269" w:lineRule="auto"/>
              <w:jc w:val="center"/>
            </w:pPr>
            <w:r/>
          </w:p>
        </w:tc>
        <w:tc>
          <w:tcPr>
            <w:tcW w:type="dxa" w:w="710"/>
            <w:tcMar>
              <w:top w:w="80" w:type="dxa"/>
              <w:bottom w:w="80" w:type="dxa"/>
              <w:start w:w="120" w:type="dxa"/>
              <w:end w:w="120" w:type="dxa"/>
            </w:tcMar>
            <w:vAlign w:val="center"/>
          </w:tcPr>
          <w:p>
            <w:pPr>
              <w:spacing w:before="0" w:after="0" w:line="269" w:lineRule="auto"/>
              <w:jc w:val="center"/>
            </w:pPr>
            <w:r/>
            <w:r>
              <w:rPr>
                <w:rFonts w:ascii="Calibri" w:hAnsi="Calibri"/>
                <w:color w:val="222222"/>
                <w:sz w:val="15"/>
              </w:rPr>
              <w:t>no</w:t>
            </w:r>
          </w:p>
        </w:tc>
        <w:tc>
          <w:tcPr>
            <w:tcW w:type="dxa" w:w="750"/>
            <w:tcMar>
              <w:top w:w="80" w:type="dxa"/>
              <w:bottom w:w="80" w:type="dxa"/>
              <w:start w:w="120" w:type="dxa"/>
              <w:end w:w="120" w:type="dxa"/>
            </w:tcMar>
            <w:vAlign w:val="center"/>
          </w:tcPr>
          <w:p>
            <w:pPr>
              <w:spacing w:before="0" w:after="0" w:line="269" w:lineRule="auto"/>
              <w:jc w:val="center"/>
            </w:pPr>
            <w:r/>
          </w:p>
        </w:tc>
      </w:tr>
      <w:tr>
        <w:trPr>
          <w:cantSplit w:val="true"/>
        </w:trPr>
        <w:tc>
          <w:tcPr>
            <w:tcW w:type="dxa" w:w="660"/>
            <w:tcMar>
              <w:top w:w="80" w:type="dxa"/>
              <w:bottom w:w="80" w:type="dxa"/>
              <w:start w:w="120" w:type="dxa"/>
              <w:end w:w="120" w:type="dxa"/>
            </w:tcMar>
            <w:vAlign w:val="center"/>
          </w:tcPr>
          <w:p>
            <w:pPr>
              <w:spacing w:before="0" w:after="0" w:line="269" w:lineRule="auto"/>
              <w:jc w:val="left"/>
            </w:pPr>
            <w:r/>
            <w:r>
              <w:rPr>
                <w:rFonts w:ascii="Calibri" w:hAnsi="Calibri"/>
                <w:color w:val="222222"/>
                <w:sz w:val="15"/>
              </w:rPr>
              <w:t>M011</w:t>
            </w:r>
          </w:p>
        </w:tc>
        <w:tc>
          <w:tcPr>
            <w:tcW w:type="dxa" w:w="700"/>
            <w:tcMar>
              <w:top w:w="80" w:type="dxa"/>
              <w:bottom w:w="80" w:type="dxa"/>
              <w:start w:w="120" w:type="dxa"/>
              <w:end w:w="120" w:type="dxa"/>
            </w:tcMar>
            <w:vAlign w:val="center"/>
          </w:tcPr>
          <w:p>
            <w:pPr>
              <w:spacing w:before="0" w:after="0" w:line="269" w:lineRule="auto"/>
              <w:jc w:val="center"/>
            </w:pPr>
            <w:r/>
          </w:p>
        </w:tc>
        <w:tc>
          <w:tcPr>
            <w:tcW w:type="dxa" w:w="710"/>
            <w:tcMar>
              <w:top w:w="80" w:type="dxa"/>
              <w:bottom w:w="80" w:type="dxa"/>
              <w:start w:w="120" w:type="dxa"/>
              <w:end w:w="120" w:type="dxa"/>
            </w:tcMar>
            <w:vAlign w:val="center"/>
          </w:tcPr>
          <w:p>
            <w:pPr>
              <w:spacing w:before="0" w:after="0" w:line="269" w:lineRule="auto"/>
              <w:jc w:val="center"/>
            </w:pPr>
            <w:r/>
          </w:p>
        </w:tc>
        <w:tc>
          <w:tcPr>
            <w:tcW w:type="dxa" w:w="820"/>
            <w:tcMar>
              <w:top w:w="80" w:type="dxa"/>
              <w:bottom w:w="80" w:type="dxa"/>
              <w:start w:w="120" w:type="dxa"/>
              <w:end w:w="120" w:type="dxa"/>
            </w:tcMar>
            <w:vAlign w:val="center"/>
          </w:tcPr>
          <w:p>
            <w:pPr>
              <w:spacing w:before="0" w:after="0" w:line="269" w:lineRule="auto"/>
              <w:jc w:val="center"/>
            </w:pPr>
            <w:r/>
          </w:p>
        </w:tc>
        <w:tc>
          <w:tcPr>
            <w:tcW w:type="dxa" w:w="780"/>
            <w:tcMar>
              <w:top w:w="80" w:type="dxa"/>
              <w:bottom w:w="80" w:type="dxa"/>
              <w:start w:w="120" w:type="dxa"/>
              <w:end w:w="120" w:type="dxa"/>
            </w:tcMar>
            <w:vAlign w:val="center"/>
          </w:tcPr>
          <w:p>
            <w:pPr>
              <w:spacing w:before="0" w:after="0" w:line="269" w:lineRule="auto"/>
              <w:jc w:val="center"/>
            </w:pPr>
            <w:r/>
          </w:p>
        </w:tc>
        <w:tc>
          <w:tcPr>
            <w:tcW w:type="dxa" w:w="690"/>
            <w:tcMar>
              <w:top w:w="80" w:type="dxa"/>
              <w:bottom w:w="80" w:type="dxa"/>
              <w:start w:w="120" w:type="dxa"/>
              <w:end w:w="120" w:type="dxa"/>
            </w:tcMar>
            <w:vAlign w:val="center"/>
          </w:tcPr>
          <w:p>
            <w:pPr>
              <w:spacing w:before="0" w:after="0" w:line="269" w:lineRule="auto"/>
              <w:jc w:val="center"/>
            </w:pPr>
            <w:r/>
          </w:p>
        </w:tc>
        <w:tc>
          <w:tcPr>
            <w:tcW w:type="dxa" w:w="700"/>
            <w:tcMar>
              <w:top w:w="80" w:type="dxa"/>
              <w:bottom w:w="80" w:type="dxa"/>
              <w:start w:w="120" w:type="dxa"/>
              <w:end w:w="120" w:type="dxa"/>
            </w:tcMar>
            <w:vAlign w:val="center"/>
          </w:tcPr>
          <w:p>
            <w:pPr>
              <w:spacing w:before="0" w:after="0" w:line="269" w:lineRule="auto"/>
              <w:jc w:val="center"/>
            </w:pPr>
            <w:r/>
          </w:p>
        </w:tc>
        <w:tc>
          <w:tcPr>
            <w:tcW w:type="dxa" w:w="660"/>
            <w:tcMar>
              <w:top w:w="80" w:type="dxa"/>
              <w:bottom w:w="80" w:type="dxa"/>
              <w:start w:w="120" w:type="dxa"/>
              <w:end w:w="120" w:type="dxa"/>
            </w:tcMar>
            <w:vAlign w:val="center"/>
          </w:tcPr>
          <w:p>
            <w:pPr>
              <w:spacing w:before="0" w:after="0" w:line="269" w:lineRule="auto"/>
              <w:jc w:val="center"/>
            </w:pPr>
            <w:r/>
          </w:p>
        </w:tc>
        <w:tc>
          <w:tcPr>
            <w:tcW w:type="dxa" w:w="730"/>
            <w:tcMar>
              <w:top w:w="80" w:type="dxa"/>
              <w:bottom w:w="80" w:type="dxa"/>
              <w:start w:w="120" w:type="dxa"/>
              <w:end w:w="120" w:type="dxa"/>
            </w:tcMar>
            <w:vAlign w:val="center"/>
          </w:tcPr>
          <w:p>
            <w:pPr>
              <w:spacing w:before="0" w:after="0" w:line="269" w:lineRule="auto"/>
              <w:jc w:val="center"/>
            </w:pPr>
            <w:r/>
          </w:p>
        </w:tc>
        <w:tc>
          <w:tcPr>
            <w:tcW w:type="dxa" w:w="730"/>
            <w:tcMar>
              <w:top w:w="80" w:type="dxa"/>
              <w:bottom w:w="80" w:type="dxa"/>
              <w:start w:w="120" w:type="dxa"/>
              <w:end w:w="120" w:type="dxa"/>
            </w:tcMar>
            <w:vAlign w:val="center"/>
          </w:tcPr>
          <w:p>
            <w:pPr>
              <w:spacing w:before="0" w:after="0" w:line="269" w:lineRule="auto"/>
              <w:jc w:val="center"/>
            </w:pPr>
            <w:r/>
          </w:p>
        </w:tc>
        <w:tc>
          <w:tcPr>
            <w:tcW w:type="dxa" w:w="720"/>
            <w:tcMar>
              <w:top w:w="80" w:type="dxa"/>
              <w:bottom w:w="80" w:type="dxa"/>
              <w:start w:w="120" w:type="dxa"/>
              <w:end w:w="120" w:type="dxa"/>
            </w:tcMar>
            <w:vAlign w:val="center"/>
          </w:tcPr>
          <w:p>
            <w:pPr>
              <w:spacing w:before="0" w:after="0" w:line="269" w:lineRule="auto"/>
              <w:jc w:val="center"/>
            </w:pPr>
            <w:r/>
          </w:p>
        </w:tc>
        <w:tc>
          <w:tcPr>
            <w:tcW w:type="dxa" w:w="710"/>
            <w:tcMar>
              <w:top w:w="80" w:type="dxa"/>
              <w:bottom w:w="80" w:type="dxa"/>
              <w:start w:w="120" w:type="dxa"/>
              <w:end w:w="120" w:type="dxa"/>
            </w:tcMar>
            <w:vAlign w:val="center"/>
          </w:tcPr>
          <w:p>
            <w:pPr>
              <w:spacing w:before="0" w:after="0" w:line="269" w:lineRule="auto"/>
              <w:jc w:val="center"/>
            </w:pPr>
            <w:r/>
            <w:r>
              <w:rPr>
                <w:rFonts w:ascii="Calibri" w:hAnsi="Calibri"/>
                <w:color w:val="222222"/>
                <w:sz w:val="15"/>
              </w:rPr>
              <w:t>no</w:t>
            </w:r>
          </w:p>
        </w:tc>
        <w:tc>
          <w:tcPr>
            <w:tcW w:type="dxa" w:w="750"/>
            <w:tcMar>
              <w:top w:w="80" w:type="dxa"/>
              <w:bottom w:w="80" w:type="dxa"/>
              <w:start w:w="120" w:type="dxa"/>
              <w:end w:w="120" w:type="dxa"/>
            </w:tcMar>
            <w:vAlign w:val="center"/>
          </w:tcPr>
          <w:p>
            <w:pPr>
              <w:spacing w:before="0" w:after="0" w:line="269" w:lineRule="auto"/>
              <w:jc w:val="center"/>
            </w:pPr>
            <w:r/>
          </w:p>
        </w:tc>
      </w:tr>
      <w:tr>
        <w:trPr>
          <w:cantSplit w:val="true"/>
        </w:trPr>
        <w:tc>
          <w:tcPr>
            <w:tcW w:type="dxa" w:w="660"/>
            <w:tcMar>
              <w:top w:w="80" w:type="dxa"/>
              <w:bottom w:w="80" w:type="dxa"/>
              <w:start w:w="120" w:type="dxa"/>
              <w:end w:w="120" w:type="dxa"/>
            </w:tcMar>
            <w:vAlign w:val="center"/>
          </w:tcPr>
          <w:p>
            <w:pPr>
              <w:spacing w:before="0" w:after="0" w:line="269" w:lineRule="auto"/>
              <w:jc w:val="left"/>
            </w:pPr>
            <w:r/>
            <w:r>
              <w:rPr>
                <w:rFonts w:ascii="Calibri" w:hAnsi="Calibri"/>
                <w:color w:val="222222"/>
                <w:sz w:val="15"/>
              </w:rPr>
              <w:t>M012</w:t>
            </w:r>
          </w:p>
        </w:tc>
        <w:tc>
          <w:tcPr>
            <w:tcW w:type="dxa" w:w="700"/>
            <w:tcMar>
              <w:top w:w="80" w:type="dxa"/>
              <w:bottom w:w="80" w:type="dxa"/>
              <w:start w:w="120" w:type="dxa"/>
              <w:end w:w="120" w:type="dxa"/>
            </w:tcMar>
            <w:vAlign w:val="center"/>
          </w:tcPr>
          <w:p>
            <w:pPr>
              <w:spacing w:before="0" w:after="0" w:line="269" w:lineRule="auto"/>
              <w:jc w:val="center"/>
            </w:pPr>
            <w:r/>
          </w:p>
        </w:tc>
        <w:tc>
          <w:tcPr>
            <w:tcW w:type="dxa" w:w="710"/>
            <w:tcMar>
              <w:top w:w="80" w:type="dxa"/>
              <w:bottom w:w="80" w:type="dxa"/>
              <w:start w:w="120" w:type="dxa"/>
              <w:end w:w="120" w:type="dxa"/>
            </w:tcMar>
            <w:vAlign w:val="center"/>
          </w:tcPr>
          <w:p>
            <w:pPr>
              <w:spacing w:before="0" w:after="0" w:line="269" w:lineRule="auto"/>
              <w:jc w:val="center"/>
            </w:pPr>
            <w:r/>
          </w:p>
        </w:tc>
        <w:tc>
          <w:tcPr>
            <w:tcW w:type="dxa" w:w="820"/>
            <w:tcMar>
              <w:top w:w="80" w:type="dxa"/>
              <w:bottom w:w="80" w:type="dxa"/>
              <w:start w:w="120" w:type="dxa"/>
              <w:end w:w="120" w:type="dxa"/>
            </w:tcMar>
            <w:vAlign w:val="center"/>
          </w:tcPr>
          <w:p>
            <w:pPr>
              <w:spacing w:before="0" w:after="0" w:line="269" w:lineRule="auto"/>
              <w:jc w:val="center"/>
            </w:pPr>
            <w:r/>
          </w:p>
        </w:tc>
        <w:tc>
          <w:tcPr>
            <w:tcW w:type="dxa" w:w="780"/>
            <w:tcMar>
              <w:top w:w="80" w:type="dxa"/>
              <w:bottom w:w="80" w:type="dxa"/>
              <w:start w:w="120" w:type="dxa"/>
              <w:end w:w="120" w:type="dxa"/>
            </w:tcMar>
            <w:vAlign w:val="center"/>
          </w:tcPr>
          <w:p>
            <w:pPr>
              <w:spacing w:before="0" w:after="0" w:line="269" w:lineRule="auto"/>
              <w:jc w:val="center"/>
            </w:pPr>
            <w:r/>
          </w:p>
        </w:tc>
        <w:tc>
          <w:tcPr>
            <w:tcW w:type="dxa" w:w="690"/>
            <w:tcMar>
              <w:top w:w="80" w:type="dxa"/>
              <w:bottom w:w="80" w:type="dxa"/>
              <w:start w:w="120" w:type="dxa"/>
              <w:end w:w="120" w:type="dxa"/>
            </w:tcMar>
            <w:vAlign w:val="center"/>
          </w:tcPr>
          <w:p>
            <w:pPr>
              <w:spacing w:before="0" w:after="0" w:line="269" w:lineRule="auto"/>
              <w:jc w:val="center"/>
            </w:pPr>
            <w:r/>
          </w:p>
        </w:tc>
        <w:tc>
          <w:tcPr>
            <w:tcW w:type="dxa" w:w="700"/>
            <w:tcMar>
              <w:top w:w="80" w:type="dxa"/>
              <w:bottom w:w="80" w:type="dxa"/>
              <w:start w:w="120" w:type="dxa"/>
              <w:end w:w="120" w:type="dxa"/>
            </w:tcMar>
            <w:vAlign w:val="center"/>
          </w:tcPr>
          <w:p>
            <w:pPr>
              <w:spacing w:before="0" w:after="0" w:line="269" w:lineRule="auto"/>
              <w:jc w:val="center"/>
            </w:pPr>
            <w:r/>
          </w:p>
        </w:tc>
        <w:tc>
          <w:tcPr>
            <w:tcW w:type="dxa" w:w="660"/>
            <w:tcMar>
              <w:top w:w="80" w:type="dxa"/>
              <w:bottom w:w="80" w:type="dxa"/>
              <w:start w:w="120" w:type="dxa"/>
              <w:end w:w="120" w:type="dxa"/>
            </w:tcMar>
            <w:vAlign w:val="center"/>
          </w:tcPr>
          <w:p>
            <w:pPr>
              <w:spacing w:before="0" w:after="0" w:line="269" w:lineRule="auto"/>
              <w:jc w:val="center"/>
            </w:pPr>
            <w:r/>
          </w:p>
        </w:tc>
        <w:tc>
          <w:tcPr>
            <w:tcW w:type="dxa" w:w="730"/>
            <w:tcMar>
              <w:top w:w="80" w:type="dxa"/>
              <w:bottom w:w="80" w:type="dxa"/>
              <w:start w:w="120" w:type="dxa"/>
              <w:end w:w="120" w:type="dxa"/>
            </w:tcMar>
            <w:vAlign w:val="center"/>
          </w:tcPr>
          <w:p>
            <w:pPr>
              <w:spacing w:before="0" w:after="0" w:line="269" w:lineRule="auto"/>
              <w:jc w:val="center"/>
            </w:pPr>
            <w:r/>
          </w:p>
        </w:tc>
        <w:tc>
          <w:tcPr>
            <w:tcW w:type="dxa" w:w="730"/>
            <w:tcMar>
              <w:top w:w="80" w:type="dxa"/>
              <w:bottom w:w="80" w:type="dxa"/>
              <w:start w:w="120" w:type="dxa"/>
              <w:end w:w="120" w:type="dxa"/>
            </w:tcMar>
            <w:vAlign w:val="center"/>
          </w:tcPr>
          <w:p>
            <w:pPr>
              <w:spacing w:before="0" w:after="0" w:line="269" w:lineRule="auto"/>
              <w:jc w:val="center"/>
            </w:pPr>
            <w:r/>
          </w:p>
        </w:tc>
        <w:tc>
          <w:tcPr>
            <w:tcW w:type="dxa" w:w="720"/>
            <w:tcMar>
              <w:top w:w="80" w:type="dxa"/>
              <w:bottom w:w="80" w:type="dxa"/>
              <w:start w:w="120" w:type="dxa"/>
              <w:end w:w="120" w:type="dxa"/>
            </w:tcMar>
            <w:vAlign w:val="center"/>
          </w:tcPr>
          <w:p>
            <w:pPr>
              <w:spacing w:before="0" w:after="0" w:line="269" w:lineRule="auto"/>
              <w:jc w:val="center"/>
            </w:pPr>
            <w:r/>
          </w:p>
        </w:tc>
        <w:tc>
          <w:tcPr>
            <w:tcW w:type="dxa" w:w="710"/>
            <w:tcMar>
              <w:top w:w="80" w:type="dxa"/>
              <w:bottom w:w="80" w:type="dxa"/>
              <w:start w:w="120" w:type="dxa"/>
              <w:end w:w="120" w:type="dxa"/>
            </w:tcMar>
            <w:vAlign w:val="center"/>
          </w:tcPr>
          <w:p>
            <w:pPr>
              <w:spacing w:before="0" w:after="0" w:line="269" w:lineRule="auto"/>
              <w:jc w:val="center"/>
            </w:pPr>
            <w:r/>
            <w:r>
              <w:rPr>
                <w:rFonts w:ascii="Calibri" w:hAnsi="Calibri"/>
                <w:color w:val="222222"/>
                <w:sz w:val="15"/>
              </w:rPr>
              <w:t>no</w:t>
            </w:r>
          </w:p>
        </w:tc>
        <w:tc>
          <w:tcPr>
            <w:tcW w:type="dxa" w:w="750"/>
            <w:tcMar>
              <w:top w:w="80" w:type="dxa"/>
              <w:bottom w:w="80" w:type="dxa"/>
              <w:start w:w="120" w:type="dxa"/>
              <w:end w:w="120" w:type="dxa"/>
            </w:tcMar>
            <w:vAlign w:val="center"/>
          </w:tcPr>
          <w:p>
            <w:pPr>
              <w:spacing w:before="0" w:after="0" w:line="269" w:lineRule="auto"/>
              <w:jc w:val="center"/>
            </w:pPr>
            <w:r/>
          </w:p>
        </w:tc>
      </w:tr>
    </w:tbl>
    <w:p>
      <w:pPr>
        <w:spacing w:before="0" w:after="40"/>
      </w:pPr>
    </w:p>
    <w:p>
      <w:r>
        <w:rPr>
          <w:rFonts w:ascii="Calibri" w:hAnsi="Calibri"/>
          <w:color w:val="222222"/>
        </w:rPr>
        <w:t>Attach or export the complete column set for machine use. The shortened table above is for review discussion only.</w:t>
      </w:r>
    </w:p>
    <w:p>
      <w:pPr>
        <w:pStyle w:val="Heading2"/>
      </w:pPr>
      <w:r>
        <w:rPr>
          <w:rFonts w:ascii="Calibri" w:hAnsi="Calibri"/>
          <w:color w:val="222222"/>
        </w:rPr>
        <w:t>Tab B - Metadata-field mapping</w:t>
      </w:r>
    </w:p>
    <w:p>
      <w:r>
        <w:rPr>
          <w:rFonts w:ascii="Calibri" w:hAnsi="Calibri"/>
          <w:color w:val="222222"/>
        </w:rPr>
        <w:t>Use one row per source field or coded value.</w:t>
      </w:r>
    </w:p>
    <w:tbl>
      <w:tblPr>
        <w:tblStyle w:val="TableGrid"/>
        <w:tblW w:type="dxa" w:w="9360"/>
        <w:jc w:val="left"/>
        <w:tblLayout w:type="fixed"/>
        <w:tblLook w:firstColumn="1" w:firstRow="1" w:lastColumn="0" w:lastRow="0" w:noHBand="0" w:noVBand="1" w:val="04A0"/>
        <w:tblInd w:w="120" w:type="dxa"/>
      </w:tblPr>
      <w:tblGrid>
        <w:gridCol w:w="3672"/>
        <w:gridCol w:w="5688"/>
      </w:tblGrid>
      <w:tr>
        <w:trPr>
          <w:cantSplit w:val="true"/>
          <w:tblHeader w:val="true"/>
        </w:trPr>
        <w:tc>
          <w:tcPr>
            <w:tcW w:type="dxa" w:w="3672"/>
            <w:tcMar>
              <w:top w:w="80" w:type="dxa"/>
              <w:bottom w:w="80" w:type="dxa"/>
              <w:start w:w="120" w:type="dxa"/>
              <w:end w:w="120" w:type="dxa"/>
            </w:tcMar>
            <w:vAlign w:val="center"/>
            <w:shd w:fill="E8EEF5"/>
          </w:tcPr>
          <w:p>
            <w:pPr>
              <w:spacing w:before="0" w:after="0" w:line="269" w:lineRule="auto"/>
              <w:jc w:val="left"/>
            </w:pPr>
            <w:r>
              <w:rPr>
                <w:b/>
                <w:color w:val="203748"/>
              </w:rPr>
            </w:r>
            <w:r>
              <w:rPr>
                <w:rFonts w:ascii="Calibri" w:hAnsi="Calibri"/>
                <w:b/>
                <w:color w:val="203748"/>
                <w:sz w:val="18"/>
              </w:rPr>
              <w:t>Column</w:t>
            </w:r>
          </w:p>
        </w:tc>
        <w:tc>
          <w:tcPr>
            <w:tcW w:type="dxa" w:w="5688"/>
            <w:tcMar>
              <w:top w:w="80" w:type="dxa"/>
              <w:bottom w:w="80" w:type="dxa"/>
              <w:start w:w="120" w:type="dxa"/>
              <w:end w:w="120" w:type="dxa"/>
            </w:tcMar>
            <w:vAlign w:val="center"/>
            <w:shd w:fill="E8EEF5"/>
          </w:tcPr>
          <w:p>
            <w:pPr>
              <w:spacing w:before="0" w:after="0" w:line="269" w:lineRule="auto"/>
              <w:jc w:val="center"/>
            </w:pPr>
            <w:r>
              <w:rPr>
                <w:b/>
                <w:color w:val="203748"/>
              </w:rPr>
            </w:r>
            <w:r>
              <w:rPr>
                <w:rFonts w:ascii="Calibri" w:hAnsi="Calibri"/>
                <w:b/>
                <w:color w:val="203748"/>
                <w:sz w:val="18"/>
              </w:rPr>
              <w:t>Meaning</w:t>
            </w:r>
          </w:p>
        </w:tc>
      </w:tr>
      <w:tr>
        <w:trPr>
          <w:cantSplit w:val="true"/>
        </w:trPr>
        <w:tc>
          <w:tcPr>
            <w:tcW w:type="dxa" w:w="3672"/>
            <w:tcMar>
              <w:top w:w="80" w:type="dxa"/>
              <w:bottom w:w="80" w:type="dxa"/>
              <w:start w:w="120" w:type="dxa"/>
              <w:end w:w="120" w:type="dxa"/>
            </w:tcMar>
            <w:vAlign w:val="center"/>
          </w:tcPr>
          <w:p>
            <w:pPr>
              <w:spacing w:before="0" w:after="0" w:line="269" w:lineRule="auto"/>
              <w:jc w:val="left"/>
            </w:pPr>
            <w:r/>
            <w:r>
              <w:rPr>
                <w:rFonts w:ascii="Consolas" w:hAnsi="Consolas"/>
                <w:color w:val="1F4D78"/>
                <w:sz w:val="17"/>
                <w:shd w:fill="EEF1F4"/>
              </w:rPr>
              <w:t>metadata_row_id</w:t>
            </w:r>
          </w:p>
        </w:tc>
        <w:tc>
          <w:tcPr>
            <w:tcW w:type="dxa" w:w="5688"/>
            <w:tcMar>
              <w:top w:w="80" w:type="dxa"/>
              <w:bottom w:w="80" w:type="dxa"/>
              <w:start w:w="120" w:type="dxa"/>
              <w:end w:w="120" w:type="dxa"/>
            </w:tcMar>
            <w:vAlign w:val="center"/>
          </w:tcPr>
          <w:p>
            <w:pPr>
              <w:spacing w:before="0" w:after="0" w:line="269" w:lineRule="auto"/>
              <w:jc w:val="center"/>
            </w:pPr>
            <w:r/>
            <w:r>
              <w:rPr>
                <w:rFonts w:ascii="Calibri" w:hAnsi="Calibri"/>
                <w:color w:val="222222"/>
                <w:sz w:val="18"/>
              </w:rPr>
              <w:t>Stable identifier</w:t>
            </w:r>
          </w:p>
        </w:tc>
      </w:tr>
      <w:tr>
        <w:trPr>
          <w:cantSplit w:val="true"/>
        </w:trPr>
        <w:tc>
          <w:tcPr>
            <w:tcW w:type="dxa" w:w="3672"/>
            <w:tcMar>
              <w:top w:w="80" w:type="dxa"/>
              <w:bottom w:w="80" w:type="dxa"/>
              <w:start w:w="120" w:type="dxa"/>
              <w:end w:w="120" w:type="dxa"/>
            </w:tcMar>
            <w:vAlign w:val="center"/>
          </w:tcPr>
          <w:p>
            <w:pPr>
              <w:spacing w:before="0" w:after="0" w:line="269" w:lineRule="auto"/>
              <w:jc w:val="left"/>
            </w:pPr>
            <w:r/>
            <w:r>
              <w:rPr>
                <w:rFonts w:ascii="Consolas" w:hAnsi="Consolas"/>
                <w:color w:val="1F4D78"/>
                <w:sz w:val="17"/>
                <w:shd w:fill="EEF1F4"/>
              </w:rPr>
              <w:t>config_key</w:t>
            </w:r>
          </w:p>
        </w:tc>
        <w:tc>
          <w:tcPr>
            <w:tcW w:type="dxa" w:w="5688"/>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Study configuration key</w:t>
            </w:r>
          </w:p>
        </w:tc>
      </w:tr>
      <w:tr>
        <w:trPr>
          <w:cantSplit w:val="true"/>
        </w:trPr>
        <w:tc>
          <w:tcPr>
            <w:tcW w:type="dxa" w:w="3672"/>
            <w:tcMar>
              <w:top w:w="80" w:type="dxa"/>
              <w:bottom w:w="80" w:type="dxa"/>
              <w:start w:w="120" w:type="dxa"/>
              <w:end w:w="120" w:type="dxa"/>
            </w:tcMar>
            <w:vAlign w:val="center"/>
          </w:tcPr>
          <w:p>
            <w:pPr>
              <w:spacing w:before="0" w:after="0" w:line="269" w:lineRule="auto"/>
              <w:jc w:val="left"/>
            </w:pPr>
            <w:r/>
            <w:r>
              <w:rPr>
                <w:rFonts w:ascii="Consolas" w:hAnsi="Consolas"/>
                <w:color w:val="1F4D78"/>
                <w:sz w:val="17"/>
                <w:shd w:fill="EEF1F4"/>
              </w:rPr>
              <w:t>study_accession</w:t>
            </w:r>
          </w:p>
        </w:tc>
        <w:tc>
          <w:tcPr>
            <w:tcW w:type="dxa" w:w="5688"/>
            <w:tcMar>
              <w:top w:w="80" w:type="dxa"/>
              <w:bottom w:w="80" w:type="dxa"/>
              <w:start w:w="120" w:type="dxa"/>
              <w:end w:w="120" w:type="dxa"/>
            </w:tcMar>
            <w:vAlign w:val="center"/>
          </w:tcPr>
          <w:p>
            <w:pPr>
              <w:spacing w:before="0" w:after="0" w:line="269" w:lineRule="auto"/>
              <w:jc w:val="center"/>
            </w:pPr>
            <w:r/>
            <w:r>
              <w:rPr>
                <w:rFonts w:ascii="Calibri" w:hAnsi="Calibri"/>
                <w:color w:val="222222"/>
                <w:sz w:val="18"/>
              </w:rPr>
              <w:t>Resolved accession</w:t>
            </w:r>
          </w:p>
        </w:tc>
      </w:tr>
      <w:tr>
        <w:trPr>
          <w:cantSplit w:val="true"/>
        </w:trPr>
        <w:tc>
          <w:tcPr>
            <w:tcW w:type="dxa" w:w="3672"/>
            <w:tcMar>
              <w:top w:w="80" w:type="dxa"/>
              <w:bottom w:w="80" w:type="dxa"/>
              <w:start w:w="120" w:type="dxa"/>
              <w:end w:w="120" w:type="dxa"/>
            </w:tcMar>
            <w:vAlign w:val="center"/>
          </w:tcPr>
          <w:p>
            <w:pPr>
              <w:spacing w:before="0" w:after="0" w:line="269" w:lineRule="auto"/>
              <w:jc w:val="left"/>
            </w:pPr>
            <w:r/>
            <w:r>
              <w:rPr>
                <w:rFonts w:ascii="Consolas" w:hAnsi="Consolas"/>
                <w:color w:val="1F4D78"/>
                <w:sz w:val="17"/>
                <w:shd w:fill="EEF1F4"/>
              </w:rPr>
              <w:t>source_block_or_endpoint</w:t>
            </w:r>
          </w:p>
        </w:tc>
        <w:tc>
          <w:tcPr>
            <w:tcW w:type="dxa" w:w="5688"/>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mwTab block or REST URL</w:t>
            </w:r>
          </w:p>
        </w:tc>
      </w:tr>
      <w:tr>
        <w:trPr>
          <w:cantSplit w:val="true"/>
        </w:trPr>
        <w:tc>
          <w:tcPr>
            <w:tcW w:type="dxa" w:w="3672"/>
            <w:tcMar>
              <w:top w:w="80" w:type="dxa"/>
              <w:bottom w:w="80" w:type="dxa"/>
              <w:start w:w="120" w:type="dxa"/>
              <w:end w:w="120" w:type="dxa"/>
            </w:tcMar>
            <w:vAlign w:val="center"/>
          </w:tcPr>
          <w:p>
            <w:pPr>
              <w:spacing w:before="0" w:after="0" w:line="269" w:lineRule="auto"/>
              <w:jc w:val="left"/>
            </w:pPr>
            <w:r/>
            <w:r>
              <w:rPr>
                <w:rFonts w:ascii="Consolas" w:hAnsi="Consolas"/>
                <w:color w:val="1F4D78"/>
                <w:sz w:val="17"/>
                <w:shd w:fill="EEF1F4"/>
              </w:rPr>
              <w:t>source_field</w:t>
            </w:r>
          </w:p>
        </w:tc>
        <w:tc>
          <w:tcPr>
            <w:tcW w:type="dxa" w:w="5688"/>
            <w:tcMar>
              <w:top w:w="80" w:type="dxa"/>
              <w:bottom w:w="80" w:type="dxa"/>
              <w:start w:w="120" w:type="dxa"/>
              <w:end w:w="120" w:type="dxa"/>
            </w:tcMar>
            <w:vAlign w:val="center"/>
          </w:tcPr>
          <w:p>
            <w:pPr>
              <w:spacing w:before="0" w:after="0" w:line="269" w:lineRule="auto"/>
              <w:jc w:val="center"/>
            </w:pPr>
            <w:r/>
            <w:r>
              <w:rPr>
                <w:rFonts w:ascii="Calibri" w:hAnsi="Calibri"/>
                <w:color w:val="222222"/>
                <w:sz w:val="18"/>
              </w:rPr>
              <w:t>Exact field name</w:t>
            </w:r>
          </w:p>
        </w:tc>
      </w:tr>
      <w:tr>
        <w:trPr>
          <w:cantSplit w:val="true"/>
        </w:trPr>
        <w:tc>
          <w:tcPr>
            <w:tcW w:type="dxa" w:w="3672"/>
            <w:tcMar>
              <w:top w:w="80" w:type="dxa"/>
              <w:bottom w:w="80" w:type="dxa"/>
              <w:start w:w="120" w:type="dxa"/>
              <w:end w:w="120" w:type="dxa"/>
            </w:tcMar>
            <w:vAlign w:val="center"/>
          </w:tcPr>
          <w:p>
            <w:pPr>
              <w:spacing w:before="0" w:after="0" w:line="269" w:lineRule="auto"/>
              <w:jc w:val="left"/>
            </w:pPr>
            <w:r/>
            <w:r>
              <w:rPr>
                <w:rFonts w:ascii="Consolas" w:hAnsi="Consolas"/>
                <w:color w:val="1F4D78"/>
                <w:sz w:val="17"/>
                <w:shd w:fill="EEF1F4"/>
              </w:rPr>
              <w:t>source_value</w:t>
            </w:r>
          </w:p>
        </w:tc>
        <w:tc>
          <w:tcPr>
            <w:tcW w:type="dxa" w:w="5688"/>
            <w:tcMar>
              <w:top w:w="80" w:type="dxa"/>
              <w:bottom w:w="80" w:type="dxa"/>
              <w:start w:w="120" w:type="dxa"/>
              <w:end w:w="120" w:type="dxa"/>
            </w:tcMar>
            <w:vAlign w:val="center"/>
          </w:tcPr>
          <w:p>
            <w:pPr>
              <w:spacing w:before="0" w:after="0" w:line="269" w:lineRule="auto"/>
              <w:jc w:val="center"/>
            </w:pPr>
            <w:r/>
            <w:r>
              <w:rPr>
                <w:rFonts w:ascii="Calibri" w:hAnsi="Calibri"/>
                <w:color w:val="222222"/>
                <w:sz w:val="18"/>
              </w:rPr>
              <w:t>Exact value</w:t>
            </w:r>
          </w:p>
        </w:tc>
      </w:tr>
      <w:tr>
        <w:trPr>
          <w:cantSplit w:val="true"/>
        </w:trPr>
        <w:tc>
          <w:tcPr>
            <w:tcW w:type="dxa" w:w="3672"/>
            <w:tcMar>
              <w:top w:w="80" w:type="dxa"/>
              <w:bottom w:w="80" w:type="dxa"/>
              <w:start w:w="120" w:type="dxa"/>
              <w:end w:w="120" w:type="dxa"/>
            </w:tcMar>
            <w:vAlign w:val="center"/>
          </w:tcPr>
          <w:p>
            <w:pPr>
              <w:spacing w:before="0" w:after="0" w:line="269" w:lineRule="auto"/>
              <w:jc w:val="left"/>
            </w:pPr>
            <w:r/>
            <w:r>
              <w:rPr>
                <w:rFonts w:ascii="Consolas" w:hAnsi="Consolas"/>
                <w:color w:val="1F4D78"/>
                <w:sz w:val="17"/>
                <w:shd w:fill="EEF1F4"/>
              </w:rPr>
              <w:t>construct_definition</w:t>
            </w:r>
          </w:p>
        </w:tc>
        <w:tc>
          <w:tcPr>
            <w:tcW w:type="dxa" w:w="5688"/>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Meaning supported by protocol</w:t>
            </w:r>
          </w:p>
        </w:tc>
      </w:tr>
      <w:tr>
        <w:trPr>
          <w:cantSplit w:val="true"/>
        </w:trPr>
        <w:tc>
          <w:tcPr>
            <w:tcW w:type="dxa" w:w="3672"/>
            <w:tcMar>
              <w:top w:w="80" w:type="dxa"/>
              <w:bottom w:w="80" w:type="dxa"/>
              <w:start w:w="120" w:type="dxa"/>
              <w:end w:w="120" w:type="dxa"/>
            </w:tcMar>
            <w:vAlign w:val="center"/>
          </w:tcPr>
          <w:p>
            <w:pPr>
              <w:spacing w:before="0" w:after="0" w:line="269" w:lineRule="auto"/>
              <w:jc w:val="left"/>
            </w:pPr>
            <w:r/>
            <w:r>
              <w:rPr>
                <w:rFonts w:ascii="Consolas" w:hAnsi="Consolas"/>
                <w:color w:val="1F4D78"/>
                <w:sz w:val="17"/>
                <w:shd w:fill="EEF1F4"/>
              </w:rPr>
              <w:t>harmonized_field</w:t>
            </w:r>
          </w:p>
        </w:tc>
        <w:tc>
          <w:tcPr>
            <w:tcW w:type="dxa" w:w="5688"/>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Derived common field, if any</w:t>
            </w:r>
          </w:p>
        </w:tc>
      </w:tr>
      <w:tr>
        <w:trPr>
          <w:cantSplit w:val="true"/>
        </w:trPr>
        <w:tc>
          <w:tcPr>
            <w:tcW w:type="dxa" w:w="3672"/>
            <w:tcMar>
              <w:top w:w="80" w:type="dxa"/>
              <w:bottom w:w="80" w:type="dxa"/>
              <w:start w:w="120" w:type="dxa"/>
              <w:end w:w="120" w:type="dxa"/>
            </w:tcMar>
            <w:vAlign w:val="center"/>
          </w:tcPr>
          <w:p>
            <w:pPr>
              <w:spacing w:before="0" w:after="0" w:line="269" w:lineRule="auto"/>
              <w:jc w:val="left"/>
            </w:pPr>
            <w:r/>
            <w:r>
              <w:rPr>
                <w:rFonts w:ascii="Consolas" w:hAnsi="Consolas"/>
                <w:color w:val="1F4D78"/>
                <w:sz w:val="17"/>
                <w:shd w:fill="EEF1F4"/>
              </w:rPr>
              <w:t>harmonized_value</w:t>
            </w:r>
          </w:p>
        </w:tc>
        <w:tc>
          <w:tcPr>
            <w:tcW w:type="dxa" w:w="5688"/>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Derived value, if any</w:t>
            </w:r>
          </w:p>
        </w:tc>
      </w:tr>
      <w:tr>
        <w:trPr>
          <w:cantSplit w:val="true"/>
        </w:trPr>
        <w:tc>
          <w:tcPr>
            <w:tcW w:type="dxa" w:w="3672"/>
            <w:tcMar>
              <w:top w:w="80" w:type="dxa"/>
              <w:bottom w:w="80" w:type="dxa"/>
              <w:start w:w="120" w:type="dxa"/>
              <w:end w:w="120" w:type="dxa"/>
            </w:tcMar>
            <w:vAlign w:val="center"/>
          </w:tcPr>
          <w:p>
            <w:pPr>
              <w:spacing w:before="0" w:after="0" w:line="269" w:lineRule="auto"/>
              <w:jc w:val="left"/>
            </w:pPr>
            <w:r/>
            <w:r>
              <w:rPr>
                <w:rFonts w:ascii="Consolas" w:hAnsi="Consolas"/>
                <w:color w:val="1F4D78"/>
                <w:sz w:val="17"/>
                <w:shd w:fill="EEF1F4"/>
              </w:rPr>
              <w:t>transformation_rule</w:t>
            </w:r>
          </w:p>
        </w:tc>
        <w:tc>
          <w:tcPr>
            <w:tcW w:type="dxa" w:w="5688"/>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Reproducible derivation</w:t>
            </w:r>
          </w:p>
        </w:tc>
      </w:tr>
      <w:tr>
        <w:trPr>
          <w:cantSplit w:val="true"/>
        </w:trPr>
        <w:tc>
          <w:tcPr>
            <w:tcW w:type="dxa" w:w="3672"/>
            <w:tcMar>
              <w:top w:w="80" w:type="dxa"/>
              <w:bottom w:w="80" w:type="dxa"/>
              <w:start w:w="120" w:type="dxa"/>
              <w:end w:w="120" w:type="dxa"/>
            </w:tcMar>
            <w:vAlign w:val="center"/>
          </w:tcPr>
          <w:p>
            <w:pPr>
              <w:spacing w:before="0" w:after="0" w:line="269" w:lineRule="auto"/>
              <w:jc w:val="left"/>
            </w:pPr>
            <w:r/>
            <w:r>
              <w:rPr>
                <w:rFonts w:ascii="Consolas" w:hAnsi="Consolas"/>
                <w:color w:val="1F4D78"/>
                <w:sz w:val="17"/>
                <w:shd w:fill="EEF1F4"/>
              </w:rPr>
              <w:t>information_lost</w:t>
            </w:r>
          </w:p>
        </w:tc>
        <w:tc>
          <w:tcPr>
            <w:tcW w:type="dxa" w:w="5688"/>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 xml:space="preserve">Detail removed or </w:t>
            </w:r>
            <w:r>
              <w:rPr>
                <w:rFonts w:ascii="Consolas" w:hAnsi="Consolas"/>
                <w:color w:val="1F4D78"/>
                <w:sz w:val="17"/>
                <w:shd w:fill="EEF1F4"/>
              </w:rPr>
              <w:t>none</w:t>
            </w:r>
          </w:p>
        </w:tc>
      </w:tr>
      <w:tr>
        <w:trPr>
          <w:cantSplit w:val="true"/>
        </w:trPr>
        <w:tc>
          <w:tcPr>
            <w:tcW w:type="dxa" w:w="3672"/>
            <w:tcMar>
              <w:top w:w="80" w:type="dxa"/>
              <w:bottom w:w="80" w:type="dxa"/>
              <w:start w:w="120" w:type="dxa"/>
              <w:end w:w="120" w:type="dxa"/>
            </w:tcMar>
            <w:vAlign w:val="center"/>
          </w:tcPr>
          <w:p>
            <w:pPr>
              <w:spacing w:before="0" w:after="0" w:line="269" w:lineRule="auto"/>
              <w:jc w:val="left"/>
            </w:pPr>
            <w:r/>
            <w:r>
              <w:rPr>
                <w:rFonts w:ascii="Consolas" w:hAnsi="Consolas"/>
                <w:color w:val="1F4D78"/>
                <w:sz w:val="17"/>
                <w:shd w:fill="EEF1F4"/>
              </w:rPr>
              <w:t>compatibility</w:t>
            </w:r>
          </w:p>
        </w:tc>
        <w:tc>
          <w:tcPr>
            <w:tcW w:type="dxa" w:w="5688"/>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Direct, partial, not comparable, or not yet assessable</w:t>
            </w:r>
          </w:p>
        </w:tc>
      </w:tr>
      <w:tr>
        <w:trPr>
          <w:cantSplit w:val="true"/>
        </w:trPr>
        <w:tc>
          <w:tcPr>
            <w:tcW w:type="dxa" w:w="3672"/>
            <w:tcMar>
              <w:top w:w="80" w:type="dxa"/>
              <w:bottom w:w="80" w:type="dxa"/>
              <w:start w:w="120" w:type="dxa"/>
              <w:end w:w="120" w:type="dxa"/>
            </w:tcMar>
            <w:vAlign w:val="center"/>
          </w:tcPr>
          <w:p>
            <w:pPr>
              <w:spacing w:before="0" w:after="0" w:line="269" w:lineRule="auto"/>
              <w:jc w:val="left"/>
            </w:pPr>
            <w:r/>
            <w:r>
              <w:rPr>
                <w:rFonts w:ascii="Consolas" w:hAnsi="Consolas"/>
                <w:color w:val="1F4D78"/>
                <w:sz w:val="17"/>
                <w:shd w:fill="EEF1F4"/>
              </w:rPr>
              <w:t>purpose</w:t>
            </w:r>
          </w:p>
        </w:tc>
        <w:tc>
          <w:tcPr>
            <w:tcW w:type="dxa" w:w="5688"/>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Analysis purpose for that decision</w:t>
            </w:r>
          </w:p>
        </w:tc>
      </w:tr>
      <w:tr>
        <w:trPr>
          <w:cantSplit w:val="true"/>
        </w:trPr>
        <w:tc>
          <w:tcPr>
            <w:tcW w:type="dxa" w:w="3672"/>
            <w:tcMar>
              <w:top w:w="80" w:type="dxa"/>
              <w:bottom w:w="80" w:type="dxa"/>
              <w:start w:w="120" w:type="dxa"/>
              <w:end w:w="120" w:type="dxa"/>
            </w:tcMar>
            <w:vAlign w:val="center"/>
          </w:tcPr>
          <w:p>
            <w:pPr>
              <w:spacing w:before="0" w:after="0" w:line="269" w:lineRule="auto"/>
              <w:jc w:val="left"/>
            </w:pPr>
            <w:r/>
            <w:r>
              <w:rPr>
                <w:rFonts w:ascii="Consolas" w:hAnsi="Consolas"/>
                <w:color w:val="1F4D78"/>
                <w:sz w:val="17"/>
                <w:shd w:fill="EEF1F4"/>
              </w:rPr>
              <w:t>source_url</w:t>
            </w:r>
          </w:p>
        </w:tc>
        <w:tc>
          <w:tcPr>
            <w:tcW w:type="dxa" w:w="5688"/>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Exact evidence location</w:t>
            </w:r>
          </w:p>
        </w:tc>
      </w:tr>
      <w:tr>
        <w:trPr>
          <w:cantSplit w:val="true"/>
        </w:trPr>
        <w:tc>
          <w:tcPr>
            <w:tcW w:type="dxa" w:w="3672"/>
            <w:tcMar>
              <w:top w:w="80" w:type="dxa"/>
              <w:bottom w:w="80" w:type="dxa"/>
              <w:start w:w="120" w:type="dxa"/>
              <w:end w:w="120" w:type="dxa"/>
            </w:tcMar>
            <w:vAlign w:val="center"/>
          </w:tcPr>
          <w:p>
            <w:pPr>
              <w:spacing w:before="0" w:after="0" w:line="269" w:lineRule="auto"/>
              <w:jc w:val="left"/>
            </w:pPr>
            <w:r/>
            <w:r>
              <w:rPr>
                <w:rFonts w:ascii="Consolas" w:hAnsi="Consolas"/>
                <w:color w:val="1F4D78"/>
                <w:sz w:val="17"/>
                <w:shd w:fill="EEF1F4"/>
              </w:rPr>
              <w:t>retrieved_at_utc</w:t>
            </w:r>
          </w:p>
        </w:tc>
        <w:tc>
          <w:tcPr>
            <w:tcW w:type="dxa" w:w="5688"/>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Retrieval timestamp</w:t>
            </w:r>
          </w:p>
        </w:tc>
      </w:tr>
      <w:tr>
        <w:trPr>
          <w:cantSplit w:val="true"/>
        </w:trPr>
        <w:tc>
          <w:tcPr>
            <w:tcW w:type="dxa" w:w="3672"/>
            <w:tcMar>
              <w:top w:w="80" w:type="dxa"/>
              <w:bottom w:w="80" w:type="dxa"/>
              <w:start w:w="120" w:type="dxa"/>
              <w:end w:w="120" w:type="dxa"/>
            </w:tcMar>
            <w:vAlign w:val="center"/>
          </w:tcPr>
          <w:p>
            <w:pPr>
              <w:spacing w:before="0" w:after="0" w:line="269" w:lineRule="auto"/>
              <w:jc w:val="left"/>
            </w:pPr>
            <w:r/>
            <w:r>
              <w:rPr>
                <w:rFonts w:ascii="Consolas" w:hAnsi="Consolas"/>
                <w:color w:val="1F4D78"/>
                <w:sz w:val="17"/>
                <w:shd w:fill="EEF1F4"/>
              </w:rPr>
              <w:t>reviewer_or_rule</w:t>
            </w:r>
          </w:p>
        </w:tc>
        <w:tc>
          <w:tcPr>
            <w:tcW w:type="dxa" w:w="5688"/>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Reviewer or rule version</w:t>
            </w:r>
          </w:p>
        </w:tc>
      </w:tr>
      <w:tr>
        <w:trPr>
          <w:cantSplit w:val="true"/>
        </w:trPr>
        <w:tc>
          <w:tcPr>
            <w:tcW w:type="dxa" w:w="3672"/>
            <w:tcMar>
              <w:top w:w="80" w:type="dxa"/>
              <w:bottom w:w="80" w:type="dxa"/>
              <w:start w:w="120" w:type="dxa"/>
              <w:end w:w="120" w:type="dxa"/>
            </w:tcMar>
            <w:vAlign w:val="center"/>
          </w:tcPr>
          <w:p>
            <w:pPr>
              <w:spacing w:before="0" w:after="0" w:line="269" w:lineRule="auto"/>
              <w:jc w:val="left"/>
            </w:pPr>
            <w:r/>
            <w:r>
              <w:rPr>
                <w:rFonts w:ascii="Consolas" w:hAnsi="Consolas"/>
                <w:color w:val="1F4D78"/>
                <w:sz w:val="17"/>
                <w:shd w:fill="EEF1F4"/>
              </w:rPr>
              <w:t>decision_note</w:t>
            </w:r>
          </w:p>
        </w:tc>
        <w:tc>
          <w:tcPr>
            <w:tcW w:type="dxa" w:w="5688"/>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Rationale and restrictions</w:t>
            </w:r>
          </w:p>
        </w:tc>
      </w:tr>
    </w:tbl>
    <w:p>
      <w:pPr>
        <w:spacing w:before="0" w:after="40"/>
      </w:pPr>
    </w:p>
    <w:p>
      <w:pPr>
        <w:pStyle w:val="Heading3"/>
      </w:pPr>
      <w:r>
        <w:rPr>
          <w:rFonts w:ascii="Calibri" w:hAnsi="Calibri"/>
          <w:color w:val="222222"/>
        </w:rPr>
        <w:t>Required metadata rows</w:t>
      </w:r>
    </w:p>
    <w:tbl>
      <w:tblPr>
        <w:tblStyle w:val="TableGrid"/>
        <w:tblW w:type="dxa" w:w="9360"/>
        <w:jc w:val="left"/>
        <w:tblLayout w:type="fixed"/>
        <w:tblLook w:firstColumn="1" w:firstRow="1" w:lastColumn="0" w:lastRow="0" w:noHBand="0" w:noVBand="1" w:val="04A0"/>
        <w:tblInd w:w="120" w:type="dxa"/>
      </w:tblPr>
      <w:tblGrid>
        <w:gridCol w:w="933"/>
        <w:gridCol w:w="822"/>
        <w:gridCol w:w="1000"/>
        <w:gridCol w:w="1289"/>
        <w:gridCol w:w="1089"/>
        <w:gridCol w:w="733"/>
        <w:gridCol w:w="956"/>
        <w:gridCol w:w="889"/>
        <w:gridCol w:w="755"/>
        <w:gridCol w:w="894"/>
      </w:tblGrid>
      <w:tr>
        <w:trPr>
          <w:cantSplit w:val="true"/>
          <w:tblHeader w:val="true"/>
        </w:trPr>
        <w:tc>
          <w:tcPr>
            <w:tcW w:type="dxa" w:w="933"/>
            <w:tcMar>
              <w:top w:w="80" w:type="dxa"/>
              <w:bottom w:w="80" w:type="dxa"/>
              <w:start w:w="120" w:type="dxa"/>
              <w:end w:w="120" w:type="dxa"/>
            </w:tcMar>
            <w:vAlign w:val="center"/>
            <w:shd w:fill="E8EEF5"/>
          </w:tcPr>
          <w:p>
            <w:pPr>
              <w:spacing w:before="0" w:after="0" w:line="269" w:lineRule="auto"/>
              <w:jc w:val="left"/>
            </w:pPr>
            <w:r>
              <w:rPr>
                <w:b/>
                <w:color w:val="203748"/>
              </w:rPr>
            </w:r>
            <w:r>
              <w:rPr>
                <w:rFonts w:ascii="Calibri" w:hAnsi="Calibri"/>
                <w:b/>
                <w:color w:val="203748"/>
                <w:sz w:val="15"/>
              </w:rPr>
              <w:t>metadata_row_id</w:t>
            </w:r>
          </w:p>
        </w:tc>
        <w:tc>
          <w:tcPr>
            <w:tcW w:type="dxa" w:w="822"/>
            <w:tcMar>
              <w:top w:w="80" w:type="dxa"/>
              <w:bottom w:w="80" w:type="dxa"/>
              <w:start w:w="120" w:type="dxa"/>
              <w:end w:w="120" w:type="dxa"/>
            </w:tcMar>
            <w:vAlign w:val="center"/>
            <w:shd w:fill="E8EEF5"/>
          </w:tcPr>
          <w:p>
            <w:pPr>
              <w:spacing w:before="0" w:after="0" w:line="269" w:lineRule="auto"/>
              <w:jc w:val="center"/>
            </w:pPr>
            <w:r>
              <w:rPr>
                <w:b/>
                <w:color w:val="203748"/>
              </w:rPr>
            </w:r>
            <w:r>
              <w:rPr>
                <w:rFonts w:ascii="Calibri" w:hAnsi="Calibri"/>
                <w:b/>
                <w:color w:val="203748"/>
                <w:sz w:val="15"/>
              </w:rPr>
              <w:t>config_key</w:t>
            </w:r>
          </w:p>
        </w:tc>
        <w:tc>
          <w:tcPr>
            <w:tcW w:type="dxa" w:w="1000"/>
            <w:tcMar>
              <w:top w:w="80" w:type="dxa"/>
              <w:bottom w:w="80" w:type="dxa"/>
              <w:start w:w="120" w:type="dxa"/>
              <w:end w:w="120" w:type="dxa"/>
            </w:tcMar>
            <w:vAlign w:val="center"/>
            <w:shd w:fill="E8EEF5"/>
          </w:tcPr>
          <w:p>
            <w:pPr>
              <w:spacing w:before="0" w:after="0" w:line="269" w:lineRule="auto"/>
              <w:jc w:val="center"/>
            </w:pPr>
            <w:r>
              <w:rPr>
                <w:b/>
                <w:color w:val="203748"/>
              </w:rPr>
            </w:r>
            <w:r>
              <w:rPr>
                <w:rFonts w:ascii="Calibri" w:hAnsi="Calibri"/>
                <w:b/>
                <w:color w:val="203748"/>
                <w:sz w:val="15"/>
              </w:rPr>
              <w:t>source field/value</w:t>
            </w:r>
          </w:p>
        </w:tc>
        <w:tc>
          <w:tcPr>
            <w:tcW w:type="dxa" w:w="1289"/>
            <w:tcMar>
              <w:top w:w="80" w:type="dxa"/>
              <w:bottom w:w="80" w:type="dxa"/>
              <w:start w:w="120" w:type="dxa"/>
              <w:end w:w="120" w:type="dxa"/>
            </w:tcMar>
            <w:vAlign w:val="center"/>
            <w:shd w:fill="E8EEF5"/>
          </w:tcPr>
          <w:p>
            <w:pPr>
              <w:spacing w:before="0" w:after="0" w:line="269" w:lineRule="auto"/>
              <w:jc w:val="center"/>
            </w:pPr>
            <w:r>
              <w:rPr>
                <w:b/>
                <w:color w:val="203748"/>
              </w:rPr>
            </w:r>
            <w:r>
              <w:rPr>
                <w:rFonts w:ascii="Calibri" w:hAnsi="Calibri"/>
                <w:b/>
                <w:color w:val="203748"/>
                <w:sz w:val="15"/>
              </w:rPr>
              <w:t>construct</w:t>
            </w:r>
          </w:p>
        </w:tc>
        <w:tc>
          <w:tcPr>
            <w:tcW w:type="dxa" w:w="1089"/>
            <w:tcMar>
              <w:top w:w="80" w:type="dxa"/>
              <w:bottom w:w="80" w:type="dxa"/>
              <w:start w:w="120" w:type="dxa"/>
              <w:end w:w="120" w:type="dxa"/>
            </w:tcMar>
            <w:vAlign w:val="center"/>
            <w:shd w:fill="E8EEF5"/>
          </w:tcPr>
          <w:p>
            <w:pPr>
              <w:spacing w:before="0" w:after="0" w:line="269" w:lineRule="auto"/>
              <w:jc w:val="left"/>
            </w:pPr>
            <w:r>
              <w:rPr>
                <w:b/>
                <w:color w:val="203748"/>
              </w:rPr>
            </w:r>
            <w:r>
              <w:rPr>
                <w:rFonts w:ascii="Calibri" w:hAnsi="Calibri"/>
                <w:b/>
                <w:color w:val="203748"/>
                <w:sz w:val="15"/>
              </w:rPr>
              <w:t>harmonized field/value</w:t>
            </w:r>
          </w:p>
        </w:tc>
        <w:tc>
          <w:tcPr>
            <w:tcW w:type="dxa" w:w="733"/>
            <w:tcMar>
              <w:top w:w="80" w:type="dxa"/>
              <w:bottom w:w="80" w:type="dxa"/>
              <w:start w:w="120" w:type="dxa"/>
              <w:end w:w="120" w:type="dxa"/>
            </w:tcMar>
            <w:vAlign w:val="center"/>
            <w:shd w:fill="E8EEF5"/>
          </w:tcPr>
          <w:p>
            <w:pPr>
              <w:spacing w:before="0" w:after="0" w:line="269" w:lineRule="auto"/>
              <w:jc w:val="center"/>
            </w:pPr>
            <w:r>
              <w:rPr>
                <w:b/>
                <w:color w:val="203748"/>
              </w:rPr>
            </w:r>
            <w:r>
              <w:rPr>
                <w:rFonts w:ascii="Calibri" w:hAnsi="Calibri"/>
                <w:b/>
                <w:color w:val="203748"/>
                <w:sz w:val="15"/>
              </w:rPr>
              <w:t>rule</w:t>
            </w:r>
          </w:p>
        </w:tc>
        <w:tc>
          <w:tcPr>
            <w:tcW w:type="dxa" w:w="956"/>
            <w:tcMar>
              <w:top w:w="80" w:type="dxa"/>
              <w:bottom w:w="80" w:type="dxa"/>
              <w:start w:w="120" w:type="dxa"/>
              <w:end w:w="120" w:type="dxa"/>
            </w:tcMar>
            <w:vAlign w:val="center"/>
            <w:shd w:fill="E8EEF5"/>
          </w:tcPr>
          <w:p>
            <w:pPr>
              <w:spacing w:before="0" w:after="0" w:line="269" w:lineRule="auto"/>
              <w:jc w:val="center"/>
            </w:pPr>
            <w:r>
              <w:rPr>
                <w:b/>
                <w:color w:val="203748"/>
              </w:rPr>
            </w:r>
            <w:r>
              <w:rPr>
                <w:rFonts w:ascii="Calibri" w:hAnsi="Calibri"/>
                <w:b/>
                <w:color w:val="203748"/>
                <w:sz w:val="15"/>
              </w:rPr>
              <w:t>information lost</w:t>
            </w:r>
          </w:p>
        </w:tc>
        <w:tc>
          <w:tcPr>
            <w:tcW w:type="dxa" w:w="889"/>
            <w:tcMar>
              <w:top w:w="80" w:type="dxa"/>
              <w:bottom w:w="80" w:type="dxa"/>
              <w:start w:w="120" w:type="dxa"/>
              <w:end w:w="120" w:type="dxa"/>
            </w:tcMar>
            <w:vAlign w:val="center"/>
            <w:shd w:fill="E8EEF5"/>
          </w:tcPr>
          <w:p>
            <w:pPr>
              <w:spacing w:before="0" w:after="0" w:line="269" w:lineRule="auto"/>
              <w:jc w:val="center"/>
            </w:pPr>
            <w:r>
              <w:rPr>
                <w:b/>
                <w:color w:val="203748"/>
              </w:rPr>
            </w:r>
            <w:r>
              <w:rPr>
                <w:rFonts w:ascii="Calibri" w:hAnsi="Calibri"/>
                <w:b/>
                <w:color w:val="203748"/>
                <w:sz w:val="15"/>
              </w:rPr>
              <w:t>compatibility</w:t>
            </w:r>
          </w:p>
        </w:tc>
        <w:tc>
          <w:tcPr>
            <w:tcW w:type="dxa" w:w="755"/>
            <w:tcMar>
              <w:top w:w="80" w:type="dxa"/>
              <w:bottom w:w="80" w:type="dxa"/>
              <w:start w:w="120" w:type="dxa"/>
              <w:end w:w="120" w:type="dxa"/>
            </w:tcMar>
            <w:vAlign w:val="center"/>
            <w:shd w:fill="E8EEF5"/>
          </w:tcPr>
          <w:p>
            <w:pPr>
              <w:spacing w:before="0" w:after="0" w:line="269" w:lineRule="auto"/>
              <w:jc w:val="center"/>
            </w:pPr>
            <w:r>
              <w:rPr>
                <w:b/>
                <w:color w:val="203748"/>
              </w:rPr>
            </w:r>
            <w:r>
              <w:rPr>
                <w:rFonts w:ascii="Calibri" w:hAnsi="Calibri"/>
                <w:b/>
                <w:color w:val="203748"/>
                <w:sz w:val="15"/>
              </w:rPr>
              <w:t>purpose</w:t>
            </w:r>
          </w:p>
        </w:tc>
        <w:tc>
          <w:tcPr>
            <w:tcW w:type="dxa" w:w="894"/>
            <w:tcMar>
              <w:top w:w="80" w:type="dxa"/>
              <w:bottom w:w="80" w:type="dxa"/>
              <w:start w:w="120" w:type="dxa"/>
              <w:end w:w="120" w:type="dxa"/>
            </w:tcMar>
            <w:vAlign w:val="center"/>
            <w:shd w:fill="E8EEF5"/>
          </w:tcPr>
          <w:p>
            <w:pPr>
              <w:spacing w:before="0" w:after="0" w:line="269" w:lineRule="auto"/>
              <w:jc w:val="center"/>
            </w:pPr>
            <w:r>
              <w:rPr>
                <w:b/>
                <w:color w:val="203748"/>
              </w:rPr>
            </w:r>
            <w:r>
              <w:rPr>
                <w:rFonts w:ascii="Calibri" w:hAnsi="Calibri"/>
                <w:b/>
                <w:color w:val="203748"/>
                <w:sz w:val="15"/>
              </w:rPr>
              <w:t>decision note</w:t>
            </w:r>
          </w:p>
        </w:tc>
      </w:tr>
      <w:tr>
        <w:trPr>
          <w:cantSplit w:val="true"/>
        </w:trPr>
        <w:tc>
          <w:tcPr>
            <w:tcW w:type="dxa" w:w="933"/>
            <w:tcMar>
              <w:top w:w="80" w:type="dxa"/>
              <w:bottom w:w="80" w:type="dxa"/>
              <w:start w:w="120" w:type="dxa"/>
              <w:end w:w="120" w:type="dxa"/>
            </w:tcMar>
            <w:vAlign w:val="center"/>
          </w:tcPr>
          <w:p>
            <w:pPr>
              <w:spacing w:before="0" w:after="0" w:line="269" w:lineRule="auto"/>
              <w:jc w:val="left"/>
            </w:pPr>
            <w:r/>
            <w:r>
              <w:rPr>
                <w:rFonts w:ascii="Calibri" w:hAnsi="Calibri"/>
                <w:color w:val="222222"/>
                <w:sz w:val="15"/>
              </w:rPr>
              <w:t>MD001</w:t>
            </w:r>
          </w:p>
        </w:tc>
        <w:tc>
          <w:tcPr>
            <w:tcW w:type="dxa" w:w="822"/>
            <w:tcMar>
              <w:top w:w="80" w:type="dxa"/>
              <w:bottom w:w="80" w:type="dxa"/>
              <w:start w:w="120" w:type="dxa"/>
              <w:end w:w="120" w:type="dxa"/>
            </w:tcMar>
            <w:vAlign w:val="center"/>
          </w:tcPr>
          <w:p>
            <w:pPr>
              <w:spacing w:before="0" w:after="0" w:line="269" w:lineRule="auto"/>
              <w:jc w:val="center"/>
            </w:pPr>
            <w:r/>
          </w:p>
        </w:tc>
        <w:tc>
          <w:tcPr>
            <w:tcW w:type="dxa" w:w="1000"/>
            <w:tcMar>
              <w:top w:w="80" w:type="dxa"/>
              <w:bottom w:w="80" w:type="dxa"/>
              <w:start w:w="120" w:type="dxa"/>
              <w:end w:w="120" w:type="dxa"/>
            </w:tcMar>
            <w:vAlign w:val="center"/>
          </w:tcPr>
          <w:p>
            <w:pPr>
              <w:spacing w:before="0" w:after="0" w:line="269" w:lineRule="auto"/>
              <w:jc w:val="center"/>
            </w:pPr>
            <w:r/>
          </w:p>
        </w:tc>
        <w:tc>
          <w:tcPr>
            <w:tcW w:type="dxa" w:w="1289"/>
            <w:tcMar>
              <w:top w:w="80" w:type="dxa"/>
              <w:bottom w:w="80" w:type="dxa"/>
              <w:start w:w="120" w:type="dxa"/>
              <w:end w:w="120" w:type="dxa"/>
            </w:tcMar>
            <w:vAlign w:val="center"/>
          </w:tcPr>
          <w:p>
            <w:pPr>
              <w:spacing w:before="0" w:after="0" w:line="269" w:lineRule="auto"/>
              <w:jc w:val="center"/>
            </w:pPr>
            <w:r/>
            <w:r>
              <w:rPr>
                <w:rFonts w:ascii="Calibri" w:hAnsi="Calibri"/>
                <w:color w:val="222222"/>
                <w:sz w:val="15"/>
              </w:rPr>
              <w:t>Specimen matrix</w:t>
            </w:r>
          </w:p>
        </w:tc>
        <w:tc>
          <w:tcPr>
            <w:tcW w:type="dxa" w:w="1089"/>
            <w:tcMar>
              <w:top w:w="80" w:type="dxa"/>
              <w:bottom w:w="80" w:type="dxa"/>
              <w:start w:w="120" w:type="dxa"/>
              <w:end w:w="120" w:type="dxa"/>
            </w:tcMar>
            <w:vAlign w:val="center"/>
          </w:tcPr>
          <w:p>
            <w:pPr>
              <w:spacing w:before="0" w:after="0" w:line="269" w:lineRule="auto"/>
              <w:jc w:val="center"/>
            </w:pPr>
            <w:r/>
          </w:p>
        </w:tc>
        <w:tc>
          <w:tcPr>
            <w:tcW w:type="dxa" w:w="733"/>
            <w:tcMar>
              <w:top w:w="80" w:type="dxa"/>
              <w:bottom w:w="80" w:type="dxa"/>
              <w:start w:w="120" w:type="dxa"/>
              <w:end w:w="120" w:type="dxa"/>
            </w:tcMar>
            <w:vAlign w:val="center"/>
          </w:tcPr>
          <w:p>
            <w:pPr>
              <w:spacing w:before="0" w:after="0" w:line="269" w:lineRule="auto"/>
              <w:jc w:val="center"/>
            </w:pPr>
            <w:r/>
          </w:p>
        </w:tc>
        <w:tc>
          <w:tcPr>
            <w:tcW w:type="dxa" w:w="956"/>
            <w:tcMar>
              <w:top w:w="80" w:type="dxa"/>
              <w:bottom w:w="80" w:type="dxa"/>
              <w:start w:w="120" w:type="dxa"/>
              <w:end w:w="120" w:type="dxa"/>
            </w:tcMar>
            <w:vAlign w:val="center"/>
          </w:tcPr>
          <w:p>
            <w:pPr>
              <w:spacing w:before="0" w:after="0" w:line="269" w:lineRule="auto"/>
              <w:jc w:val="center"/>
            </w:pPr>
            <w:r/>
          </w:p>
        </w:tc>
        <w:tc>
          <w:tcPr>
            <w:tcW w:type="dxa" w:w="889"/>
            <w:tcMar>
              <w:top w:w="80" w:type="dxa"/>
              <w:bottom w:w="80" w:type="dxa"/>
              <w:start w:w="120" w:type="dxa"/>
              <w:end w:w="120" w:type="dxa"/>
            </w:tcMar>
            <w:vAlign w:val="center"/>
          </w:tcPr>
          <w:p>
            <w:pPr>
              <w:spacing w:before="0" w:after="0" w:line="269" w:lineRule="auto"/>
              <w:jc w:val="center"/>
            </w:pPr>
            <w:r/>
          </w:p>
        </w:tc>
        <w:tc>
          <w:tcPr>
            <w:tcW w:type="dxa" w:w="755"/>
            <w:tcMar>
              <w:top w:w="80" w:type="dxa"/>
              <w:bottom w:w="80" w:type="dxa"/>
              <w:start w:w="120" w:type="dxa"/>
              <w:end w:w="120" w:type="dxa"/>
            </w:tcMar>
            <w:vAlign w:val="center"/>
          </w:tcPr>
          <w:p>
            <w:pPr>
              <w:spacing w:before="0" w:after="0" w:line="269" w:lineRule="auto"/>
              <w:jc w:val="center"/>
            </w:pPr>
            <w:r/>
          </w:p>
        </w:tc>
        <w:tc>
          <w:tcPr>
            <w:tcW w:type="dxa" w:w="894"/>
            <w:tcMar>
              <w:top w:w="80" w:type="dxa"/>
              <w:bottom w:w="80" w:type="dxa"/>
              <w:start w:w="120" w:type="dxa"/>
              <w:end w:w="120" w:type="dxa"/>
            </w:tcMar>
            <w:vAlign w:val="center"/>
          </w:tcPr>
          <w:p>
            <w:pPr>
              <w:spacing w:before="0" w:after="0" w:line="269" w:lineRule="auto"/>
              <w:jc w:val="center"/>
            </w:pPr>
            <w:r/>
          </w:p>
        </w:tc>
      </w:tr>
      <w:tr>
        <w:trPr>
          <w:cantSplit w:val="true"/>
        </w:trPr>
        <w:tc>
          <w:tcPr>
            <w:tcW w:type="dxa" w:w="933"/>
            <w:tcMar>
              <w:top w:w="80" w:type="dxa"/>
              <w:bottom w:w="80" w:type="dxa"/>
              <w:start w:w="120" w:type="dxa"/>
              <w:end w:w="120" w:type="dxa"/>
            </w:tcMar>
            <w:vAlign w:val="center"/>
          </w:tcPr>
          <w:p>
            <w:pPr>
              <w:spacing w:before="0" w:after="0" w:line="269" w:lineRule="auto"/>
              <w:jc w:val="left"/>
            </w:pPr>
            <w:r/>
            <w:r>
              <w:rPr>
                <w:rFonts w:ascii="Calibri" w:hAnsi="Calibri"/>
                <w:color w:val="222222"/>
                <w:sz w:val="15"/>
              </w:rPr>
              <w:t>MD002</w:t>
            </w:r>
          </w:p>
        </w:tc>
        <w:tc>
          <w:tcPr>
            <w:tcW w:type="dxa" w:w="822"/>
            <w:tcMar>
              <w:top w:w="80" w:type="dxa"/>
              <w:bottom w:w="80" w:type="dxa"/>
              <w:start w:w="120" w:type="dxa"/>
              <w:end w:w="120" w:type="dxa"/>
            </w:tcMar>
            <w:vAlign w:val="center"/>
          </w:tcPr>
          <w:p>
            <w:pPr>
              <w:spacing w:before="0" w:after="0" w:line="269" w:lineRule="auto"/>
              <w:jc w:val="center"/>
            </w:pPr>
            <w:r/>
          </w:p>
        </w:tc>
        <w:tc>
          <w:tcPr>
            <w:tcW w:type="dxa" w:w="1000"/>
            <w:tcMar>
              <w:top w:w="80" w:type="dxa"/>
              <w:bottom w:w="80" w:type="dxa"/>
              <w:start w:w="120" w:type="dxa"/>
              <w:end w:w="120" w:type="dxa"/>
            </w:tcMar>
            <w:vAlign w:val="center"/>
          </w:tcPr>
          <w:p>
            <w:pPr>
              <w:spacing w:before="0" w:after="0" w:line="269" w:lineRule="auto"/>
              <w:jc w:val="center"/>
            </w:pPr>
            <w:r/>
          </w:p>
        </w:tc>
        <w:tc>
          <w:tcPr>
            <w:tcW w:type="dxa" w:w="1289"/>
            <w:tcMar>
              <w:top w:w="80" w:type="dxa"/>
              <w:bottom w:w="80" w:type="dxa"/>
              <w:start w:w="120" w:type="dxa"/>
              <w:end w:w="120" w:type="dxa"/>
            </w:tcMar>
            <w:vAlign w:val="center"/>
          </w:tcPr>
          <w:p>
            <w:pPr>
              <w:spacing w:before="0" w:after="0" w:line="269" w:lineRule="auto"/>
              <w:jc w:val="center"/>
            </w:pPr>
            <w:r/>
            <w:r>
              <w:rPr>
                <w:rFonts w:ascii="Calibri" w:hAnsi="Calibri"/>
                <w:color w:val="222222"/>
                <w:sz w:val="15"/>
              </w:rPr>
              <w:t>Specimen matrix</w:t>
            </w:r>
          </w:p>
        </w:tc>
        <w:tc>
          <w:tcPr>
            <w:tcW w:type="dxa" w:w="1089"/>
            <w:tcMar>
              <w:top w:w="80" w:type="dxa"/>
              <w:bottom w:w="80" w:type="dxa"/>
              <w:start w:w="120" w:type="dxa"/>
              <w:end w:w="120" w:type="dxa"/>
            </w:tcMar>
            <w:vAlign w:val="center"/>
          </w:tcPr>
          <w:p>
            <w:pPr>
              <w:spacing w:before="0" w:after="0" w:line="269" w:lineRule="auto"/>
              <w:jc w:val="center"/>
            </w:pPr>
            <w:r/>
          </w:p>
        </w:tc>
        <w:tc>
          <w:tcPr>
            <w:tcW w:type="dxa" w:w="733"/>
            <w:tcMar>
              <w:top w:w="80" w:type="dxa"/>
              <w:bottom w:w="80" w:type="dxa"/>
              <w:start w:w="120" w:type="dxa"/>
              <w:end w:w="120" w:type="dxa"/>
            </w:tcMar>
            <w:vAlign w:val="center"/>
          </w:tcPr>
          <w:p>
            <w:pPr>
              <w:spacing w:before="0" w:after="0" w:line="269" w:lineRule="auto"/>
              <w:jc w:val="center"/>
            </w:pPr>
            <w:r/>
          </w:p>
        </w:tc>
        <w:tc>
          <w:tcPr>
            <w:tcW w:type="dxa" w:w="956"/>
            <w:tcMar>
              <w:top w:w="80" w:type="dxa"/>
              <w:bottom w:w="80" w:type="dxa"/>
              <w:start w:w="120" w:type="dxa"/>
              <w:end w:w="120" w:type="dxa"/>
            </w:tcMar>
            <w:vAlign w:val="center"/>
          </w:tcPr>
          <w:p>
            <w:pPr>
              <w:spacing w:before="0" w:after="0" w:line="269" w:lineRule="auto"/>
              <w:jc w:val="center"/>
            </w:pPr>
            <w:r/>
          </w:p>
        </w:tc>
        <w:tc>
          <w:tcPr>
            <w:tcW w:type="dxa" w:w="889"/>
            <w:tcMar>
              <w:top w:w="80" w:type="dxa"/>
              <w:bottom w:w="80" w:type="dxa"/>
              <w:start w:w="120" w:type="dxa"/>
              <w:end w:w="120" w:type="dxa"/>
            </w:tcMar>
            <w:vAlign w:val="center"/>
          </w:tcPr>
          <w:p>
            <w:pPr>
              <w:spacing w:before="0" w:after="0" w:line="269" w:lineRule="auto"/>
              <w:jc w:val="center"/>
            </w:pPr>
            <w:r/>
          </w:p>
        </w:tc>
        <w:tc>
          <w:tcPr>
            <w:tcW w:type="dxa" w:w="755"/>
            <w:tcMar>
              <w:top w:w="80" w:type="dxa"/>
              <w:bottom w:w="80" w:type="dxa"/>
              <w:start w:w="120" w:type="dxa"/>
              <w:end w:w="120" w:type="dxa"/>
            </w:tcMar>
            <w:vAlign w:val="center"/>
          </w:tcPr>
          <w:p>
            <w:pPr>
              <w:spacing w:before="0" w:after="0" w:line="269" w:lineRule="auto"/>
              <w:jc w:val="center"/>
            </w:pPr>
            <w:r/>
          </w:p>
        </w:tc>
        <w:tc>
          <w:tcPr>
            <w:tcW w:type="dxa" w:w="894"/>
            <w:tcMar>
              <w:top w:w="80" w:type="dxa"/>
              <w:bottom w:w="80" w:type="dxa"/>
              <w:start w:w="120" w:type="dxa"/>
              <w:end w:w="120" w:type="dxa"/>
            </w:tcMar>
            <w:vAlign w:val="center"/>
          </w:tcPr>
          <w:p>
            <w:pPr>
              <w:spacing w:before="0" w:after="0" w:line="269" w:lineRule="auto"/>
              <w:jc w:val="center"/>
            </w:pPr>
            <w:r/>
          </w:p>
        </w:tc>
      </w:tr>
      <w:tr>
        <w:trPr>
          <w:cantSplit w:val="true"/>
        </w:trPr>
        <w:tc>
          <w:tcPr>
            <w:tcW w:type="dxa" w:w="933"/>
            <w:tcMar>
              <w:top w:w="80" w:type="dxa"/>
              <w:bottom w:w="80" w:type="dxa"/>
              <w:start w:w="120" w:type="dxa"/>
              <w:end w:w="120" w:type="dxa"/>
            </w:tcMar>
            <w:vAlign w:val="center"/>
          </w:tcPr>
          <w:p>
            <w:pPr>
              <w:spacing w:before="0" w:after="0" w:line="269" w:lineRule="auto"/>
              <w:jc w:val="left"/>
            </w:pPr>
            <w:r/>
            <w:r>
              <w:rPr>
                <w:rFonts w:ascii="Calibri" w:hAnsi="Calibri"/>
                <w:color w:val="222222"/>
                <w:sz w:val="15"/>
              </w:rPr>
              <w:t>MD003</w:t>
            </w:r>
          </w:p>
        </w:tc>
        <w:tc>
          <w:tcPr>
            <w:tcW w:type="dxa" w:w="822"/>
            <w:tcMar>
              <w:top w:w="80" w:type="dxa"/>
              <w:bottom w:w="80" w:type="dxa"/>
              <w:start w:w="120" w:type="dxa"/>
              <w:end w:w="120" w:type="dxa"/>
            </w:tcMar>
            <w:vAlign w:val="center"/>
          </w:tcPr>
          <w:p>
            <w:pPr>
              <w:spacing w:before="0" w:after="0" w:line="269" w:lineRule="auto"/>
              <w:jc w:val="center"/>
            </w:pPr>
            <w:r/>
          </w:p>
        </w:tc>
        <w:tc>
          <w:tcPr>
            <w:tcW w:type="dxa" w:w="1000"/>
            <w:tcMar>
              <w:top w:w="80" w:type="dxa"/>
              <w:bottom w:w="80" w:type="dxa"/>
              <w:start w:w="120" w:type="dxa"/>
              <w:end w:w="120" w:type="dxa"/>
            </w:tcMar>
            <w:vAlign w:val="center"/>
          </w:tcPr>
          <w:p>
            <w:pPr>
              <w:spacing w:before="0" w:after="0" w:line="269" w:lineRule="auto"/>
              <w:jc w:val="center"/>
            </w:pPr>
            <w:r/>
          </w:p>
        </w:tc>
        <w:tc>
          <w:tcPr>
            <w:tcW w:type="dxa" w:w="1289"/>
            <w:tcMar>
              <w:top w:w="80" w:type="dxa"/>
              <w:bottom w:w="80" w:type="dxa"/>
              <w:start w:w="120" w:type="dxa"/>
              <w:end w:w="120" w:type="dxa"/>
            </w:tcMar>
            <w:vAlign w:val="center"/>
          </w:tcPr>
          <w:p>
            <w:pPr>
              <w:spacing w:before="0" w:after="0" w:line="269" w:lineRule="auto"/>
              <w:jc w:val="center"/>
            </w:pPr>
            <w:r/>
            <w:r>
              <w:rPr>
                <w:rFonts w:ascii="Calibri" w:hAnsi="Calibri"/>
                <w:color w:val="222222"/>
                <w:sz w:val="15"/>
              </w:rPr>
              <w:t>Timepoint</w:t>
            </w:r>
          </w:p>
        </w:tc>
        <w:tc>
          <w:tcPr>
            <w:tcW w:type="dxa" w:w="1089"/>
            <w:tcMar>
              <w:top w:w="80" w:type="dxa"/>
              <w:bottom w:w="80" w:type="dxa"/>
              <w:start w:w="120" w:type="dxa"/>
              <w:end w:w="120" w:type="dxa"/>
            </w:tcMar>
            <w:vAlign w:val="center"/>
          </w:tcPr>
          <w:p>
            <w:pPr>
              <w:spacing w:before="0" w:after="0" w:line="269" w:lineRule="auto"/>
              <w:jc w:val="center"/>
            </w:pPr>
            <w:r/>
          </w:p>
        </w:tc>
        <w:tc>
          <w:tcPr>
            <w:tcW w:type="dxa" w:w="733"/>
            <w:tcMar>
              <w:top w:w="80" w:type="dxa"/>
              <w:bottom w:w="80" w:type="dxa"/>
              <w:start w:w="120" w:type="dxa"/>
              <w:end w:w="120" w:type="dxa"/>
            </w:tcMar>
            <w:vAlign w:val="center"/>
          </w:tcPr>
          <w:p>
            <w:pPr>
              <w:spacing w:before="0" w:after="0" w:line="269" w:lineRule="auto"/>
              <w:jc w:val="center"/>
            </w:pPr>
            <w:r/>
          </w:p>
        </w:tc>
        <w:tc>
          <w:tcPr>
            <w:tcW w:type="dxa" w:w="956"/>
            <w:tcMar>
              <w:top w:w="80" w:type="dxa"/>
              <w:bottom w:w="80" w:type="dxa"/>
              <w:start w:w="120" w:type="dxa"/>
              <w:end w:w="120" w:type="dxa"/>
            </w:tcMar>
            <w:vAlign w:val="center"/>
          </w:tcPr>
          <w:p>
            <w:pPr>
              <w:spacing w:before="0" w:after="0" w:line="269" w:lineRule="auto"/>
              <w:jc w:val="center"/>
            </w:pPr>
            <w:r/>
          </w:p>
        </w:tc>
        <w:tc>
          <w:tcPr>
            <w:tcW w:type="dxa" w:w="889"/>
            <w:tcMar>
              <w:top w:w="80" w:type="dxa"/>
              <w:bottom w:w="80" w:type="dxa"/>
              <w:start w:w="120" w:type="dxa"/>
              <w:end w:w="120" w:type="dxa"/>
            </w:tcMar>
            <w:vAlign w:val="center"/>
          </w:tcPr>
          <w:p>
            <w:pPr>
              <w:spacing w:before="0" w:after="0" w:line="269" w:lineRule="auto"/>
              <w:jc w:val="center"/>
            </w:pPr>
            <w:r/>
          </w:p>
        </w:tc>
        <w:tc>
          <w:tcPr>
            <w:tcW w:type="dxa" w:w="755"/>
            <w:tcMar>
              <w:top w:w="80" w:type="dxa"/>
              <w:bottom w:w="80" w:type="dxa"/>
              <w:start w:w="120" w:type="dxa"/>
              <w:end w:w="120" w:type="dxa"/>
            </w:tcMar>
            <w:vAlign w:val="center"/>
          </w:tcPr>
          <w:p>
            <w:pPr>
              <w:spacing w:before="0" w:after="0" w:line="269" w:lineRule="auto"/>
              <w:jc w:val="center"/>
            </w:pPr>
            <w:r/>
          </w:p>
        </w:tc>
        <w:tc>
          <w:tcPr>
            <w:tcW w:type="dxa" w:w="894"/>
            <w:tcMar>
              <w:top w:w="80" w:type="dxa"/>
              <w:bottom w:w="80" w:type="dxa"/>
              <w:start w:w="120" w:type="dxa"/>
              <w:end w:w="120" w:type="dxa"/>
            </w:tcMar>
            <w:vAlign w:val="center"/>
          </w:tcPr>
          <w:p>
            <w:pPr>
              <w:spacing w:before="0" w:after="0" w:line="269" w:lineRule="auto"/>
              <w:jc w:val="center"/>
            </w:pPr>
            <w:r/>
          </w:p>
        </w:tc>
      </w:tr>
      <w:tr>
        <w:trPr>
          <w:cantSplit w:val="true"/>
        </w:trPr>
        <w:tc>
          <w:tcPr>
            <w:tcW w:type="dxa" w:w="933"/>
            <w:tcMar>
              <w:top w:w="80" w:type="dxa"/>
              <w:bottom w:w="80" w:type="dxa"/>
              <w:start w:w="120" w:type="dxa"/>
              <w:end w:w="120" w:type="dxa"/>
            </w:tcMar>
            <w:vAlign w:val="center"/>
          </w:tcPr>
          <w:p>
            <w:pPr>
              <w:spacing w:before="0" w:after="0" w:line="269" w:lineRule="auto"/>
              <w:jc w:val="left"/>
            </w:pPr>
            <w:r/>
            <w:r>
              <w:rPr>
                <w:rFonts w:ascii="Calibri" w:hAnsi="Calibri"/>
                <w:color w:val="222222"/>
                <w:sz w:val="15"/>
              </w:rPr>
              <w:t>MD004</w:t>
            </w:r>
          </w:p>
        </w:tc>
        <w:tc>
          <w:tcPr>
            <w:tcW w:type="dxa" w:w="822"/>
            <w:tcMar>
              <w:top w:w="80" w:type="dxa"/>
              <w:bottom w:w="80" w:type="dxa"/>
              <w:start w:w="120" w:type="dxa"/>
              <w:end w:w="120" w:type="dxa"/>
            </w:tcMar>
            <w:vAlign w:val="center"/>
          </w:tcPr>
          <w:p>
            <w:pPr>
              <w:spacing w:before="0" w:after="0" w:line="269" w:lineRule="auto"/>
              <w:jc w:val="center"/>
            </w:pPr>
            <w:r/>
          </w:p>
        </w:tc>
        <w:tc>
          <w:tcPr>
            <w:tcW w:type="dxa" w:w="1000"/>
            <w:tcMar>
              <w:top w:w="80" w:type="dxa"/>
              <w:bottom w:w="80" w:type="dxa"/>
              <w:start w:w="120" w:type="dxa"/>
              <w:end w:w="120" w:type="dxa"/>
            </w:tcMar>
            <w:vAlign w:val="center"/>
          </w:tcPr>
          <w:p>
            <w:pPr>
              <w:spacing w:before="0" w:after="0" w:line="269" w:lineRule="auto"/>
              <w:jc w:val="center"/>
            </w:pPr>
            <w:r/>
          </w:p>
        </w:tc>
        <w:tc>
          <w:tcPr>
            <w:tcW w:type="dxa" w:w="1289"/>
            <w:tcMar>
              <w:top w:w="80" w:type="dxa"/>
              <w:bottom w:w="80" w:type="dxa"/>
              <w:start w:w="120" w:type="dxa"/>
              <w:end w:w="120" w:type="dxa"/>
            </w:tcMar>
            <w:vAlign w:val="center"/>
          </w:tcPr>
          <w:p>
            <w:pPr>
              <w:spacing w:before="0" w:after="0" w:line="269" w:lineRule="auto"/>
              <w:jc w:val="center"/>
            </w:pPr>
            <w:r/>
            <w:r>
              <w:rPr>
                <w:rFonts w:ascii="Calibri" w:hAnsi="Calibri"/>
                <w:color w:val="222222"/>
                <w:sz w:val="15"/>
              </w:rPr>
              <w:t>Timepoint</w:t>
            </w:r>
          </w:p>
        </w:tc>
        <w:tc>
          <w:tcPr>
            <w:tcW w:type="dxa" w:w="1089"/>
            <w:tcMar>
              <w:top w:w="80" w:type="dxa"/>
              <w:bottom w:w="80" w:type="dxa"/>
              <w:start w:w="120" w:type="dxa"/>
              <w:end w:w="120" w:type="dxa"/>
            </w:tcMar>
            <w:vAlign w:val="center"/>
          </w:tcPr>
          <w:p>
            <w:pPr>
              <w:spacing w:before="0" w:after="0" w:line="269" w:lineRule="auto"/>
              <w:jc w:val="center"/>
            </w:pPr>
            <w:r/>
          </w:p>
        </w:tc>
        <w:tc>
          <w:tcPr>
            <w:tcW w:type="dxa" w:w="733"/>
            <w:tcMar>
              <w:top w:w="80" w:type="dxa"/>
              <w:bottom w:w="80" w:type="dxa"/>
              <w:start w:w="120" w:type="dxa"/>
              <w:end w:w="120" w:type="dxa"/>
            </w:tcMar>
            <w:vAlign w:val="center"/>
          </w:tcPr>
          <w:p>
            <w:pPr>
              <w:spacing w:before="0" w:after="0" w:line="269" w:lineRule="auto"/>
              <w:jc w:val="center"/>
            </w:pPr>
            <w:r/>
          </w:p>
        </w:tc>
        <w:tc>
          <w:tcPr>
            <w:tcW w:type="dxa" w:w="956"/>
            <w:tcMar>
              <w:top w:w="80" w:type="dxa"/>
              <w:bottom w:w="80" w:type="dxa"/>
              <w:start w:w="120" w:type="dxa"/>
              <w:end w:w="120" w:type="dxa"/>
            </w:tcMar>
            <w:vAlign w:val="center"/>
          </w:tcPr>
          <w:p>
            <w:pPr>
              <w:spacing w:before="0" w:after="0" w:line="269" w:lineRule="auto"/>
              <w:jc w:val="center"/>
            </w:pPr>
            <w:r/>
          </w:p>
        </w:tc>
        <w:tc>
          <w:tcPr>
            <w:tcW w:type="dxa" w:w="889"/>
            <w:tcMar>
              <w:top w:w="80" w:type="dxa"/>
              <w:bottom w:w="80" w:type="dxa"/>
              <w:start w:w="120" w:type="dxa"/>
              <w:end w:w="120" w:type="dxa"/>
            </w:tcMar>
            <w:vAlign w:val="center"/>
          </w:tcPr>
          <w:p>
            <w:pPr>
              <w:spacing w:before="0" w:after="0" w:line="269" w:lineRule="auto"/>
              <w:jc w:val="center"/>
            </w:pPr>
            <w:r/>
          </w:p>
        </w:tc>
        <w:tc>
          <w:tcPr>
            <w:tcW w:type="dxa" w:w="755"/>
            <w:tcMar>
              <w:top w:w="80" w:type="dxa"/>
              <w:bottom w:w="80" w:type="dxa"/>
              <w:start w:w="120" w:type="dxa"/>
              <w:end w:w="120" w:type="dxa"/>
            </w:tcMar>
            <w:vAlign w:val="center"/>
          </w:tcPr>
          <w:p>
            <w:pPr>
              <w:spacing w:before="0" w:after="0" w:line="269" w:lineRule="auto"/>
              <w:jc w:val="center"/>
            </w:pPr>
            <w:r/>
          </w:p>
        </w:tc>
        <w:tc>
          <w:tcPr>
            <w:tcW w:type="dxa" w:w="894"/>
            <w:tcMar>
              <w:top w:w="80" w:type="dxa"/>
              <w:bottom w:w="80" w:type="dxa"/>
              <w:start w:w="120" w:type="dxa"/>
              <w:end w:w="120" w:type="dxa"/>
            </w:tcMar>
            <w:vAlign w:val="center"/>
          </w:tcPr>
          <w:p>
            <w:pPr>
              <w:spacing w:before="0" w:after="0" w:line="269" w:lineRule="auto"/>
              <w:jc w:val="center"/>
            </w:pPr>
            <w:r/>
          </w:p>
        </w:tc>
      </w:tr>
      <w:tr>
        <w:trPr>
          <w:cantSplit w:val="true"/>
        </w:trPr>
        <w:tc>
          <w:tcPr>
            <w:tcW w:type="dxa" w:w="933"/>
            <w:tcMar>
              <w:top w:w="80" w:type="dxa"/>
              <w:bottom w:w="80" w:type="dxa"/>
              <w:start w:w="120" w:type="dxa"/>
              <w:end w:w="120" w:type="dxa"/>
            </w:tcMar>
            <w:vAlign w:val="center"/>
          </w:tcPr>
          <w:p>
            <w:pPr>
              <w:spacing w:before="0" w:after="0" w:line="269" w:lineRule="auto"/>
              <w:jc w:val="left"/>
            </w:pPr>
            <w:r/>
            <w:r>
              <w:rPr>
                <w:rFonts w:ascii="Calibri" w:hAnsi="Calibri"/>
                <w:color w:val="222222"/>
                <w:sz w:val="15"/>
              </w:rPr>
              <w:t>MD005</w:t>
            </w:r>
          </w:p>
        </w:tc>
        <w:tc>
          <w:tcPr>
            <w:tcW w:type="dxa" w:w="822"/>
            <w:tcMar>
              <w:top w:w="80" w:type="dxa"/>
              <w:bottom w:w="80" w:type="dxa"/>
              <w:start w:w="120" w:type="dxa"/>
              <w:end w:w="120" w:type="dxa"/>
            </w:tcMar>
            <w:vAlign w:val="center"/>
          </w:tcPr>
          <w:p>
            <w:pPr>
              <w:spacing w:before="0" w:after="0" w:line="269" w:lineRule="auto"/>
              <w:jc w:val="center"/>
            </w:pPr>
            <w:r/>
          </w:p>
        </w:tc>
        <w:tc>
          <w:tcPr>
            <w:tcW w:type="dxa" w:w="1000"/>
            <w:tcMar>
              <w:top w:w="80" w:type="dxa"/>
              <w:bottom w:w="80" w:type="dxa"/>
              <w:start w:w="120" w:type="dxa"/>
              <w:end w:w="120" w:type="dxa"/>
            </w:tcMar>
            <w:vAlign w:val="center"/>
          </w:tcPr>
          <w:p>
            <w:pPr>
              <w:spacing w:before="0" w:after="0" w:line="269" w:lineRule="auto"/>
              <w:jc w:val="center"/>
            </w:pPr>
            <w:r/>
          </w:p>
        </w:tc>
        <w:tc>
          <w:tcPr>
            <w:tcW w:type="dxa" w:w="1289"/>
            <w:tcMar>
              <w:top w:w="80" w:type="dxa"/>
              <w:bottom w:w="80" w:type="dxa"/>
              <w:start w:w="120" w:type="dxa"/>
              <w:end w:w="120" w:type="dxa"/>
            </w:tcMar>
            <w:vAlign w:val="center"/>
          </w:tcPr>
          <w:p>
            <w:pPr>
              <w:spacing w:before="0" w:after="0" w:line="269" w:lineRule="auto"/>
              <w:jc w:val="center"/>
            </w:pPr>
            <w:r/>
            <w:r>
              <w:rPr>
                <w:rFonts w:ascii="Calibri" w:hAnsi="Calibri"/>
                <w:color w:val="222222"/>
                <w:sz w:val="15"/>
              </w:rPr>
              <w:t>Timepoint</w:t>
            </w:r>
          </w:p>
        </w:tc>
        <w:tc>
          <w:tcPr>
            <w:tcW w:type="dxa" w:w="1089"/>
            <w:tcMar>
              <w:top w:w="80" w:type="dxa"/>
              <w:bottom w:w="80" w:type="dxa"/>
              <w:start w:w="120" w:type="dxa"/>
              <w:end w:w="120" w:type="dxa"/>
            </w:tcMar>
            <w:vAlign w:val="center"/>
          </w:tcPr>
          <w:p>
            <w:pPr>
              <w:spacing w:before="0" w:after="0" w:line="269" w:lineRule="auto"/>
              <w:jc w:val="center"/>
            </w:pPr>
            <w:r/>
          </w:p>
        </w:tc>
        <w:tc>
          <w:tcPr>
            <w:tcW w:type="dxa" w:w="733"/>
            <w:tcMar>
              <w:top w:w="80" w:type="dxa"/>
              <w:bottom w:w="80" w:type="dxa"/>
              <w:start w:w="120" w:type="dxa"/>
              <w:end w:w="120" w:type="dxa"/>
            </w:tcMar>
            <w:vAlign w:val="center"/>
          </w:tcPr>
          <w:p>
            <w:pPr>
              <w:spacing w:before="0" w:after="0" w:line="269" w:lineRule="auto"/>
              <w:jc w:val="center"/>
            </w:pPr>
            <w:r/>
          </w:p>
        </w:tc>
        <w:tc>
          <w:tcPr>
            <w:tcW w:type="dxa" w:w="956"/>
            <w:tcMar>
              <w:top w:w="80" w:type="dxa"/>
              <w:bottom w:w="80" w:type="dxa"/>
              <w:start w:w="120" w:type="dxa"/>
              <w:end w:w="120" w:type="dxa"/>
            </w:tcMar>
            <w:vAlign w:val="center"/>
          </w:tcPr>
          <w:p>
            <w:pPr>
              <w:spacing w:before="0" w:after="0" w:line="269" w:lineRule="auto"/>
              <w:jc w:val="center"/>
            </w:pPr>
            <w:r/>
          </w:p>
        </w:tc>
        <w:tc>
          <w:tcPr>
            <w:tcW w:type="dxa" w:w="889"/>
            <w:tcMar>
              <w:top w:w="80" w:type="dxa"/>
              <w:bottom w:w="80" w:type="dxa"/>
              <w:start w:w="120" w:type="dxa"/>
              <w:end w:w="120" w:type="dxa"/>
            </w:tcMar>
            <w:vAlign w:val="center"/>
          </w:tcPr>
          <w:p>
            <w:pPr>
              <w:spacing w:before="0" w:after="0" w:line="269" w:lineRule="auto"/>
              <w:jc w:val="center"/>
            </w:pPr>
            <w:r/>
          </w:p>
        </w:tc>
        <w:tc>
          <w:tcPr>
            <w:tcW w:type="dxa" w:w="755"/>
            <w:tcMar>
              <w:top w:w="80" w:type="dxa"/>
              <w:bottom w:w="80" w:type="dxa"/>
              <w:start w:w="120" w:type="dxa"/>
              <w:end w:w="120" w:type="dxa"/>
            </w:tcMar>
            <w:vAlign w:val="center"/>
          </w:tcPr>
          <w:p>
            <w:pPr>
              <w:spacing w:before="0" w:after="0" w:line="269" w:lineRule="auto"/>
              <w:jc w:val="center"/>
            </w:pPr>
            <w:r/>
          </w:p>
        </w:tc>
        <w:tc>
          <w:tcPr>
            <w:tcW w:type="dxa" w:w="894"/>
            <w:tcMar>
              <w:top w:w="80" w:type="dxa"/>
              <w:bottom w:w="80" w:type="dxa"/>
              <w:start w:w="120" w:type="dxa"/>
              <w:end w:w="120" w:type="dxa"/>
            </w:tcMar>
            <w:vAlign w:val="center"/>
          </w:tcPr>
          <w:p>
            <w:pPr>
              <w:spacing w:before="0" w:after="0" w:line="269" w:lineRule="auto"/>
              <w:jc w:val="center"/>
            </w:pPr>
            <w:r/>
          </w:p>
        </w:tc>
      </w:tr>
      <w:tr>
        <w:trPr>
          <w:cantSplit w:val="true"/>
        </w:trPr>
        <w:tc>
          <w:tcPr>
            <w:tcW w:type="dxa" w:w="933"/>
            <w:tcMar>
              <w:top w:w="80" w:type="dxa"/>
              <w:bottom w:w="80" w:type="dxa"/>
              <w:start w:w="120" w:type="dxa"/>
              <w:end w:w="120" w:type="dxa"/>
            </w:tcMar>
            <w:vAlign w:val="center"/>
          </w:tcPr>
          <w:p>
            <w:pPr>
              <w:spacing w:before="0" w:after="0" w:line="269" w:lineRule="auto"/>
              <w:jc w:val="left"/>
            </w:pPr>
            <w:r/>
            <w:r>
              <w:rPr>
                <w:rFonts w:ascii="Calibri" w:hAnsi="Calibri"/>
                <w:color w:val="222222"/>
                <w:sz w:val="15"/>
              </w:rPr>
              <w:t>MD006</w:t>
            </w:r>
          </w:p>
        </w:tc>
        <w:tc>
          <w:tcPr>
            <w:tcW w:type="dxa" w:w="822"/>
            <w:tcMar>
              <w:top w:w="80" w:type="dxa"/>
              <w:bottom w:w="80" w:type="dxa"/>
              <w:start w:w="120" w:type="dxa"/>
              <w:end w:w="120" w:type="dxa"/>
            </w:tcMar>
            <w:vAlign w:val="center"/>
          </w:tcPr>
          <w:p>
            <w:pPr>
              <w:spacing w:before="0" w:after="0" w:line="269" w:lineRule="auto"/>
              <w:jc w:val="center"/>
            </w:pPr>
            <w:r/>
          </w:p>
        </w:tc>
        <w:tc>
          <w:tcPr>
            <w:tcW w:type="dxa" w:w="1000"/>
            <w:tcMar>
              <w:top w:w="80" w:type="dxa"/>
              <w:bottom w:w="80" w:type="dxa"/>
              <w:start w:w="120" w:type="dxa"/>
              <w:end w:w="120" w:type="dxa"/>
            </w:tcMar>
            <w:vAlign w:val="center"/>
          </w:tcPr>
          <w:p>
            <w:pPr>
              <w:spacing w:before="0" w:after="0" w:line="269" w:lineRule="auto"/>
              <w:jc w:val="center"/>
            </w:pPr>
            <w:r/>
          </w:p>
        </w:tc>
        <w:tc>
          <w:tcPr>
            <w:tcW w:type="dxa" w:w="1289"/>
            <w:tcMar>
              <w:top w:w="80" w:type="dxa"/>
              <w:bottom w:w="80" w:type="dxa"/>
              <w:start w:w="120" w:type="dxa"/>
              <w:end w:w="120" w:type="dxa"/>
            </w:tcMar>
            <w:vAlign w:val="center"/>
          </w:tcPr>
          <w:p>
            <w:pPr>
              <w:spacing w:before="0" w:after="0" w:line="269" w:lineRule="auto"/>
              <w:jc w:val="left"/>
            </w:pPr>
            <w:r/>
            <w:r>
              <w:rPr>
                <w:rFonts w:ascii="Calibri" w:hAnsi="Calibri"/>
                <w:color w:val="222222"/>
                <w:sz w:val="15"/>
              </w:rPr>
              <w:t>Participant/sample relationship</w:t>
            </w:r>
          </w:p>
        </w:tc>
        <w:tc>
          <w:tcPr>
            <w:tcW w:type="dxa" w:w="1089"/>
            <w:tcMar>
              <w:top w:w="80" w:type="dxa"/>
              <w:bottom w:w="80" w:type="dxa"/>
              <w:start w:w="120" w:type="dxa"/>
              <w:end w:w="120" w:type="dxa"/>
            </w:tcMar>
            <w:vAlign w:val="center"/>
          </w:tcPr>
          <w:p>
            <w:pPr>
              <w:spacing w:before="0" w:after="0" w:line="269" w:lineRule="auto"/>
              <w:jc w:val="center"/>
            </w:pPr>
            <w:r/>
          </w:p>
        </w:tc>
        <w:tc>
          <w:tcPr>
            <w:tcW w:type="dxa" w:w="733"/>
            <w:tcMar>
              <w:top w:w="80" w:type="dxa"/>
              <w:bottom w:w="80" w:type="dxa"/>
              <w:start w:w="120" w:type="dxa"/>
              <w:end w:w="120" w:type="dxa"/>
            </w:tcMar>
            <w:vAlign w:val="center"/>
          </w:tcPr>
          <w:p>
            <w:pPr>
              <w:spacing w:before="0" w:after="0" w:line="269" w:lineRule="auto"/>
              <w:jc w:val="center"/>
            </w:pPr>
            <w:r/>
          </w:p>
        </w:tc>
        <w:tc>
          <w:tcPr>
            <w:tcW w:type="dxa" w:w="956"/>
            <w:tcMar>
              <w:top w:w="80" w:type="dxa"/>
              <w:bottom w:w="80" w:type="dxa"/>
              <w:start w:w="120" w:type="dxa"/>
              <w:end w:w="120" w:type="dxa"/>
            </w:tcMar>
            <w:vAlign w:val="center"/>
          </w:tcPr>
          <w:p>
            <w:pPr>
              <w:spacing w:before="0" w:after="0" w:line="269" w:lineRule="auto"/>
              <w:jc w:val="center"/>
            </w:pPr>
            <w:r/>
          </w:p>
        </w:tc>
        <w:tc>
          <w:tcPr>
            <w:tcW w:type="dxa" w:w="889"/>
            <w:tcMar>
              <w:top w:w="80" w:type="dxa"/>
              <w:bottom w:w="80" w:type="dxa"/>
              <w:start w:w="120" w:type="dxa"/>
              <w:end w:w="120" w:type="dxa"/>
            </w:tcMar>
            <w:vAlign w:val="center"/>
          </w:tcPr>
          <w:p>
            <w:pPr>
              <w:spacing w:before="0" w:after="0" w:line="269" w:lineRule="auto"/>
              <w:jc w:val="center"/>
            </w:pPr>
            <w:r/>
          </w:p>
        </w:tc>
        <w:tc>
          <w:tcPr>
            <w:tcW w:type="dxa" w:w="755"/>
            <w:tcMar>
              <w:top w:w="80" w:type="dxa"/>
              <w:bottom w:w="80" w:type="dxa"/>
              <w:start w:w="120" w:type="dxa"/>
              <w:end w:w="120" w:type="dxa"/>
            </w:tcMar>
            <w:vAlign w:val="center"/>
          </w:tcPr>
          <w:p>
            <w:pPr>
              <w:spacing w:before="0" w:after="0" w:line="269" w:lineRule="auto"/>
              <w:jc w:val="center"/>
            </w:pPr>
            <w:r/>
          </w:p>
        </w:tc>
        <w:tc>
          <w:tcPr>
            <w:tcW w:type="dxa" w:w="894"/>
            <w:tcMar>
              <w:top w:w="80" w:type="dxa"/>
              <w:bottom w:w="80" w:type="dxa"/>
              <w:start w:w="120" w:type="dxa"/>
              <w:end w:w="120" w:type="dxa"/>
            </w:tcMar>
            <w:vAlign w:val="center"/>
          </w:tcPr>
          <w:p>
            <w:pPr>
              <w:spacing w:before="0" w:after="0" w:line="269" w:lineRule="auto"/>
              <w:jc w:val="center"/>
            </w:pPr>
            <w:r/>
          </w:p>
        </w:tc>
      </w:tr>
      <w:tr>
        <w:trPr>
          <w:cantSplit w:val="true"/>
        </w:trPr>
        <w:tc>
          <w:tcPr>
            <w:tcW w:type="dxa" w:w="933"/>
            <w:tcMar>
              <w:top w:w="80" w:type="dxa"/>
              <w:bottom w:w="80" w:type="dxa"/>
              <w:start w:w="120" w:type="dxa"/>
              <w:end w:w="120" w:type="dxa"/>
            </w:tcMar>
            <w:vAlign w:val="center"/>
          </w:tcPr>
          <w:p>
            <w:pPr>
              <w:spacing w:before="0" w:after="0" w:line="269" w:lineRule="auto"/>
              <w:jc w:val="left"/>
            </w:pPr>
            <w:r/>
            <w:r>
              <w:rPr>
                <w:rFonts w:ascii="Calibri" w:hAnsi="Calibri"/>
                <w:color w:val="222222"/>
                <w:sz w:val="15"/>
              </w:rPr>
              <w:t>MD007</w:t>
            </w:r>
          </w:p>
        </w:tc>
        <w:tc>
          <w:tcPr>
            <w:tcW w:type="dxa" w:w="822"/>
            <w:tcMar>
              <w:top w:w="80" w:type="dxa"/>
              <w:bottom w:w="80" w:type="dxa"/>
              <w:start w:w="120" w:type="dxa"/>
              <w:end w:w="120" w:type="dxa"/>
            </w:tcMar>
            <w:vAlign w:val="center"/>
          </w:tcPr>
          <w:p>
            <w:pPr>
              <w:spacing w:before="0" w:after="0" w:line="269" w:lineRule="auto"/>
              <w:jc w:val="center"/>
            </w:pPr>
            <w:r/>
          </w:p>
        </w:tc>
        <w:tc>
          <w:tcPr>
            <w:tcW w:type="dxa" w:w="1000"/>
            <w:tcMar>
              <w:top w:w="80" w:type="dxa"/>
              <w:bottom w:w="80" w:type="dxa"/>
              <w:start w:w="120" w:type="dxa"/>
              <w:end w:w="120" w:type="dxa"/>
            </w:tcMar>
            <w:vAlign w:val="center"/>
          </w:tcPr>
          <w:p>
            <w:pPr>
              <w:spacing w:before="0" w:after="0" w:line="269" w:lineRule="auto"/>
              <w:jc w:val="center"/>
            </w:pPr>
            <w:r/>
          </w:p>
        </w:tc>
        <w:tc>
          <w:tcPr>
            <w:tcW w:type="dxa" w:w="1289"/>
            <w:tcMar>
              <w:top w:w="80" w:type="dxa"/>
              <w:bottom w:w="80" w:type="dxa"/>
              <w:start w:w="120" w:type="dxa"/>
              <w:end w:w="120" w:type="dxa"/>
            </w:tcMar>
            <w:vAlign w:val="center"/>
          </w:tcPr>
          <w:p>
            <w:pPr>
              <w:spacing w:before="0" w:after="0" w:line="269" w:lineRule="auto"/>
              <w:jc w:val="center"/>
            </w:pPr>
            <w:r/>
            <w:r>
              <w:rPr>
                <w:rFonts w:ascii="Calibri" w:hAnsi="Calibri"/>
                <w:color w:val="222222"/>
                <w:sz w:val="15"/>
              </w:rPr>
              <w:t>Phenotype</w:t>
            </w:r>
          </w:p>
        </w:tc>
        <w:tc>
          <w:tcPr>
            <w:tcW w:type="dxa" w:w="1089"/>
            <w:tcMar>
              <w:top w:w="80" w:type="dxa"/>
              <w:bottom w:w="80" w:type="dxa"/>
              <w:start w:w="120" w:type="dxa"/>
              <w:end w:w="120" w:type="dxa"/>
            </w:tcMar>
            <w:vAlign w:val="center"/>
          </w:tcPr>
          <w:p>
            <w:pPr>
              <w:spacing w:before="0" w:after="0" w:line="269" w:lineRule="auto"/>
              <w:jc w:val="center"/>
            </w:pPr>
            <w:r/>
          </w:p>
        </w:tc>
        <w:tc>
          <w:tcPr>
            <w:tcW w:type="dxa" w:w="733"/>
            <w:tcMar>
              <w:top w:w="80" w:type="dxa"/>
              <w:bottom w:w="80" w:type="dxa"/>
              <w:start w:w="120" w:type="dxa"/>
              <w:end w:w="120" w:type="dxa"/>
            </w:tcMar>
            <w:vAlign w:val="center"/>
          </w:tcPr>
          <w:p>
            <w:pPr>
              <w:spacing w:before="0" w:after="0" w:line="269" w:lineRule="auto"/>
              <w:jc w:val="center"/>
            </w:pPr>
            <w:r/>
          </w:p>
        </w:tc>
        <w:tc>
          <w:tcPr>
            <w:tcW w:type="dxa" w:w="956"/>
            <w:tcMar>
              <w:top w:w="80" w:type="dxa"/>
              <w:bottom w:w="80" w:type="dxa"/>
              <w:start w:w="120" w:type="dxa"/>
              <w:end w:w="120" w:type="dxa"/>
            </w:tcMar>
            <w:vAlign w:val="center"/>
          </w:tcPr>
          <w:p>
            <w:pPr>
              <w:spacing w:before="0" w:after="0" w:line="269" w:lineRule="auto"/>
              <w:jc w:val="center"/>
            </w:pPr>
            <w:r/>
          </w:p>
        </w:tc>
        <w:tc>
          <w:tcPr>
            <w:tcW w:type="dxa" w:w="889"/>
            <w:tcMar>
              <w:top w:w="80" w:type="dxa"/>
              <w:bottom w:w="80" w:type="dxa"/>
              <w:start w:w="120" w:type="dxa"/>
              <w:end w:w="120" w:type="dxa"/>
            </w:tcMar>
            <w:vAlign w:val="center"/>
          </w:tcPr>
          <w:p>
            <w:pPr>
              <w:spacing w:before="0" w:after="0" w:line="269" w:lineRule="auto"/>
              <w:jc w:val="center"/>
            </w:pPr>
            <w:r/>
          </w:p>
        </w:tc>
        <w:tc>
          <w:tcPr>
            <w:tcW w:type="dxa" w:w="755"/>
            <w:tcMar>
              <w:top w:w="80" w:type="dxa"/>
              <w:bottom w:w="80" w:type="dxa"/>
              <w:start w:w="120" w:type="dxa"/>
              <w:end w:w="120" w:type="dxa"/>
            </w:tcMar>
            <w:vAlign w:val="center"/>
          </w:tcPr>
          <w:p>
            <w:pPr>
              <w:spacing w:before="0" w:after="0" w:line="269" w:lineRule="auto"/>
              <w:jc w:val="center"/>
            </w:pPr>
            <w:r/>
          </w:p>
        </w:tc>
        <w:tc>
          <w:tcPr>
            <w:tcW w:type="dxa" w:w="894"/>
            <w:tcMar>
              <w:top w:w="80" w:type="dxa"/>
              <w:bottom w:w="80" w:type="dxa"/>
              <w:start w:w="120" w:type="dxa"/>
              <w:end w:w="120" w:type="dxa"/>
            </w:tcMar>
            <w:vAlign w:val="center"/>
          </w:tcPr>
          <w:p>
            <w:pPr>
              <w:spacing w:before="0" w:after="0" w:line="269" w:lineRule="auto"/>
              <w:jc w:val="center"/>
            </w:pPr>
            <w:r/>
          </w:p>
        </w:tc>
      </w:tr>
      <w:tr>
        <w:trPr>
          <w:cantSplit w:val="true"/>
        </w:trPr>
        <w:tc>
          <w:tcPr>
            <w:tcW w:type="dxa" w:w="933"/>
            <w:tcMar>
              <w:top w:w="80" w:type="dxa"/>
              <w:bottom w:w="80" w:type="dxa"/>
              <w:start w:w="120" w:type="dxa"/>
              <w:end w:w="120" w:type="dxa"/>
            </w:tcMar>
            <w:vAlign w:val="center"/>
          </w:tcPr>
          <w:p>
            <w:pPr>
              <w:spacing w:before="0" w:after="0" w:line="269" w:lineRule="auto"/>
              <w:jc w:val="left"/>
            </w:pPr>
            <w:r/>
            <w:r>
              <w:rPr>
                <w:rFonts w:ascii="Calibri" w:hAnsi="Calibri"/>
                <w:color w:val="222222"/>
                <w:sz w:val="15"/>
              </w:rPr>
              <w:t>MD008</w:t>
            </w:r>
          </w:p>
        </w:tc>
        <w:tc>
          <w:tcPr>
            <w:tcW w:type="dxa" w:w="822"/>
            <w:tcMar>
              <w:top w:w="80" w:type="dxa"/>
              <w:bottom w:w="80" w:type="dxa"/>
              <w:start w:w="120" w:type="dxa"/>
              <w:end w:w="120" w:type="dxa"/>
            </w:tcMar>
            <w:vAlign w:val="center"/>
          </w:tcPr>
          <w:p>
            <w:pPr>
              <w:spacing w:before="0" w:after="0" w:line="269" w:lineRule="auto"/>
              <w:jc w:val="center"/>
            </w:pPr>
            <w:r/>
          </w:p>
        </w:tc>
        <w:tc>
          <w:tcPr>
            <w:tcW w:type="dxa" w:w="1000"/>
            <w:tcMar>
              <w:top w:w="80" w:type="dxa"/>
              <w:bottom w:w="80" w:type="dxa"/>
              <w:start w:w="120" w:type="dxa"/>
              <w:end w:w="120" w:type="dxa"/>
            </w:tcMar>
            <w:vAlign w:val="center"/>
          </w:tcPr>
          <w:p>
            <w:pPr>
              <w:spacing w:before="0" w:after="0" w:line="269" w:lineRule="auto"/>
              <w:jc w:val="center"/>
            </w:pPr>
            <w:r/>
          </w:p>
        </w:tc>
        <w:tc>
          <w:tcPr>
            <w:tcW w:type="dxa" w:w="1289"/>
            <w:tcMar>
              <w:top w:w="80" w:type="dxa"/>
              <w:bottom w:w="80" w:type="dxa"/>
              <w:start w:w="120" w:type="dxa"/>
              <w:end w:w="120" w:type="dxa"/>
            </w:tcMar>
            <w:vAlign w:val="center"/>
          </w:tcPr>
          <w:p>
            <w:pPr>
              <w:spacing w:before="0" w:after="0" w:line="269" w:lineRule="auto"/>
              <w:jc w:val="center"/>
            </w:pPr>
            <w:r/>
            <w:r>
              <w:rPr>
                <w:rFonts w:ascii="Calibri" w:hAnsi="Calibri"/>
                <w:color w:val="222222"/>
                <w:sz w:val="15"/>
              </w:rPr>
              <w:t>Measurement scale</w:t>
            </w:r>
          </w:p>
        </w:tc>
        <w:tc>
          <w:tcPr>
            <w:tcW w:type="dxa" w:w="1089"/>
            <w:tcMar>
              <w:top w:w="80" w:type="dxa"/>
              <w:bottom w:w="80" w:type="dxa"/>
              <w:start w:w="120" w:type="dxa"/>
              <w:end w:w="120" w:type="dxa"/>
            </w:tcMar>
            <w:vAlign w:val="center"/>
          </w:tcPr>
          <w:p>
            <w:pPr>
              <w:spacing w:before="0" w:after="0" w:line="269" w:lineRule="auto"/>
              <w:jc w:val="center"/>
            </w:pPr>
            <w:r/>
          </w:p>
        </w:tc>
        <w:tc>
          <w:tcPr>
            <w:tcW w:type="dxa" w:w="733"/>
            <w:tcMar>
              <w:top w:w="80" w:type="dxa"/>
              <w:bottom w:w="80" w:type="dxa"/>
              <w:start w:w="120" w:type="dxa"/>
              <w:end w:w="120" w:type="dxa"/>
            </w:tcMar>
            <w:vAlign w:val="center"/>
          </w:tcPr>
          <w:p>
            <w:pPr>
              <w:spacing w:before="0" w:after="0" w:line="269" w:lineRule="auto"/>
              <w:jc w:val="center"/>
            </w:pPr>
            <w:r/>
          </w:p>
        </w:tc>
        <w:tc>
          <w:tcPr>
            <w:tcW w:type="dxa" w:w="956"/>
            <w:tcMar>
              <w:top w:w="80" w:type="dxa"/>
              <w:bottom w:w="80" w:type="dxa"/>
              <w:start w:w="120" w:type="dxa"/>
              <w:end w:w="120" w:type="dxa"/>
            </w:tcMar>
            <w:vAlign w:val="center"/>
          </w:tcPr>
          <w:p>
            <w:pPr>
              <w:spacing w:before="0" w:after="0" w:line="269" w:lineRule="auto"/>
              <w:jc w:val="center"/>
            </w:pPr>
            <w:r/>
          </w:p>
        </w:tc>
        <w:tc>
          <w:tcPr>
            <w:tcW w:type="dxa" w:w="889"/>
            <w:tcMar>
              <w:top w:w="80" w:type="dxa"/>
              <w:bottom w:w="80" w:type="dxa"/>
              <w:start w:w="120" w:type="dxa"/>
              <w:end w:w="120" w:type="dxa"/>
            </w:tcMar>
            <w:vAlign w:val="center"/>
          </w:tcPr>
          <w:p>
            <w:pPr>
              <w:spacing w:before="0" w:after="0" w:line="269" w:lineRule="auto"/>
              <w:jc w:val="center"/>
            </w:pPr>
            <w:r/>
          </w:p>
        </w:tc>
        <w:tc>
          <w:tcPr>
            <w:tcW w:type="dxa" w:w="755"/>
            <w:tcMar>
              <w:top w:w="80" w:type="dxa"/>
              <w:bottom w:w="80" w:type="dxa"/>
              <w:start w:w="120" w:type="dxa"/>
              <w:end w:w="120" w:type="dxa"/>
            </w:tcMar>
            <w:vAlign w:val="center"/>
          </w:tcPr>
          <w:p>
            <w:pPr>
              <w:spacing w:before="0" w:after="0" w:line="269" w:lineRule="auto"/>
              <w:jc w:val="center"/>
            </w:pPr>
            <w:r/>
          </w:p>
        </w:tc>
        <w:tc>
          <w:tcPr>
            <w:tcW w:type="dxa" w:w="894"/>
            <w:tcMar>
              <w:top w:w="80" w:type="dxa"/>
              <w:bottom w:w="80" w:type="dxa"/>
              <w:start w:w="120" w:type="dxa"/>
              <w:end w:w="120" w:type="dxa"/>
            </w:tcMar>
            <w:vAlign w:val="center"/>
          </w:tcPr>
          <w:p>
            <w:pPr>
              <w:spacing w:before="0" w:after="0" w:line="269" w:lineRule="auto"/>
              <w:jc w:val="center"/>
            </w:pPr>
            <w:r/>
          </w:p>
        </w:tc>
      </w:tr>
    </w:tbl>
    <w:p>
      <w:pPr>
        <w:spacing w:before="0" w:after="40"/>
      </w:pPr>
    </w:p>
    <w:p>
      <w:pPr>
        <w:pStyle w:val="Heading2"/>
      </w:pPr>
      <w:r>
        <w:rPr>
          <w:rFonts w:ascii="Calibri" w:hAnsi="Calibri"/>
          <w:color w:val="222222"/>
        </w:rPr>
        <w:t>Tab C - Unit and scale decisions</w:t>
      </w:r>
    </w:p>
    <w:tbl>
      <w:tblPr>
        <w:tblStyle w:val="TableGrid"/>
        <w:tblW w:type="dxa" w:w="9360"/>
        <w:jc w:val="left"/>
        <w:tblLayout w:type="fixed"/>
        <w:tblLook w:firstColumn="1" w:firstRow="1" w:lastColumn="0" w:lastRow="0" w:noHBand="0" w:noVBand="1" w:val="04A0"/>
        <w:tblInd w:w="120" w:type="dxa"/>
      </w:tblPr>
      <w:tblGrid>
        <w:gridCol w:w="831"/>
        <w:gridCol w:w="854"/>
        <w:gridCol w:w="947"/>
        <w:gridCol w:w="993"/>
        <w:gridCol w:w="970"/>
        <w:gridCol w:w="1202"/>
        <w:gridCol w:w="1202"/>
        <w:gridCol w:w="739"/>
        <w:gridCol w:w="878"/>
        <w:gridCol w:w="744"/>
      </w:tblGrid>
      <w:tr>
        <w:trPr>
          <w:cantSplit w:val="true"/>
          <w:tblHeader w:val="true"/>
        </w:trPr>
        <w:tc>
          <w:tcPr>
            <w:tcW w:type="dxa" w:w="831"/>
            <w:tcMar>
              <w:top w:w="80" w:type="dxa"/>
              <w:bottom w:w="80" w:type="dxa"/>
              <w:start w:w="120" w:type="dxa"/>
              <w:end w:w="120" w:type="dxa"/>
            </w:tcMar>
            <w:vAlign w:val="center"/>
            <w:shd w:fill="E8EEF5"/>
          </w:tcPr>
          <w:p>
            <w:pPr>
              <w:spacing w:before="0" w:after="0" w:line="269" w:lineRule="auto"/>
              <w:jc w:val="left"/>
            </w:pPr>
            <w:r>
              <w:rPr>
                <w:b/>
                <w:color w:val="203748"/>
              </w:rPr>
            </w:r>
            <w:r>
              <w:rPr>
                <w:rFonts w:ascii="Calibri" w:hAnsi="Calibri"/>
                <w:b/>
                <w:color w:val="203748"/>
                <w:sz w:val="15"/>
              </w:rPr>
              <w:t>config_key</w:t>
            </w:r>
          </w:p>
        </w:tc>
        <w:tc>
          <w:tcPr>
            <w:tcW w:type="dxa" w:w="854"/>
            <w:tcMar>
              <w:top w:w="80" w:type="dxa"/>
              <w:bottom w:w="80" w:type="dxa"/>
              <w:start w:w="120" w:type="dxa"/>
              <w:end w:w="120" w:type="dxa"/>
            </w:tcMar>
            <w:vAlign w:val="center"/>
            <w:shd w:fill="E8EEF5"/>
          </w:tcPr>
          <w:p>
            <w:pPr>
              <w:spacing w:before="0" w:after="0" w:line="269" w:lineRule="auto"/>
              <w:jc w:val="center"/>
            </w:pPr>
            <w:r>
              <w:rPr>
                <w:b/>
                <w:color w:val="203748"/>
              </w:rPr>
            </w:r>
            <w:r>
              <w:rPr>
                <w:rFonts w:ascii="Calibri" w:hAnsi="Calibri"/>
                <w:b/>
                <w:color w:val="203748"/>
                <w:sz w:val="15"/>
              </w:rPr>
              <w:t>analysis_id</w:t>
            </w:r>
          </w:p>
        </w:tc>
        <w:tc>
          <w:tcPr>
            <w:tcW w:type="dxa" w:w="947"/>
            <w:tcMar>
              <w:top w:w="80" w:type="dxa"/>
              <w:bottom w:w="80" w:type="dxa"/>
              <w:start w:w="120" w:type="dxa"/>
              <w:end w:w="120" w:type="dxa"/>
            </w:tcMar>
            <w:vAlign w:val="center"/>
            <w:shd w:fill="E8EEF5"/>
          </w:tcPr>
          <w:p>
            <w:pPr>
              <w:spacing w:before="0" w:after="0" w:line="269" w:lineRule="auto"/>
              <w:jc w:val="center"/>
            </w:pPr>
            <w:r>
              <w:rPr>
                <w:b/>
                <w:color w:val="203748"/>
              </w:rPr>
            </w:r>
            <w:r>
              <w:rPr>
                <w:rFonts w:ascii="Calibri" w:hAnsi="Calibri"/>
                <w:b/>
                <w:color w:val="203748"/>
                <w:sz w:val="15"/>
              </w:rPr>
              <w:t>source quantity</w:t>
            </w:r>
          </w:p>
        </w:tc>
        <w:tc>
          <w:tcPr>
            <w:tcW w:type="dxa" w:w="993"/>
            <w:tcMar>
              <w:top w:w="80" w:type="dxa"/>
              <w:bottom w:w="80" w:type="dxa"/>
              <w:start w:w="120" w:type="dxa"/>
              <w:end w:w="120" w:type="dxa"/>
            </w:tcMar>
            <w:vAlign w:val="center"/>
            <w:shd w:fill="E8EEF5"/>
          </w:tcPr>
          <w:p>
            <w:pPr>
              <w:spacing w:before="0" w:after="0" w:line="269" w:lineRule="auto"/>
              <w:jc w:val="center"/>
            </w:pPr>
            <w:r>
              <w:rPr>
                <w:b/>
                <w:color w:val="203748"/>
              </w:rPr>
            </w:r>
            <w:r>
              <w:rPr>
                <w:rFonts w:ascii="Calibri" w:hAnsi="Calibri"/>
                <w:b/>
                <w:color w:val="203748"/>
                <w:sz w:val="15"/>
              </w:rPr>
              <w:t>source unit/scale</w:t>
            </w:r>
          </w:p>
        </w:tc>
        <w:tc>
          <w:tcPr>
            <w:tcW w:type="dxa" w:w="970"/>
            <w:tcMar>
              <w:top w:w="80" w:type="dxa"/>
              <w:bottom w:w="80" w:type="dxa"/>
              <w:start w:w="120" w:type="dxa"/>
              <w:end w:w="120" w:type="dxa"/>
            </w:tcMar>
            <w:vAlign w:val="center"/>
            <w:shd w:fill="E8EEF5"/>
          </w:tcPr>
          <w:p>
            <w:pPr>
              <w:spacing w:before="0" w:after="0" w:line="269" w:lineRule="auto"/>
              <w:jc w:val="center"/>
            </w:pPr>
            <w:r>
              <w:rPr>
                <w:b/>
                <w:color w:val="203748"/>
              </w:rPr>
            </w:r>
            <w:r>
              <w:rPr>
                <w:rFonts w:ascii="Calibri" w:hAnsi="Calibri"/>
                <w:b/>
                <w:color w:val="203748"/>
                <w:sz w:val="15"/>
              </w:rPr>
              <w:t>candidate target</w:t>
            </w:r>
          </w:p>
        </w:tc>
        <w:tc>
          <w:tcPr>
            <w:tcW w:type="dxa" w:w="1202"/>
            <w:tcMar>
              <w:top w:w="80" w:type="dxa"/>
              <w:bottom w:w="80" w:type="dxa"/>
              <w:start w:w="120" w:type="dxa"/>
              <w:end w:w="120" w:type="dxa"/>
            </w:tcMar>
            <w:vAlign w:val="center"/>
            <w:shd w:fill="E8EEF5"/>
          </w:tcPr>
          <w:p>
            <w:pPr>
              <w:spacing w:before="0" w:after="0" w:line="269" w:lineRule="auto"/>
              <w:jc w:val="left"/>
            </w:pPr>
            <w:r>
              <w:rPr>
                <w:b/>
                <w:color w:val="203748"/>
              </w:rPr>
            </w:r>
            <w:r>
              <w:rPr>
                <w:rFonts w:ascii="Calibri" w:hAnsi="Calibri"/>
                <w:b/>
                <w:color w:val="203748"/>
                <w:sz w:val="15"/>
              </w:rPr>
              <w:t>dimensionally convertible?</w:t>
            </w:r>
          </w:p>
        </w:tc>
        <w:tc>
          <w:tcPr>
            <w:tcW w:type="dxa" w:w="1202"/>
            <w:tcMar>
              <w:top w:w="80" w:type="dxa"/>
              <w:bottom w:w="80" w:type="dxa"/>
              <w:start w:w="120" w:type="dxa"/>
              <w:end w:w="120" w:type="dxa"/>
            </w:tcMar>
            <w:vAlign w:val="center"/>
            <w:shd w:fill="E8EEF5"/>
          </w:tcPr>
          <w:p>
            <w:pPr>
              <w:spacing w:before="0" w:after="0" w:line="269" w:lineRule="auto"/>
              <w:jc w:val="left"/>
            </w:pPr>
            <w:r>
              <w:rPr>
                <w:b/>
                <w:color w:val="203748"/>
              </w:rPr>
            </w:r>
            <w:r>
              <w:rPr>
                <w:rFonts w:ascii="Calibri" w:hAnsi="Calibri"/>
                <w:b/>
                <w:color w:val="203748"/>
                <w:sz w:val="15"/>
              </w:rPr>
              <w:t>quantification compatible?</w:t>
            </w:r>
          </w:p>
        </w:tc>
        <w:tc>
          <w:tcPr>
            <w:tcW w:type="dxa" w:w="739"/>
            <w:tcMar>
              <w:top w:w="80" w:type="dxa"/>
              <w:bottom w:w="80" w:type="dxa"/>
              <w:start w:w="120" w:type="dxa"/>
              <w:end w:w="120" w:type="dxa"/>
            </w:tcMar>
            <w:vAlign w:val="center"/>
            <w:shd w:fill="E8EEF5"/>
          </w:tcPr>
          <w:p>
            <w:pPr>
              <w:spacing w:before="0" w:after="0" w:line="269" w:lineRule="auto"/>
              <w:jc w:val="center"/>
            </w:pPr>
            <w:r>
              <w:rPr>
                <w:b/>
                <w:color w:val="203748"/>
              </w:rPr>
            </w:r>
            <w:r>
              <w:rPr>
                <w:rFonts w:ascii="Calibri" w:hAnsi="Calibri"/>
                <w:b/>
                <w:color w:val="203748"/>
                <w:sz w:val="15"/>
              </w:rPr>
              <w:t>action</w:t>
            </w:r>
          </w:p>
        </w:tc>
        <w:tc>
          <w:tcPr>
            <w:tcW w:type="dxa" w:w="878"/>
            <w:tcMar>
              <w:top w:w="80" w:type="dxa"/>
              <w:bottom w:w="80" w:type="dxa"/>
              <w:start w:w="120" w:type="dxa"/>
              <w:end w:w="120" w:type="dxa"/>
            </w:tcMar>
            <w:vAlign w:val="center"/>
            <w:shd w:fill="E8EEF5"/>
          </w:tcPr>
          <w:p>
            <w:pPr>
              <w:spacing w:before="0" w:after="0" w:line="269" w:lineRule="auto"/>
              <w:jc w:val="center"/>
            </w:pPr>
            <w:r>
              <w:rPr>
                <w:b/>
                <w:color w:val="203748"/>
              </w:rPr>
            </w:r>
            <w:r>
              <w:rPr>
                <w:rFonts w:ascii="Calibri" w:hAnsi="Calibri"/>
                <w:b/>
                <w:color w:val="203748"/>
                <w:sz w:val="15"/>
              </w:rPr>
              <w:t>formula/rule</w:t>
            </w:r>
          </w:p>
        </w:tc>
        <w:tc>
          <w:tcPr>
            <w:tcW w:type="dxa" w:w="744"/>
            <w:tcMar>
              <w:top w:w="80" w:type="dxa"/>
              <w:bottom w:w="80" w:type="dxa"/>
              <w:start w:w="120" w:type="dxa"/>
              <w:end w:w="120" w:type="dxa"/>
            </w:tcMar>
            <w:vAlign w:val="center"/>
            <w:shd w:fill="E8EEF5"/>
          </w:tcPr>
          <w:p>
            <w:pPr>
              <w:spacing w:before="0" w:after="0" w:line="269" w:lineRule="auto"/>
              <w:jc w:val="center"/>
            </w:pPr>
            <w:r>
              <w:rPr>
                <w:b/>
                <w:color w:val="203748"/>
              </w:rPr>
            </w:r>
            <w:r>
              <w:rPr>
                <w:rFonts w:ascii="Calibri" w:hAnsi="Calibri"/>
                <w:b/>
                <w:color w:val="203748"/>
                <w:sz w:val="15"/>
              </w:rPr>
              <w:t>reason</w:t>
            </w:r>
          </w:p>
        </w:tc>
      </w:tr>
      <w:tr>
        <w:trPr>
          <w:cantSplit w:val="true"/>
        </w:trPr>
        <w:tc>
          <w:tcPr>
            <w:tcW w:type="dxa" w:w="831"/>
            <w:tcMar>
              <w:top w:w="80" w:type="dxa"/>
              <w:bottom w:w="80" w:type="dxa"/>
              <w:start w:w="120" w:type="dxa"/>
              <w:end w:w="120" w:type="dxa"/>
            </w:tcMar>
            <w:vAlign w:val="center"/>
          </w:tcPr>
          <w:p>
            <w:pPr>
              <w:spacing w:before="0" w:after="0" w:line="269" w:lineRule="auto"/>
              <w:jc w:val="left"/>
            </w:pPr>
            <w:r/>
          </w:p>
        </w:tc>
        <w:tc>
          <w:tcPr>
            <w:tcW w:type="dxa" w:w="854"/>
            <w:tcMar>
              <w:top w:w="80" w:type="dxa"/>
              <w:bottom w:w="80" w:type="dxa"/>
              <w:start w:w="120" w:type="dxa"/>
              <w:end w:w="120" w:type="dxa"/>
            </w:tcMar>
            <w:vAlign w:val="center"/>
          </w:tcPr>
          <w:p>
            <w:pPr>
              <w:spacing w:before="0" w:after="0" w:line="269" w:lineRule="auto"/>
              <w:jc w:val="center"/>
            </w:pPr>
            <w:r/>
          </w:p>
        </w:tc>
        <w:tc>
          <w:tcPr>
            <w:tcW w:type="dxa" w:w="947"/>
            <w:tcMar>
              <w:top w:w="80" w:type="dxa"/>
              <w:bottom w:w="80" w:type="dxa"/>
              <w:start w:w="120" w:type="dxa"/>
              <w:end w:w="120" w:type="dxa"/>
            </w:tcMar>
            <w:vAlign w:val="center"/>
          </w:tcPr>
          <w:p>
            <w:pPr>
              <w:spacing w:before="0" w:after="0" w:line="269" w:lineRule="auto"/>
              <w:jc w:val="center"/>
            </w:pPr>
            <w:r/>
          </w:p>
        </w:tc>
        <w:tc>
          <w:tcPr>
            <w:tcW w:type="dxa" w:w="993"/>
            <w:tcMar>
              <w:top w:w="80" w:type="dxa"/>
              <w:bottom w:w="80" w:type="dxa"/>
              <w:start w:w="120" w:type="dxa"/>
              <w:end w:w="120" w:type="dxa"/>
            </w:tcMar>
            <w:vAlign w:val="center"/>
          </w:tcPr>
          <w:p>
            <w:pPr>
              <w:spacing w:before="0" w:after="0" w:line="269" w:lineRule="auto"/>
              <w:jc w:val="center"/>
            </w:pPr>
            <w:r/>
          </w:p>
        </w:tc>
        <w:tc>
          <w:tcPr>
            <w:tcW w:type="dxa" w:w="970"/>
            <w:tcMar>
              <w:top w:w="80" w:type="dxa"/>
              <w:bottom w:w="80" w:type="dxa"/>
              <w:start w:w="120" w:type="dxa"/>
              <w:end w:w="120" w:type="dxa"/>
            </w:tcMar>
            <w:vAlign w:val="center"/>
          </w:tcPr>
          <w:p>
            <w:pPr>
              <w:spacing w:before="0" w:after="0" w:line="269" w:lineRule="auto"/>
              <w:jc w:val="center"/>
            </w:pPr>
            <w:r/>
          </w:p>
        </w:tc>
        <w:tc>
          <w:tcPr>
            <w:tcW w:type="dxa" w:w="1202"/>
            <w:tcMar>
              <w:top w:w="80" w:type="dxa"/>
              <w:bottom w:w="80" w:type="dxa"/>
              <w:start w:w="120" w:type="dxa"/>
              <w:end w:w="120" w:type="dxa"/>
            </w:tcMar>
            <w:vAlign w:val="center"/>
          </w:tcPr>
          <w:p>
            <w:pPr>
              <w:spacing w:before="0" w:after="0" w:line="269" w:lineRule="auto"/>
              <w:jc w:val="center"/>
            </w:pPr>
            <w:r/>
          </w:p>
        </w:tc>
        <w:tc>
          <w:tcPr>
            <w:tcW w:type="dxa" w:w="1202"/>
            <w:tcMar>
              <w:top w:w="80" w:type="dxa"/>
              <w:bottom w:w="80" w:type="dxa"/>
              <w:start w:w="120" w:type="dxa"/>
              <w:end w:w="120" w:type="dxa"/>
            </w:tcMar>
            <w:vAlign w:val="center"/>
          </w:tcPr>
          <w:p>
            <w:pPr>
              <w:spacing w:before="0" w:after="0" w:line="269" w:lineRule="auto"/>
              <w:jc w:val="center"/>
            </w:pPr>
            <w:r/>
          </w:p>
        </w:tc>
        <w:tc>
          <w:tcPr>
            <w:tcW w:type="dxa" w:w="739"/>
            <w:tcMar>
              <w:top w:w="80" w:type="dxa"/>
              <w:bottom w:w="80" w:type="dxa"/>
              <w:start w:w="120" w:type="dxa"/>
              <w:end w:w="120" w:type="dxa"/>
            </w:tcMar>
            <w:vAlign w:val="center"/>
          </w:tcPr>
          <w:p>
            <w:pPr>
              <w:spacing w:before="0" w:after="0" w:line="269" w:lineRule="auto"/>
              <w:jc w:val="center"/>
            </w:pPr>
            <w:r/>
          </w:p>
        </w:tc>
        <w:tc>
          <w:tcPr>
            <w:tcW w:type="dxa" w:w="878"/>
            <w:tcMar>
              <w:top w:w="80" w:type="dxa"/>
              <w:bottom w:w="80" w:type="dxa"/>
              <w:start w:w="120" w:type="dxa"/>
              <w:end w:w="120" w:type="dxa"/>
            </w:tcMar>
            <w:vAlign w:val="center"/>
          </w:tcPr>
          <w:p>
            <w:pPr>
              <w:spacing w:before="0" w:after="0" w:line="269" w:lineRule="auto"/>
              <w:jc w:val="center"/>
            </w:pPr>
            <w:r/>
          </w:p>
        </w:tc>
        <w:tc>
          <w:tcPr>
            <w:tcW w:type="dxa" w:w="744"/>
            <w:tcMar>
              <w:top w:w="80" w:type="dxa"/>
              <w:bottom w:w="80" w:type="dxa"/>
              <w:start w:w="120" w:type="dxa"/>
              <w:end w:w="120" w:type="dxa"/>
            </w:tcMar>
            <w:vAlign w:val="center"/>
          </w:tcPr>
          <w:p>
            <w:pPr>
              <w:spacing w:before="0" w:after="0" w:line="269" w:lineRule="auto"/>
              <w:jc w:val="center"/>
            </w:pPr>
            <w:r/>
          </w:p>
        </w:tc>
      </w:tr>
      <w:tr>
        <w:trPr>
          <w:cantSplit w:val="true"/>
        </w:trPr>
        <w:tc>
          <w:tcPr>
            <w:tcW w:type="dxa" w:w="831"/>
            <w:tcMar>
              <w:top w:w="80" w:type="dxa"/>
              <w:bottom w:w="80" w:type="dxa"/>
              <w:start w:w="120" w:type="dxa"/>
              <w:end w:w="120" w:type="dxa"/>
            </w:tcMar>
            <w:vAlign w:val="center"/>
          </w:tcPr>
          <w:p>
            <w:pPr>
              <w:spacing w:before="0" w:after="0" w:line="269" w:lineRule="auto"/>
              <w:jc w:val="left"/>
            </w:pPr>
            <w:r/>
          </w:p>
        </w:tc>
        <w:tc>
          <w:tcPr>
            <w:tcW w:type="dxa" w:w="854"/>
            <w:tcMar>
              <w:top w:w="80" w:type="dxa"/>
              <w:bottom w:w="80" w:type="dxa"/>
              <w:start w:w="120" w:type="dxa"/>
              <w:end w:w="120" w:type="dxa"/>
            </w:tcMar>
            <w:vAlign w:val="center"/>
          </w:tcPr>
          <w:p>
            <w:pPr>
              <w:spacing w:before="0" w:after="0" w:line="269" w:lineRule="auto"/>
              <w:jc w:val="center"/>
            </w:pPr>
            <w:r/>
          </w:p>
        </w:tc>
        <w:tc>
          <w:tcPr>
            <w:tcW w:type="dxa" w:w="947"/>
            <w:tcMar>
              <w:top w:w="80" w:type="dxa"/>
              <w:bottom w:w="80" w:type="dxa"/>
              <w:start w:w="120" w:type="dxa"/>
              <w:end w:w="120" w:type="dxa"/>
            </w:tcMar>
            <w:vAlign w:val="center"/>
          </w:tcPr>
          <w:p>
            <w:pPr>
              <w:spacing w:before="0" w:after="0" w:line="269" w:lineRule="auto"/>
              <w:jc w:val="center"/>
            </w:pPr>
            <w:r/>
          </w:p>
        </w:tc>
        <w:tc>
          <w:tcPr>
            <w:tcW w:type="dxa" w:w="993"/>
            <w:tcMar>
              <w:top w:w="80" w:type="dxa"/>
              <w:bottom w:w="80" w:type="dxa"/>
              <w:start w:w="120" w:type="dxa"/>
              <w:end w:w="120" w:type="dxa"/>
            </w:tcMar>
            <w:vAlign w:val="center"/>
          </w:tcPr>
          <w:p>
            <w:pPr>
              <w:spacing w:before="0" w:after="0" w:line="269" w:lineRule="auto"/>
              <w:jc w:val="center"/>
            </w:pPr>
            <w:r/>
          </w:p>
        </w:tc>
        <w:tc>
          <w:tcPr>
            <w:tcW w:type="dxa" w:w="970"/>
            <w:tcMar>
              <w:top w:w="80" w:type="dxa"/>
              <w:bottom w:w="80" w:type="dxa"/>
              <w:start w:w="120" w:type="dxa"/>
              <w:end w:w="120" w:type="dxa"/>
            </w:tcMar>
            <w:vAlign w:val="center"/>
          </w:tcPr>
          <w:p>
            <w:pPr>
              <w:spacing w:before="0" w:after="0" w:line="269" w:lineRule="auto"/>
              <w:jc w:val="center"/>
            </w:pPr>
            <w:r/>
          </w:p>
        </w:tc>
        <w:tc>
          <w:tcPr>
            <w:tcW w:type="dxa" w:w="1202"/>
            <w:tcMar>
              <w:top w:w="80" w:type="dxa"/>
              <w:bottom w:w="80" w:type="dxa"/>
              <w:start w:w="120" w:type="dxa"/>
              <w:end w:w="120" w:type="dxa"/>
            </w:tcMar>
            <w:vAlign w:val="center"/>
          </w:tcPr>
          <w:p>
            <w:pPr>
              <w:spacing w:before="0" w:after="0" w:line="269" w:lineRule="auto"/>
              <w:jc w:val="center"/>
            </w:pPr>
            <w:r/>
          </w:p>
        </w:tc>
        <w:tc>
          <w:tcPr>
            <w:tcW w:type="dxa" w:w="1202"/>
            <w:tcMar>
              <w:top w:w="80" w:type="dxa"/>
              <w:bottom w:w="80" w:type="dxa"/>
              <w:start w:w="120" w:type="dxa"/>
              <w:end w:w="120" w:type="dxa"/>
            </w:tcMar>
            <w:vAlign w:val="center"/>
          </w:tcPr>
          <w:p>
            <w:pPr>
              <w:spacing w:before="0" w:after="0" w:line="269" w:lineRule="auto"/>
              <w:jc w:val="center"/>
            </w:pPr>
            <w:r/>
          </w:p>
        </w:tc>
        <w:tc>
          <w:tcPr>
            <w:tcW w:type="dxa" w:w="739"/>
            <w:tcMar>
              <w:top w:w="80" w:type="dxa"/>
              <w:bottom w:w="80" w:type="dxa"/>
              <w:start w:w="120" w:type="dxa"/>
              <w:end w:w="120" w:type="dxa"/>
            </w:tcMar>
            <w:vAlign w:val="center"/>
          </w:tcPr>
          <w:p>
            <w:pPr>
              <w:spacing w:before="0" w:after="0" w:line="269" w:lineRule="auto"/>
              <w:jc w:val="center"/>
            </w:pPr>
            <w:r/>
          </w:p>
        </w:tc>
        <w:tc>
          <w:tcPr>
            <w:tcW w:type="dxa" w:w="878"/>
            <w:tcMar>
              <w:top w:w="80" w:type="dxa"/>
              <w:bottom w:w="80" w:type="dxa"/>
              <w:start w:w="120" w:type="dxa"/>
              <w:end w:w="120" w:type="dxa"/>
            </w:tcMar>
            <w:vAlign w:val="center"/>
          </w:tcPr>
          <w:p>
            <w:pPr>
              <w:spacing w:before="0" w:after="0" w:line="269" w:lineRule="auto"/>
              <w:jc w:val="center"/>
            </w:pPr>
            <w:r/>
          </w:p>
        </w:tc>
        <w:tc>
          <w:tcPr>
            <w:tcW w:type="dxa" w:w="744"/>
            <w:tcMar>
              <w:top w:w="80" w:type="dxa"/>
              <w:bottom w:w="80" w:type="dxa"/>
              <w:start w:w="120" w:type="dxa"/>
              <w:end w:w="120" w:type="dxa"/>
            </w:tcMar>
            <w:vAlign w:val="center"/>
          </w:tcPr>
          <w:p>
            <w:pPr>
              <w:spacing w:before="0" w:after="0" w:line="269" w:lineRule="auto"/>
              <w:jc w:val="center"/>
            </w:pPr>
            <w:r/>
          </w:p>
        </w:tc>
      </w:tr>
    </w:tbl>
    <w:p>
      <w:pPr>
        <w:spacing w:before="0" w:after="40"/>
      </w:pPr>
    </w:p>
    <w:p>
      <w:pPr>
        <w:pStyle w:val="Heading2"/>
      </w:pPr>
      <w:r>
        <w:rPr>
          <w:rFonts w:ascii="Calibri" w:hAnsi="Calibri"/>
          <w:color w:val="222222"/>
        </w:rPr>
        <w:t>Tab D - Cross-study overlap audit</w:t>
      </w:r>
    </w:p>
    <w:p>
      <w:r>
        <w:rPr>
          <w:rFonts w:ascii="Calibri" w:hAnsi="Calibri"/>
          <w:color w:val="222222"/>
        </w:rPr>
        <w:t>Do not report only the final intersection.</w:t>
      </w:r>
    </w:p>
    <w:tbl>
      <w:tblPr>
        <w:tblStyle w:val="TableGrid"/>
        <w:tblW w:type="dxa" w:w="9360"/>
        <w:jc w:val="left"/>
        <w:tblLayout w:type="fixed"/>
        <w:tblLook w:firstColumn="1" w:firstRow="1" w:lastColumn="0" w:lastRow="0" w:noHBand="0" w:noVBand="1" w:val="04A0"/>
        <w:tblInd w:w="120" w:type="dxa"/>
      </w:tblPr>
      <w:tblGrid>
        <w:gridCol w:w="2294"/>
        <w:gridCol w:w="1164"/>
        <w:gridCol w:w="1390"/>
        <w:gridCol w:w="1277"/>
        <w:gridCol w:w="1277"/>
        <w:gridCol w:w="1958"/>
      </w:tblGrid>
      <w:tr>
        <w:trPr>
          <w:cantSplit w:val="true"/>
          <w:tblHeader w:val="true"/>
        </w:trPr>
        <w:tc>
          <w:tcPr>
            <w:tcW w:type="dxa" w:w="2294"/>
            <w:tcMar>
              <w:top w:w="80" w:type="dxa"/>
              <w:bottom w:w="80" w:type="dxa"/>
              <w:start w:w="120" w:type="dxa"/>
              <w:end w:w="120" w:type="dxa"/>
            </w:tcMar>
            <w:vAlign w:val="center"/>
            <w:shd w:fill="E8EEF5"/>
          </w:tcPr>
          <w:p>
            <w:pPr>
              <w:spacing w:before="0" w:after="0" w:line="269" w:lineRule="auto"/>
              <w:jc w:val="left"/>
            </w:pPr>
            <w:r>
              <w:rPr>
                <w:b/>
                <w:color w:val="203748"/>
              </w:rPr>
            </w:r>
            <w:r>
              <w:rPr>
                <w:rFonts w:ascii="Calibri" w:hAnsi="Calibri"/>
                <w:b/>
                <w:color w:val="203748"/>
                <w:sz w:val="15"/>
              </w:rPr>
              <w:t>Stage</w:t>
            </w:r>
          </w:p>
        </w:tc>
        <w:tc>
          <w:tcPr>
            <w:tcW w:type="dxa" w:w="1164"/>
            <w:tcMar>
              <w:top w:w="80" w:type="dxa"/>
              <w:bottom w:w="80" w:type="dxa"/>
              <w:start w:w="120" w:type="dxa"/>
              <w:end w:w="120" w:type="dxa"/>
            </w:tcMar>
            <w:vAlign w:val="center"/>
            <w:shd w:fill="E8EEF5"/>
          </w:tcPr>
          <w:p>
            <w:pPr>
              <w:spacing w:before="0" w:after="0" w:line="269" w:lineRule="auto"/>
              <w:jc w:val="center"/>
            </w:pPr>
            <w:r>
              <w:rPr>
                <w:b/>
                <w:color w:val="203748"/>
              </w:rPr>
            </w:r>
            <w:r>
              <w:rPr>
                <w:rFonts w:ascii="Calibri" w:hAnsi="Calibri"/>
                <w:b/>
                <w:color w:val="203748"/>
                <w:sz w:val="15"/>
              </w:rPr>
              <w:t>Diet count</w:t>
            </w:r>
          </w:p>
        </w:tc>
        <w:tc>
          <w:tcPr>
            <w:tcW w:type="dxa" w:w="1390"/>
            <w:tcMar>
              <w:top w:w="80" w:type="dxa"/>
              <w:bottom w:w="80" w:type="dxa"/>
              <w:start w:w="120" w:type="dxa"/>
              <w:end w:w="120" w:type="dxa"/>
            </w:tcMar>
            <w:vAlign w:val="center"/>
            <w:shd w:fill="E8EEF5"/>
          </w:tcPr>
          <w:p>
            <w:pPr>
              <w:spacing w:before="0" w:after="0" w:line="269" w:lineRule="auto"/>
              <w:jc w:val="center"/>
            </w:pPr>
            <w:r>
              <w:rPr>
                <w:b/>
                <w:color w:val="203748"/>
              </w:rPr>
            </w:r>
            <w:r>
              <w:rPr>
                <w:rFonts w:ascii="Calibri" w:hAnsi="Calibri"/>
                <w:b/>
                <w:color w:val="203748"/>
                <w:sz w:val="15"/>
              </w:rPr>
              <w:t>Exercise count</w:t>
            </w:r>
          </w:p>
        </w:tc>
        <w:tc>
          <w:tcPr>
            <w:tcW w:type="dxa" w:w="1277"/>
            <w:tcMar>
              <w:top w:w="80" w:type="dxa"/>
              <w:bottom w:w="80" w:type="dxa"/>
              <w:start w:w="120" w:type="dxa"/>
              <w:end w:w="120" w:type="dxa"/>
            </w:tcMar>
            <w:vAlign w:val="center"/>
            <w:shd w:fill="E8EEF5"/>
          </w:tcPr>
          <w:p>
            <w:pPr>
              <w:spacing w:before="0" w:after="0" w:line="269" w:lineRule="auto"/>
              <w:jc w:val="center"/>
            </w:pPr>
            <w:r>
              <w:rPr>
                <w:b/>
                <w:color w:val="203748"/>
              </w:rPr>
            </w:r>
            <w:r>
              <w:rPr>
                <w:rFonts w:ascii="Calibri" w:hAnsi="Calibri"/>
                <w:b/>
                <w:color w:val="203748"/>
                <w:sz w:val="15"/>
              </w:rPr>
              <w:t>Shared count</w:t>
            </w:r>
          </w:p>
        </w:tc>
        <w:tc>
          <w:tcPr>
            <w:tcW w:type="dxa" w:w="1277"/>
            <w:tcMar>
              <w:top w:w="80" w:type="dxa"/>
              <w:bottom w:w="80" w:type="dxa"/>
              <w:start w:w="120" w:type="dxa"/>
              <w:end w:w="120" w:type="dxa"/>
            </w:tcMar>
            <w:vAlign w:val="center"/>
            <w:shd w:fill="E8EEF5"/>
          </w:tcPr>
          <w:p>
            <w:pPr>
              <w:spacing w:before="0" w:after="0" w:line="269" w:lineRule="auto"/>
              <w:jc w:val="center"/>
            </w:pPr>
            <w:r>
              <w:rPr>
                <w:b/>
                <w:color w:val="203748"/>
              </w:rPr>
            </w:r>
            <w:r>
              <w:rPr>
                <w:rFonts w:ascii="Calibri" w:hAnsi="Calibri"/>
                <w:b/>
                <w:color w:val="203748"/>
                <w:sz w:val="15"/>
              </w:rPr>
              <w:t>Rule/version</w:t>
            </w:r>
          </w:p>
        </w:tc>
        <w:tc>
          <w:tcPr>
            <w:tcW w:type="dxa" w:w="1958"/>
            <w:tcMar>
              <w:top w:w="80" w:type="dxa"/>
              <w:bottom w:w="80" w:type="dxa"/>
              <w:start w:w="120" w:type="dxa"/>
              <w:end w:w="120" w:type="dxa"/>
            </w:tcMar>
            <w:vAlign w:val="center"/>
            <w:shd w:fill="E8EEF5"/>
          </w:tcPr>
          <w:p>
            <w:pPr>
              <w:spacing w:before="0" w:after="0" w:line="269" w:lineRule="auto"/>
              <w:jc w:val="left"/>
            </w:pPr>
            <w:r>
              <w:rPr>
                <w:b/>
                <w:color w:val="203748"/>
              </w:rPr>
            </w:r>
            <w:r>
              <w:rPr>
                <w:rFonts w:ascii="Calibri" w:hAnsi="Calibri"/>
                <w:b/>
                <w:color w:val="203748"/>
                <w:sz w:val="15"/>
              </w:rPr>
              <w:t>Exclusions at this stage</w:t>
            </w:r>
          </w:p>
        </w:tc>
      </w:tr>
      <w:tr>
        <w:trPr>
          <w:cantSplit w:val="true"/>
        </w:trPr>
        <w:tc>
          <w:tcPr>
            <w:tcW w:type="dxa" w:w="2294"/>
            <w:tcMar>
              <w:top w:w="80" w:type="dxa"/>
              <w:bottom w:w="80" w:type="dxa"/>
              <w:start w:w="120" w:type="dxa"/>
              <w:end w:w="120" w:type="dxa"/>
            </w:tcMar>
            <w:vAlign w:val="center"/>
          </w:tcPr>
          <w:p>
            <w:pPr>
              <w:spacing w:before="0" w:after="0" w:line="269" w:lineRule="auto"/>
              <w:jc w:val="left"/>
            </w:pPr>
            <w:r/>
            <w:r>
              <w:rPr>
                <w:rFonts w:ascii="Calibri" w:hAnsi="Calibri"/>
                <w:color w:val="222222"/>
                <w:sz w:val="15"/>
              </w:rPr>
              <w:t>Distinct submitted labels</w:t>
            </w:r>
          </w:p>
        </w:tc>
        <w:tc>
          <w:tcPr>
            <w:tcW w:type="dxa" w:w="1164"/>
            <w:tcMar>
              <w:top w:w="80" w:type="dxa"/>
              <w:bottom w:w="80" w:type="dxa"/>
              <w:start w:w="120" w:type="dxa"/>
              <w:end w:w="120" w:type="dxa"/>
            </w:tcMar>
            <w:vAlign w:val="center"/>
          </w:tcPr>
          <w:p>
            <w:pPr>
              <w:spacing w:before="0" w:after="0" w:line="269" w:lineRule="auto"/>
              <w:jc w:val="center"/>
            </w:pPr>
            <w:r/>
          </w:p>
        </w:tc>
        <w:tc>
          <w:tcPr>
            <w:tcW w:type="dxa" w:w="1390"/>
            <w:tcMar>
              <w:top w:w="80" w:type="dxa"/>
              <w:bottom w:w="80" w:type="dxa"/>
              <w:start w:w="120" w:type="dxa"/>
              <w:end w:w="120" w:type="dxa"/>
            </w:tcMar>
            <w:vAlign w:val="center"/>
          </w:tcPr>
          <w:p>
            <w:pPr>
              <w:spacing w:before="0" w:after="0" w:line="269" w:lineRule="auto"/>
              <w:jc w:val="center"/>
            </w:pPr>
            <w:r/>
          </w:p>
        </w:tc>
        <w:tc>
          <w:tcPr>
            <w:tcW w:type="dxa" w:w="1277"/>
            <w:tcMar>
              <w:top w:w="80" w:type="dxa"/>
              <w:bottom w:w="80" w:type="dxa"/>
              <w:start w:w="120" w:type="dxa"/>
              <w:end w:w="120" w:type="dxa"/>
            </w:tcMar>
            <w:vAlign w:val="center"/>
          </w:tcPr>
          <w:p>
            <w:pPr>
              <w:spacing w:before="0" w:after="0" w:line="269" w:lineRule="auto"/>
              <w:jc w:val="center"/>
            </w:pPr>
            <w:r/>
            <w:r>
              <w:rPr>
                <w:rFonts w:ascii="Calibri" w:hAnsi="Calibri"/>
                <w:color w:val="222222"/>
                <w:sz w:val="15"/>
              </w:rPr>
              <w:t>NA</w:t>
            </w:r>
          </w:p>
        </w:tc>
        <w:tc>
          <w:tcPr>
            <w:tcW w:type="dxa" w:w="1277"/>
            <w:tcMar>
              <w:top w:w="80" w:type="dxa"/>
              <w:bottom w:w="80" w:type="dxa"/>
              <w:start w:w="120" w:type="dxa"/>
              <w:end w:w="120" w:type="dxa"/>
            </w:tcMar>
            <w:vAlign w:val="center"/>
          </w:tcPr>
          <w:p>
            <w:pPr>
              <w:spacing w:before="0" w:after="0" w:line="269" w:lineRule="auto"/>
              <w:jc w:val="center"/>
            </w:pPr>
            <w:r/>
          </w:p>
        </w:tc>
        <w:tc>
          <w:tcPr>
            <w:tcW w:type="dxa" w:w="1958"/>
            <w:tcMar>
              <w:top w:w="80" w:type="dxa"/>
              <w:bottom w:w="80" w:type="dxa"/>
              <w:start w:w="120" w:type="dxa"/>
              <w:end w:w="120" w:type="dxa"/>
            </w:tcMar>
            <w:vAlign w:val="center"/>
          </w:tcPr>
          <w:p>
            <w:pPr>
              <w:spacing w:before="0" w:after="0" w:line="269" w:lineRule="auto"/>
              <w:jc w:val="center"/>
            </w:pPr>
            <w:r/>
          </w:p>
        </w:tc>
      </w:tr>
      <w:tr>
        <w:trPr>
          <w:cantSplit w:val="true"/>
        </w:trPr>
        <w:tc>
          <w:tcPr>
            <w:tcW w:type="dxa" w:w="2294"/>
            <w:tcMar>
              <w:top w:w="80" w:type="dxa"/>
              <w:bottom w:w="80" w:type="dxa"/>
              <w:start w:w="120" w:type="dxa"/>
              <w:end w:w="120" w:type="dxa"/>
            </w:tcMar>
            <w:vAlign w:val="center"/>
          </w:tcPr>
          <w:p>
            <w:pPr>
              <w:spacing w:before="0" w:after="0" w:line="269" w:lineRule="auto"/>
              <w:jc w:val="left"/>
            </w:pPr>
            <w:r/>
            <w:r>
              <w:rPr>
                <w:rFonts w:ascii="Calibri" w:hAnsi="Calibri"/>
                <w:color w:val="222222"/>
                <w:sz w:val="15"/>
              </w:rPr>
              <w:t>Nonblank source RefMet strings</w:t>
            </w:r>
          </w:p>
        </w:tc>
        <w:tc>
          <w:tcPr>
            <w:tcW w:type="dxa" w:w="1164"/>
            <w:tcMar>
              <w:top w:w="80" w:type="dxa"/>
              <w:bottom w:w="80" w:type="dxa"/>
              <w:start w:w="120" w:type="dxa"/>
              <w:end w:w="120" w:type="dxa"/>
            </w:tcMar>
            <w:vAlign w:val="center"/>
          </w:tcPr>
          <w:p>
            <w:pPr>
              <w:spacing w:before="0" w:after="0" w:line="269" w:lineRule="auto"/>
              <w:jc w:val="center"/>
            </w:pPr>
            <w:r/>
          </w:p>
        </w:tc>
        <w:tc>
          <w:tcPr>
            <w:tcW w:type="dxa" w:w="1390"/>
            <w:tcMar>
              <w:top w:w="80" w:type="dxa"/>
              <w:bottom w:w="80" w:type="dxa"/>
              <w:start w:w="120" w:type="dxa"/>
              <w:end w:w="120" w:type="dxa"/>
            </w:tcMar>
            <w:vAlign w:val="center"/>
          </w:tcPr>
          <w:p>
            <w:pPr>
              <w:spacing w:before="0" w:after="0" w:line="269" w:lineRule="auto"/>
              <w:jc w:val="center"/>
            </w:pPr>
            <w:r/>
          </w:p>
        </w:tc>
        <w:tc>
          <w:tcPr>
            <w:tcW w:type="dxa" w:w="1277"/>
            <w:tcMar>
              <w:top w:w="80" w:type="dxa"/>
              <w:bottom w:w="80" w:type="dxa"/>
              <w:start w:w="120" w:type="dxa"/>
              <w:end w:w="120" w:type="dxa"/>
            </w:tcMar>
            <w:vAlign w:val="center"/>
          </w:tcPr>
          <w:p>
            <w:pPr>
              <w:spacing w:before="0" w:after="0" w:line="269" w:lineRule="auto"/>
              <w:jc w:val="center"/>
            </w:pPr>
            <w:r/>
          </w:p>
        </w:tc>
        <w:tc>
          <w:tcPr>
            <w:tcW w:type="dxa" w:w="1277"/>
            <w:tcMar>
              <w:top w:w="80" w:type="dxa"/>
              <w:bottom w:w="80" w:type="dxa"/>
              <w:start w:w="120" w:type="dxa"/>
              <w:end w:w="120" w:type="dxa"/>
            </w:tcMar>
            <w:vAlign w:val="center"/>
          </w:tcPr>
          <w:p>
            <w:pPr>
              <w:spacing w:before="0" w:after="0" w:line="269" w:lineRule="auto"/>
              <w:jc w:val="center"/>
            </w:pPr>
            <w:r/>
          </w:p>
        </w:tc>
        <w:tc>
          <w:tcPr>
            <w:tcW w:type="dxa" w:w="1958"/>
            <w:tcMar>
              <w:top w:w="80" w:type="dxa"/>
              <w:bottom w:w="80" w:type="dxa"/>
              <w:start w:w="120" w:type="dxa"/>
              <w:end w:w="120" w:type="dxa"/>
            </w:tcMar>
            <w:vAlign w:val="center"/>
          </w:tcPr>
          <w:p>
            <w:pPr>
              <w:spacing w:before="0" w:after="0" w:line="269" w:lineRule="auto"/>
              <w:jc w:val="center"/>
            </w:pPr>
            <w:r/>
          </w:p>
        </w:tc>
      </w:tr>
      <w:tr>
        <w:trPr>
          <w:cantSplit w:val="true"/>
        </w:trPr>
        <w:tc>
          <w:tcPr>
            <w:tcW w:type="dxa" w:w="2294"/>
            <w:tcMar>
              <w:top w:w="80" w:type="dxa"/>
              <w:bottom w:w="80" w:type="dxa"/>
              <w:start w:w="120" w:type="dxa"/>
              <w:end w:w="120" w:type="dxa"/>
            </w:tcMar>
            <w:vAlign w:val="center"/>
          </w:tcPr>
          <w:p>
            <w:pPr>
              <w:spacing w:before="0" w:after="0" w:line="269" w:lineRule="auto"/>
              <w:jc w:val="left"/>
            </w:pPr>
            <w:r/>
            <w:r>
              <w:rPr>
                <w:rFonts w:ascii="Calibri" w:hAnsi="Calibri"/>
                <w:color w:val="222222"/>
                <w:sz w:val="15"/>
              </w:rPr>
              <w:t>Reviewed accepted mappings</w:t>
            </w:r>
          </w:p>
        </w:tc>
        <w:tc>
          <w:tcPr>
            <w:tcW w:type="dxa" w:w="1164"/>
            <w:tcMar>
              <w:top w:w="80" w:type="dxa"/>
              <w:bottom w:w="80" w:type="dxa"/>
              <w:start w:w="120" w:type="dxa"/>
              <w:end w:w="120" w:type="dxa"/>
            </w:tcMar>
            <w:vAlign w:val="center"/>
          </w:tcPr>
          <w:p>
            <w:pPr>
              <w:spacing w:before="0" w:after="0" w:line="269" w:lineRule="auto"/>
              <w:jc w:val="center"/>
            </w:pPr>
            <w:r/>
          </w:p>
        </w:tc>
        <w:tc>
          <w:tcPr>
            <w:tcW w:type="dxa" w:w="1390"/>
            <w:tcMar>
              <w:top w:w="80" w:type="dxa"/>
              <w:bottom w:w="80" w:type="dxa"/>
              <w:start w:w="120" w:type="dxa"/>
              <w:end w:w="120" w:type="dxa"/>
            </w:tcMar>
            <w:vAlign w:val="center"/>
          </w:tcPr>
          <w:p>
            <w:pPr>
              <w:spacing w:before="0" w:after="0" w:line="269" w:lineRule="auto"/>
              <w:jc w:val="center"/>
            </w:pPr>
            <w:r/>
          </w:p>
        </w:tc>
        <w:tc>
          <w:tcPr>
            <w:tcW w:type="dxa" w:w="1277"/>
            <w:tcMar>
              <w:top w:w="80" w:type="dxa"/>
              <w:bottom w:w="80" w:type="dxa"/>
              <w:start w:w="120" w:type="dxa"/>
              <w:end w:w="120" w:type="dxa"/>
            </w:tcMar>
            <w:vAlign w:val="center"/>
          </w:tcPr>
          <w:p>
            <w:pPr>
              <w:spacing w:before="0" w:after="0" w:line="269" w:lineRule="auto"/>
              <w:jc w:val="center"/>
            </w:pPr>
            <w:r/>
          </w:p>
        </w:tc>
        <w:tc>
          <w:tcPr>
            <w:tcW w:type="dxa" w:w="1277"/>
            <w:tcMar>
              <w:top w:w="80" w:type="dxa"/>
              <w:bottom w:w="80" w:type="dxa"/>
              <w:start w:w="120" w:type="dxa"/>
              <w:end w:w="120" w:type="dxa"/>
            </w:tcMar>
            <w:vAlign w:val="center"/>
          </w:tcPr>
          <w:p>
            <w:pPr>
              <w:spacing w:before="0" w:after="0" w:line="269" w:lineRule="auto"/>
              <w:jc w:val="center"/>
            </w:pPr>
            <w:r/>
          </w:p>
        </w:tc>
        <w:tc>
          <w:tcPr>
            <w:tcW w:type="dxa" w:w="1958"/>
            <w:tcMar>
              <w:top w:w="80" w:type="dxa"/>
              <w:bottom w:w="80" w:type="dxa"/>
              <w:start w:w="120" w:type="dxa"/>
              <w:end w:w="120" w:type="dxa"/>
            </w:tcMar>
            <w:vAlign w:val="center"/>
          </w:tcPr>
          <w:p>
            <w:pPr>
              <w:spacing w:before="0" w:after="0" w:line="269" w:lineRule="auto"/>
              <w:jc w:val="center"/>
            </w:pPr>
            <w:r/>
          </w:p>
        </w:tc>
      </w:tr>
      <w:tr>
        <w:trPr>
          <w:cantSplit w:val="true"/>
        </w:trPr>
        <w:tc>
          <w:tcPr>
            <w:tcW w:type="dxa" w:w="2294"/>
            <w:tcMar>
              <w:top w:w="80" w:type="dxa"/>
              <w:bottom w:w="80" w:type="dxa"/>
              <w:start w:w="120" w:type="dxa"/>
              <w:end w:w="120" w:type="dxa"/>
            </w:tcMar>
            <w:vAlign w:val="center"/>
          </w:tcPr>
          <w:p>
            <w:pPr>
              <w:spacing w:before="0" w:after="0" w:line="269" w:lineRule="auto"/>
              <w:jc w:val="left"/>
            </w:pPr>
            <w:r/>
            <w:r>
              <w:rPr>
                <w:rFonts w:ascii="Calibri" w:hAnsi="Calibri"/>
                <w:color w:val="222222"/>
                <w:sz w:val="15"/>
              </w:rPr>
              <w:t>Eligible after artifact rules</w:t>
            </w:r>
          </w:p>
        </w:tc>
        <w:tc>
          <w:tcPr>
            <w:tcW w:type="dxa" w:w="1164"/>
            <w:tcMar>
              <w:top w:w="80" w:type="dxa"/>
              <w:bottom w:w="80" w:type="dxa"/>
              <w:start w:w="120" w:type="dxa"/>
              <w:end w:w="120" w:type="dxa"/>
            </w:tcMar>
            <w:vAlign w:val="center"/>
          </w:tcPr>
          <w:p>
            <w:pPr>
              <w:spacing w:before="0" w:after="0" w:line="269" w:lineRule="auto"/>
              <w:jc w:val="center"/>
            </w:pPr>
            <w:r/>
          </w:p>
        </w:tc>
        <w:tc>
          <w:tcPr>
            <w:tcW w:type="dxa" w:w="1390"/>
            <w:tcMar>
              <w:top w:w="80" w:type="dxa"/>
              <w:bottom w:w="80" w:type="dxa"/>
              <w:start w:w="120" w:type="dxa"/>
              <w:end w:w="120" w:type="dxa"/>
            </w:tcMar>
            <w:vAlign w:val="center"/>
          </w:tcPr>
          <w:p>
            <w:pPr>
              <w:spacing w:before="0" w:after="0" w:line="269" w:lineRule="auto"/>
              <w:jc w:val="center"/>
            </w:pPr>
            <w:r/>
          </w:p>
        </w:tc>
        <w:tc>
          <w:tcPr>
            <w:tcW w:type="dxa" w:w="1277"/>
            <w:tcMar>
              <w:top w:w="80" w:type="dxa"/>
              <w:bottom w:w="80" w:type="dxa"/>
              <w:start w:w="120" w:type="dxa"/>
              <w:end w:w="120" w:type="dxa"/>
            </w:tcMar>
            <w:vAlign w:val="center"/>
          </w:tcPr>
          <w:p>
            <w:pPr>
              <w:spacing w:before="0" w:after="0" w:line="269" w:lineRule="auto"/>
              <w:jc w:val="center"/>
            </w:pPr>
            <w:r/>
          </w:p>
        </w:tc>
        <w:tc>
          <w:tcPr>
            <w:tcW w:type="dxa" w:w="1277"/>
            <w:tcMar>
              <w:top w:w="80" w:type="dxa"/>
              <w:bottom w:w="80" w:type="dxa"/>
              <w:start w:w="120" w:type="dxa"/>
              <w:end w:w="120" w:type="dxa"/>
            </w:tcMar>
            <w:vAlign w:val="center"/>
          </w:tcPr>
          <w:p>
            <w:pPr>
              <w:spacing w:before="0" w:after="0" w:line="269" w:lineRule="auto"/>
              <w:jc w:val="center"/>
            </w:pPr>
            <w:r/>
          </w:p>
        </w:tc>
        <w:tc>
          <w:tcPr>
            <w:tcW w:type="dxa" w:w="1958"/>
            <w:tcMar>
              <w:top w:w="80" w:type="dxa"/>
              <w:bottom w:w="80" w:type="dxa"/>
              <w:start w:w="120" w:type="dxa"/>
              <w:end w:w="120" w:type="dxa"/>
            </w:tcMar>
            <w:vAlign w:val="center"/>
          </w:tcPr>
          <w:p>
            <w:pPr>
              <w:spacing w:before="0" w:after="0" w:line="269" w:lineRule="auto"/>
              <w:jc w:val="center"/>
            </w:pPr>
            <w:r/>
          </w:p>
        </w:tc>
      </w:tr>
      <w:tr>
        <w:trPr>
          <w:cantSplit w:val="true"/>
        </w:trPr>
        <w:tc>
          <w:tcPr>
            <w:tcW w:type="dxa" w:w="2294"/>
            <w:tcMar>
              <w:top w:w="80" w:type="dxa"/>
              <w:bottom w:w="80" w:type="dxa"/>
              <w:start w:w="120" w:type="dxa"/>
              <w:end w:w="120" w:type="dxa"/>
            </w:tcMar>
            <w:vAlign w:val="center"/>
          </w:tcPr>
          <w:p>
            <w:pPr>
              <w:spacing w:before="0" w:after="0" w:line="269" w:lineRule="auto"/>
              <w:jc w:val="left"/>
            </w:pPr>
            <w:r/>
            <w:r>
              <w:rPr>
                <w:rFonts w:ascii="Calibri" w:hAnsi="Calibri"/>
                <w:color w:val="222222"/>
                <w:sz w:val="15"/>
              </w:rPr>
              <w:t>Unique exact-name keys</w:t>
            </w:r>
          </w:p>
        </w:tc>
        <w:tc>
          <w:tcPr>
            <w:tcW w:type="dxa" w:w="1164"/>
            <w:tcMar>
              <w:top w:w="80" w:type="dxa"/>
              <w:bottom w:w="80" w:type="dxa"/>
              <w:start w:w="120" w:type="dxa"/>
              <w:end w:w="120" w:type="dxa"/>
            </w:tcMar>
            <w:vAlign w:val="center"/>
          </w:tcPr>
          <w:p>
            <w:pPr>
              <w:spacing w:before="0" w:after="0" w:line="269" w:lineRule="auto"/>
              <w:jc w:val="center"/>
            </w:pPr>
            <w:r/>
          </w:p>
        </w:tc>
        <w:tc>
          <w:tcPr>
            <w:tcW w:type="dxa" w:w="1390"/>
            <w:tcMar>
              <w:top w:w="80" w:type="dxa"/>
              <w:bottom w:w="80" w:type="dxa"/>
              <w:start w:w="120" w:type="dxa"/>
              <w:end w:w="120" w:type="dxa"/>
            </w:tcMar>
            <w:vAlign w:val="center"/>
          </w:tcPr>
          <w:p>
            <w:pPr>
              <w:spacing w:before="0" w:after="0" w:line="269" w:lineRule="auto"/>
              <w:jc w:val="center"/>
            </w:pPr>
            <w:r/>
          </w:p>
        </w:tc>
        <w:tc>
          <w:tcPr>
            <w:tcW w:type="dxa" w:w="1277"/>
            <w:tcMar>
              <w:top w:w="80" w:type="dxa"/>
              <w:bottom w:w="80" w:type="dxa"/>
              <w:start w:w="120" w:type="dxa"/>
              <w:end w:w="120" w:type="dxa"/>
            </w:tcMar>
            <w:vAlign w:val="center"/>
          </w:tcPr>
          <w:p>
            <w:pPr>
              <w:spacing w:before="0" w:after="0" w:line="269" w:lineRule="auto"/>
              <w:jc w:val="center"/>
            </w:pPr>
            <w:r/>
          </w:p>
        </w:tc>
        <w:tc>
          <w:tcPr>
            <w:tcW w:type="dxa" w:w="1277"/>
            <w:tcMar>
              <w:top w:w="80" w:type="dxa"/>
              <w:bottom w:w="80" w:type="dxa"/>
              <w:start w:w="120" w:type="dxa"/>
              <w:end w:w="120" w:type="dxa"/>
            </w:tcMar>
            <w:vAlign w:val="center"/>
          </w:tcPr>
          <w:p>
            <w:pPr>
              <w:spacing w:before="0" w:after="0" w:line="269" w:lineRule="auto"/>
              <w:jc w:val="center"/>
            </w:pPr>
            <w:r/>
          </w:p>
        </w:tc>
        <w:tc>
          <w:tcPr>
            <w:tcW w:type="dxa" w:w="1958"/>
            <w:tcMar>
              <w:top w:w="80" w:type="dxa"/>
              <w:bottom w:w="80" w:type="dxa"/>
              <w:start w:w="120" w:type="dxa"/>
              <w:end w:w="120" w:type="dxa"/>
            </w:tcMar>
            <w:vAlign w:val="center"/>
          </w:tcPr>
          <w:p>
            <w:pPr>
              <w:spacing w:before="0" w:after="0" w:line="269" w:lineRule="auto"/>
              <w:jc w:val="center"/>
            </w:pPr>
            <w:r/>
          </w:p>
        </w:tc>
      </w:tr>
      <w:tr>
        <w:trPr>
          <w:cantSplit w:val="true"/>
        </w:trPr>
        <w:tc>
          <w:tcPr>
            <w:tcW w:type="dxa" w:w="2294"/>
            <w:tcMar>
              <w:top w:w="80" w:type="dxa"/>
              <w:bottom w:w="80" w:type="dxa"/>
              <w:start w:w="120" w:type="dxa"/>
              <w:end w:w="120" w:type="dxa"/>
            </w:tcMar>
            <w:vAlign w:val="center"/>
          </w:tcPr>
          <w:p>
            <w:pPr>
              <w:spacing w:before="0" w:after="0" w:line="269" w:lineRule="auto"/>
              <w:jc w:val="left"/>
            </w:pPr>
            <w:r/>
            <w:r>
              <w:rPr>
                <w:rFonts w:ascii="Calibri" w:hAnsi="Calibri"/>
                <w:color w:val="222222"/>
                <w:sz w:val="15"/>
              </w:rPr>
              <w:t>Final reported set</w:t>
            </w:r>
          </w:p>
        </w:tc>
        <w:tc>
          <w:tcPr>
            <w:tcW w:type="dxa" w:w="1164"/>
            <w:tcMar>
              <w:top w:w="80" w:type="dxa"/>
              <w:bottom w:w="80" w:type="dxa"/>
              <w:start w:w="120" w:type="dxa"/>
              <w:end w:w="120" w:type="dxa"/>
            </w:tcMar>
            <w:vAlign w:val="center"/>
          </w:tcPr>
          <w:p>
            <w:pPr>
              <w:spacing w:before="0" w:after="0" w:line="269" w:lineRule="auto"/>
              <w:jc w:val="center"/>
            </w:pPr>
            <w:r/>
          </w:p>
        </w:tc>
        <w:tc>
          <w:tcPr>
            <w:tcW w:type="dxa" w:w="1390"/>
            <w:tcMar>
              <w:top w:w="80" w:type="dxa"/>
              <w:bottom w:w="80" w:type="dxa"/>
              <w:start w:w="120" w:type="dxa"/>
              <w:end w:w="120" w:type="dxa"/>
            </w:tcMar>
            <w:vAlign w:val="center"/>
          </w:tcPr>
          <w:p>
            <w:pPr>
              <w:spacing w:before="0" w:after="0" w:line="269" w:lineRule="auto"/>
              <w:jc w:val="center"/>
            </w:pPr>
            <w:r/>
          </w:p>
        </w:tc>
        <w:tc>
          <w:tcPr>
            <w:tcW w:type="dxa" w:w="1277"/>
            <w:tcMar>
              <w:top w:w="80" w:type="dxa"/>
              <w:bottom w:w="80" w:type="dxa"/>
              <w:start w:w="120" w:type="dxa"/>
              <w:end w:w="120" w:type="dxa"/>
            </w:tcMar>
            <w:vAlign w:val="center"/>
          </w:tcPr>
          <w:p>
            <w:pPr>
              <w:spacing w:before="0" w:after="0" w:line="269" w:lineRule="auto"/>
              <w:jc w:val="center"/>
            </w:pPr>
            <w:r/>
          </w:p>
        </w:tc>
        <w:tc>
          <w:tcPr>
            <w:tcW w:type="dxa" w:w="1277"/>
            <w:tcMar>
              <w:top w:w="80" w:type="dxa"/>
              <w:bottom w:w="80" w:type="dxa"/>
              <w:start w:w="120" w:type="dxa"/>
              <w:end w:w="120" w:type="dxa"/>
            </w:tcMar>
            <w:vAlign w:val="center"/>
          </w:tcPr>
          <w:p>
            <w:pPr>
              <w:spacing w:before="0" w:after="0" w:line="269" w:lineRule="auto"/>
              <w:jc w:val="center"/>
            </w:pPr>
            <w:r/>
          </w:p>
        </w:tc>
        <w:tc>
          <w:tcPr>
            <w:tcW w:type="dxa" w:w="1958"/>
            <w:tcMar>
              <w:top w:w="80" w:type="dxa"/>
              <w:bottom w:w="80" w:type="dxa"/>
              <w:start w:w="120" w:type="dxa"/>
              <w:end w:w="120" w:type="dxa"/>
            </w:tcMar>
            <w:vAlign w:val="center"/>
          </w:tcPr>
          <w:p>
            <w:pPr>
              <w:spacing w:before="0" w:after="0" w:line="269" w:lineRule="auto"/>
              <w:jc w:val="center"/>
            </w:pPr>
            <w:r/>
          </w:p>
        </w:tc>
      </w:tr>
    </w:tbl>
    <w:p>
      <w:pPr>
        <w:spacing w:before="0" w:after="40"/>
      </w:pPr>
    </w:p>
    <w:p>
      <w:r>
        <w:rPr>
          <w:rFonts w:ascii="Calibri" w:hAnsi="Calibri"/>
          <w:b/>
          <w:color w:val="222222"/>
        </w:rPr>
        <w:t>Build checks:</w:t>
      </w:r>
      <w:r>
        <w:rPr>
          <w:rFonts w:ascii="Calibri" w:hAnsi="Calibri"/>
          <w:color w:val="222222"/>
        </w:rPr>
        <w:t xml:space="preserve"> The current release reported 153 shared nonblank exact RefMet strings before artifact and eligibility exclusions. Excluding eight </w:t>
      </w:r>
      <w:r>
        <w:rPr>
          <w:rFonts w:ascii="Consolas" w:hAnsi="Consolas"/>
          <w:color w:val="1F4D78"/>
          <w:sz w:val="21"/>
          <w:shd w:fill="EEF1F4"/>
        </w:rPr>
        <w:t>ST003348</w:t>
      </w:r>
      <w:r>
        <w:rPr>
          <w:rFonts w:ascii="Calibri" w:hAnsi="Calibri"/>
          <w:color w:val="222222"/>
        </w:rPr>
        <w:t xml:space="preserve"> isotope/internal-standard rows that mapped to ordinary RefMet labels yielded a conservative biological overlap of 145. If you do not reproduce 153 and then 145 with the same source version and rules, investigate and document the difference; do not tune decisions to force either count.</w:t>
      </w:r>
    </w:p>
    <w:p>
      <w:pPr>
        <w:pStyle w:val="Heading2"/>
      </w:pPr>
      <w:r>
        <w:rPr>
          <w:rFonts w:ascii="Calibri" w:hAnsi="Calibri"/>
          <w:color w:val="222222"/>
        </w:rPr>
        <w:t>Reproducibility audit</w:t>
      </w:r>
    </w:p>
    <w:p>
      <w:pPr>
        <w:numPr>
          <w:ilvl w:val="0"/>
          <w:numId w:val="93"/>
        </w:numPr>
        <w:spacing w:after="80" w:line="300" w:lineRule="auto"/>
      </w:pPr>
      <w:r>
        <w:rPr>
          <w:rFonts w:ascii="Calibri" w:hAnsi="Calibri"/>
          <w:color w:val="222222"/>
        </w:rPr>
        <w:t>[ ] Original labels and identifiers are never overwritten.</w:t>
      </w:r>
    </w:p>
    <w:p>
      <w:pPr>
        <w:numPr>
          <w:ilvl w:val="0"/>
          <w:numId w:val="93"/>
        </w:numPr>
        <w:spacing w:after="80" w:line="300" w:lineRule="auto"/>
      </w:pPr>
      <w:r>
        <w:rPr>
          <w:rFonts w:ascii="Calibri" w:hAnsi="Calibri"/>
          <w:color w:val="222222"/>
        </w:rPr>
        <w:t>[ ] Every row includes accession, analysis ID, and source endpoint.</w:t>
      </w:r>
    </w:p>
    <w:p>
      <w:pPr>
        <w:numPr>
          <w:ilvl w:val="0"/>
          <w:numId w:val="93"/>
        </w:numPr>
        <w:spacing w:after="80" w:line="300" w:lineRule="auto"/>
      </w:pPr>
      <w:r>
        <w:rPr>
          <w:rFonts w:ascii="Calibri" w:hAnsi="Calibri"/>
          <w:color w:val="222222"/>
        </w:rPr>
        <w:t>[ ] Lookup transformations and query strings are recorded.</w:t>
      </w:r>
    </w:p>
    <w:p>
      <w:pPr>
        <w:numPr>
          <w:ilvl w:val="0"/>
          <w:numId w:val="93"/>
        </w:numPr>
        <w:spacing w:after="80" w:line="300" w:lineRule="auto"/>
      </w:pPr>
      <w:r>
        <w:rPr>
          <w:rFonts w:ascii="Calibri" w:hAnsi="Calibri"/>
          <w:color w:val="222222"/>
        </w:rPr>
        <w:t>[ ] Automated mappings are distinguishable from reviewed decisions.</w:t>
      </w:r>
    </w:p>
    <w:p>
      <w:pPr>
        <w:numPr>
          <w:ilvl w:val="0"/>
          <w:numId w:val="93"/>
        </w:numPr>
        <w:spacing w:after="80" w:line="300" w:lineRule="auto"/>
      </w:pPr>
      <w:r>
        <w:rPr>
          <w:rFonts w:ascii="Calibri" w:hAnsi="Calibri"/>
          <w:color w:val="222222"/>
        </w:rPr>
        <w:t>[ ] Annotation resolution is no more specific than source evidence.</w:t>
      </w:r>
    </w:p>
    <w:p>
      <w:pPr>
        <w:numPr>
          <w:ilvl w:val="0"/>
          <w:numId w:val="93"/>
        </w:numPr>
        <w:spacing w:after="80" w:line="300" w:lineRule="auto"/>
      </w:pPr>
      <w:r>
        <w:rPr>
          <w:rFonts w:ascii="Calibri" w:hAnsi="Calibri"/>
          <w:color w:val="222222"/>
        </w:rPr>
        <w:t>[ ] One-to-many and many-to-one cases remain visible.</w:t>
      </w:r>
    </w:p>
    <w:p>
      <w:pPr>
        <w:numPr>
          <w:ilvl w:val="0"/>
          <w:numId w:val="93"/>
        </w:numPr>
        <w:spacing w:after="80" w:line="300" w:lineRule="auto"/>
      </w:pPr>
      <w:r>
        <w:rPr>
          <w:rFonts w:ascii="Calibri" w:hAnsi="Calibri"/>
          <w:color w:val="222222"/>
        </w:rPr>
        <w:t>[ ] Internal standards, isotope-labeled compounds, pooled QC, and artifacts have explicit roles.</w:t>
      </w:r>
    </w:p>
    <w:p>
      <w:pPr>
        <w:numPr>
          <w:ilvl w:val="0"/>
          <w:numId w:val="93"/>
        </w:numPr>
        <w:spacing w:after="80" w:line="300" w:lineRule="auto"/>
      </w:pPr>
      <w:r>
        <w:rPr>
          <w:rFonts w:ascii="Calibri" w:hAnsi="Calibri"/>
          <w:color w:val="222222"/>
        </w:rPr>
        <w:t>[ ] Unmapped and review-required rows remain in the crosswalk.</w:t>
      </w:r>
    </w:p>
    <w:p>
      <w:pPr>
        <w:numPr>
          <w:ilvl w:val="0"/>
          <w:numId w:val="93"/>
        </w:numPr>
        <w:spacing w:after="80" w:line="300" w:lineRule="auto"/>
      </w:pPr>
      <w:r>
        <w:rPr>
          <w:rFonts w:ascii="Calibri" w:hAnsi="Calibri"/>
          <w:color w:val="222222"/>
        </w:rPr>
        <w:t>[ ] Eligibility is purpose-specific.</w:t>
      </w:r>
    </w:p>
    <w:p>
      <w:pPr>
        <w:numPr>
          <w:ilvl w:val="0"/>
          <w:numId w:val="93"/>
        </w:numPr>
        <w:spacing w:after="80" w:line="300" w:lineRule="auto"/>
      </w:pPr>
      <w:r>
        <w:rPr>
          <w:rFonts w:ascii="Calibri" w:hAnsi="Calibri"/>
          <w:color w:val="222222"/>
        </w:rPr>
        <w:t xml:space="preserve">[ ] Cross-study quantitative eligibility is </w:t>
      </w:r>
      <w:r>
        <w:rPr>
          <w:rFonts w:ascii="Consolas" w:hAnsi="Consolas"/>
          <w:color w:val="1F4D78"/>
          <w:sz w:val="21"/>
          <w:shd w:fill="EEF1F4"/>
        </w:rPr>
        <w:t>no</w:t>
      </w:r>
      <w:r>
        <w:rPr>
          <w:rFonts w:ascii="Calibri" w:hAnsi="Calibri"/>
          <w:color w:val="222222"/>
        </w:rPr>
        <w:t>.</w:t>
      </w:r>
    </w:p>
    <w:p>
      <w:pPr>
        <w:numPr>
          <w:ilvl w:val="0"/>
          <w:numId w:val="93"/>
        </w:numPr>
        <w:spacing w:after="80" w:line="300" w:lineRule="auto"/>
      </w:pPr>
      <w:r>
        <w:rPr>
          <w:rFonts w:ascii="Calibri" w:hAnsi="Calibri"/>
          <w:color w:val="222222"/>
        </w:rPr>
        <w:t>[ ] Decision changes are append-only or versioned.</w:t>
      </w:r>
    </w:p>
    <w:p>
      <w:r>
        <w:br w:type="page"/>
      </w:r>
    </w:p>
    <w:p>
      <w:pPr>
        <w:pStyle w:val="Heading1"/>
      </w:pPr>
      <w:r>
        <w:rPr>
          <w:rFonts w:ascii="Calibri" w:hAnsi="Calibri"/>
          <w:color w:val="222222"/>
        </w:rPr>
        <w:t>Access-pattern and transfer checklist - learner version</w:t>
      </w:r>
    </w:p>
    <w:p>
      <w:r>
        <w:rPr>
          <w:rFonts w:ascii="Calibri" w:hAnsi="Calibri"/>
          <w:b/>
          <w:color w:val="222222"/>
        </w:rPr>
        <w:t>Learner:</w:t>
      </w:r>
      <w:r>
        <w:rPr>
          <w:rFonts w:ascii="Calibri" w:hAnsi="Calibri"/>
          <w:color w:val="222222"/>
        </w:rPr>
        <w:t xml:space="preserve"> ____________________</w:t>
      </w:r>
    </w:p>
    <w:p>
      <w:r>
        <w:rPr>
          <w:rFonts w:ascii="Calibri" w:hAnsi="Calibri"/>
          <w:b/>
          <w:color w:val="222222"/>
        </w:rPr>
        <w:t>Date:</w:t>
      </w:r>
      <w:r>
        <w:rPr>
          <w:rFonts w:ascii="Calibri" w:hAnsi="Calibri"/>
          <w:color w:val="222222"/>
        </w:rPr>
        <w:t xml:space="preserve"> ____________________</w:t>
      </w:r>
    </w:p>
    <w:p>
      <w:r>
        <w:rPr>
          <w:rFonts w:ascii="Calibri" w:hAnsi="Calibri"/>
          <w:b/>
          <w:color w:val="222222"/>
        </w:rPr>
        <w:t>Resource support contact, if known:</w:t>
      </w:r>
      <w:r>
        <w:rPr>
          <w:rFonts w:ascii="Calibri" w:hAnsi="Calibri"/>
          <w:color w:val="222222"/>
        </w:rPr>
        <w:t xml:space="preserve"> ____________________</w:t>
      </w:r>
    </w:p>
    <w:p>
      <w:pPr>
        <w:pStyle w:val="Heading2"/>
      </w:pPr>
      <w:r>
        <w:rPr>
          <w:rFonts w:ascii="Calibri" w:hAnsi="Calibri"/>
          <w:color w:val="222222"/>
        </w:rPr>
        <w:t>Instructions</w:t>
      </w:r>
    </w:p>
    <w:p>
      <w:r>
        <w:rPr>
          <w:rFonts w:ascii="Calibri" w:hAnsi="Calibri"/>
          <w:color w:val="222222"/>
        </w:rPr>
        <w:t>Assess one exact dataset, release, and intended action. Use current first-party documentation. Do not infer access from the program name, a search-result snippet, or a past release.</w:t>
      </w:r>
    </w:p>
    <w:p>
      <w:r>
        <w:rPr>
          <w:rFonts w:ascii="Calibri" w:hAnsi="Calibri"/>
          <w:color w:val="222222"/>
        </w:rPr>
        <w:t>This checklist supports planning and is not legal advice or a replacement for the resource's terms, institutional review, or data-governance process.</w:t>
      </w:r>
    </w:p>
    <w:p>
      <w:r>
        <w:rPr>
          <w:rFonts w:ascii="Calibri" w:hAnsi="Calibri"/>
          <w:color w:val="222222"/>
        </w:rPr>
        <w:t>For the timed lesson, complete five items: the exact dataset and action in Section 1, one first-party source and date in Section 2, one planning pattern in Section 3, the compute/storage boundary in Section 6, and the decision in Section 8. Use the remaining rows for a full project transfer.</w:t>
      </w:r>
    </w:p>
    <w:p>
      <w:pPr>
        <w:pStyle w:val="Heading2"/>
      </w:pPr>
      <w:r>
        <w:rPr>
          <w:rFonts w:ascii="Calibri" w:hAnsi="Calibri"/>
          <w:color w:val="222222"/>
        </w:rPr>
        <w:t>1. Scope the request</w:t>
      </w:r>
    </w:p>
    <w:tbl>
      <w:tblPr>
        <w:tblStyle w:val="TableGrid"/>
        <w:tblW w:type="dxa" w:w="9360"/>
        <w:jc w:val="left"/>
        <w:tblLayout w:type="fixed"/>
        <w:tblLook w:firstColumn="1" w:firstRow="1" w:lastColumn="0" w:lastRow="0" w:noHBand="0" w:noVBand="1" w:val="04A0"/>
        <w:tblInd w:w="120" w:type="dxa"/>
      </w:tblPr>
      <w:tblGrid>
        <w:gridCol w:w="6984"/>
        <w:gridCol w:w="2376"/>
      </w:tblGrid>
      <w:tr>
        <w:trPr>
          <w:cantSplit w:val="true"/>
          <w:tblHeader w:val="true"/>
        </w:trPr>
        <w:tc>
          <w:tcPr>
            <w:tcW w:type="dxa" w:w="6984"/>
            <w:tcMar>
              <w:top w:w="80" w:type="dxa"/>
              <w:bottom w:w="80" w:type="dxa"/>
              <w:start w:w="120" w:type="dxa"/>
              <w:end w:w="120" w:type="dxa"/>
            </w:tcMar>
            <w:vAlign w:val="center"/>
            <w:shd w:fill="E8EEF5"/>
          </w:tcPr>
          <w:p>
            <w:pPr>
              <w:spacing w:before="0" w:after="0" w:line="269" w:lineRule="auto"/>
              <w:jc w:val="left"/>
            </w:pPr>
            <w:r>
              <w:rPr>
                <w:b/>
                <w:color w:val="203748"/>
              </w:rPr>
            </w:r>
            <w:r>
              <w:rPr>
                <w:rFonts w:ascii="Calibri" w:hAnsi="Calibri"/>
                <w:b/>
                <w:color w:val="203748"/>
                <w:sz w:val="18"/>
              </w:rPr>
              <w:t>Item</w:t>
            </w:r>
          </w:p>
        </w:tc>
        <w:tc>
          <w:tcPr>
            <w:tcW w:type="dxa" w:w="2376"/>
            <w:tcMar>
              <w:top w:w="80" w:type="dxa"/>
              <w:bottom w:w="80" w:type="dxa"/>
              <w:start w:w="120" w:type="dxa"/>
              <w:end w:w="120" w:type="dxa"/>
            </w:tcMar>
            <w:vAlign w:val="center"/>
            <w:shd w:fill="E8EEF5"/>
          </w:tcPr>
          <w:p>
            <w:pPr>
              <w:spacing w:before="0" w:after="0" w:line="269" w:lineRule="auto"/>
              <w:jc w:val="center"/>
            </w:pPr>
            <w:r>
              <w:rPr>
                <w:b/>
                <w:color w:val="203748"/>
              </w:rPr>
            </w:r>
            <w:r>
              <w:rPr>
                <w:rFonts w:ascii="Calibri" w:hAnsi="Calibri"/>
                <w:b/>
                <w:color w:val="203748"/>
                <w:sz w:val="18"/>
              </w:rPr>
              <w:t>Entry</w:t>
            </w:r>
          </w:p>
        </w:tc>
      </w:tr>
      <w:tr>
        <w:trPr>
          <w:cantSplit w:val="true"/>
        </w:trPr>
        <w:tc>
          <w:tcPr>
            <w:tcW w:type="dxa" w:w="6984"/>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Program/resource</w:t>
            </w:r>
          </w:p>
        </w:tc>
        <w:tc>
          <w:tcPr>
            <w:tcW w:type="dxa" w:w="2376"/>
            <w:tcMar>
              <w:top w:w="80" w:type="dxa"/>
              <w:bottom w:w="80" w:type="dxa"/>
              <w:start w:w="120" w:type="dxa"/>
              <w:end w:w="120" w:type="dxa"/>
            </w:tcMar>
            <w:vAlign w:val="center"/>
          </w:tcPr>
          <w:p>
            <w:pPr>
              <w:spacing w:before="0" w:after="0" w:line="269" w:lineRule="auto"/>
              <w:jc w:val="center"/>
            </w:pPr>
            <w:r/>
          </w:p>
        </w:tc>
      </w:tr>
      <w:tr>
        <w:trPr>
          <w:cantSplit w:val="true"/>
        </w:trPr>
        <w:tc>
          <w:tcPr>
            <w:tcW w:type="dxa" w:w="6984"/>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Exact dataset or collection</w:t>
            </w:r>
          </w:p>
        </w:tc>
        <w:tc>
          <w:tcPr>
            <w:tcW w:type="dxa" w:w="2376"/>
            <w:tcMar>
              <w:top w:w="80" w:type="dxa"/>
              <w:bottom w:w="80" w:type="dxa"/>
              <w:start w:w="120" w:type="dxa"/>
              <w:end w:w="120" w:type="dxa"/>
            </w:tcMar>
            <w:vAlign w:val="center"/>
          </w:tcPr>
          <w:p>
            <w:pPr>
              <w:spacing w:before="0" w:after="0" w:line="269" w:lineRule="auto"/>
              <w:jc w:val="center"/>
            </w:pPr>
            <w:r/>
          </w:p>
        </w:tc>
      </w:tr>
      <w:tr>
        <w:trPr>
          <w:cantSplit w:val="true"/>
        </w:trPr>
        <w:tc>
          <w:tcPr>
            <w:tcW w:type="dxa" w:w="6984"/>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Release/version/date</w:t>
            </w:r>
          </w:p>
        </w:tc>
        <w:tc>
          <w:tcPr>
            <w:tcW w:type="dxa" w:w="2376"/>
            <w:tcMar>
              <w:top w:w="80" w:type="dxa"/>
              <w:bottom w:w="80" w:type="dxa"/>
              <w:start w:w="120" w:type="dxa"/>
              <w:end w:w="120" w:type="dxa"/>
            </w:tcMar>
            <w:vAlign w:val="center"/>
          </w:tcPr>
          <w:p>
            <w:pPr>
              <w:spacing w:before="0" w:after="0" w:line="269" w:lineRule="auto"/>
              <w:jc w:val="center"/>
            </w:pPr>
            <w:r/>
          </w:p>
        </w:tc>
      </w:tr>
      <w:tr>
        <w:trPr>
          <w:cantSplit w:val="true"/>
        </w:trPr>
        <w:tc>
          <w:tcPr>
            <w:tcW w:type="dxa" w:w="6984"/>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Assay/data level</w:t>
            </w:r>
          </w:p>
        </w:tc>
        <w:tc>
          <w:tcPr>
            <w:tcW w:type="dxa" w:w="2376"/>
            <w:tcMar>
              <w:top w:w="80" w:type="dxa"/>
              <w:bottom w:w="80" w:type="dxa"/>
              <w:start w:w="120" w:type="dxa"/>
              <w:end w:w="120" w:type="dxa"/>
            </w:tcMar>
            <w:vAlign w:val="center"/>
          </w:tcPr>
          <w:p>
            <w:pPr>
              <w:spacing w:before="0" w:after="0" w:line="269" w:lineRule="auto"/>
              <w:jc w:val="center"/>
            </w:pPr>
            <w:r/>
          </w:p>
        </w:tc>
      </w:tr>
      <w:tr>
        <w:trPr>
          <w:cantSplit w:val="true"/>
        </w:trPr>
        <w:tc>
          <w:tcPr>
            <w:tcW w:type="dxa" w:w="6984"/>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Requested fields/files</w:t>
            </w:r>
          </w:p>
        </w:tc>
        <w:tc>
          <w:tcPr>
            <w:tcW w:type="dxa" w:w="2376"/>
            <w:tcMar>
              <w:top w:w="80" w:type="dxa"/>
              <w:bottom w:w="80" w:type="dxa"/>
              <w:start w:w="120" w:type="dxa"/>
              <w:end w:w="120" w:type="dxa"/>
            </w:tcMar>
            <w:vAlign w:val="center"/>
          </w:tcPr>
          <w:p>
            <w:pPr>
              <w:spacing w:before="0" w:after="0" w:line="269" w:lineRule="auto"/>
              <w:jc w:val="center"/>
            </w:pPr>
            <w:r/>
          </w:p>
        </w:tc>
      </w:tr>
      <w:tr>
        <w:trPr>
          <w:cantSplit w:val="true"/>
        </w:trPr>
        <w:tc>
          <w:tcPr>
            <w:tcW w:type="dxa" w:w="6984"/>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Intended scientific question</w:t>
            </w:r>
          </w:p>
        </w:tc>
        <w:tc>
          <w:tcPr>
            <w:tcW w:type="dxa" w:w="2376"/>
            <w:tcMar>
              <w:top w:w="80" w:type="dxa"/>
              <w:bottom w:w="80" w:type="dxa"/>
              <w:start w:w="120" w:type="dxa"/>
              <w:end w:w="120" w:type="dxa"/>
            </w:tcMar>
            <w:vAlign w:val="center"/>
          </w:tcPr>
          <w:p>
            <w:pPr>
              <w:spacing w:before="0" w:after="0" w:line="269" w:lineRule="auto"/>
              <w:jc w:val="center"/>
            </w:pPr>
            <w:r/>
          </w:p>
        </w:tc>
      </w:tr>
      <w:tr>
        <w:trPr>
          <w:cantSplit w:val="true"/>
        </w:trPr>
        <w:tc>
          <w:tcPr>
            <w:tcW w:type="dxa" w:w="6984"/>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Intended action: view/query/download/join/analyze/export/share/publish</w:t>
            </w:r>
          </w:p>
        </w:tc>
        <w:tc>
          <w:tcPr>
            <w:tcW w:type="dxa" w:w="2376"/>
            <w:tcMar>
              <w:top w:w="80" w:type="dxa"/>
              <w:bottom w:w="80" w:type="dxa"/>
              <w:start w:w="120" w:type="dxa"/>
              <w:end w:w="120" w:type="dxa"/>
            </w:tcMar>
            <w:vAlign w:val="center"/>
          </w:tcPr>
          <w:p>
            <w:pPr>
              <w:spacing w:before="0" w:after="0" w:line="269" w:lineRule="auto"/>
              <w:jc w:val="center"/>
            </w:pPr>
            <w:r/>
          </w:p>
        </w:tc>
      </w:tr>
      <w:tr>
        <w:trPr>
          <w:cantSplit w:val="true"/>
        </w:trPr>
        <w:tc>
          <w:tcPr>
            <w:tcW w:type="dxa" w:w="6984"/>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Intended users/collaborators</w:t>
            </w:r>
          </w:p>
        </w:tc>
        <w:tc>
          <w:tcPr>
            <w:tcW w:type="dxa" w:w="2376"/>
            <w:tcMar>
              <w:top w:w="80" w:type="dxa"/>
              <w:bottom w:w="80" w:type="dxa"/>
              <w:start w:w="120" w:type="dxa"/>
              <w:end w:w="120" w:type="dxa"/>
            </w:tcMar>
            <w:vAlign w:val="center"/>
          </w:tcPr>
          <w:p>
            <w:pPr>
              <w:spacing w:before="0" w:after="0" w:line="269" w:lineRule="auto"/>
              <w:jc w:val="center"/>
            </w:pPr>
            <w:r/>
          </w:p>
        </w:tc>
      </w:tr>
      <w:tr>
        <w:trPr>
          <w:cantSplit w:val="true"/>
        </w:trPr>
        <w:tc>
          <w:tcPr>
            <w:tcW w:type="dxa" w:w="6984"/>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Intended compute location</w:t>
            </w:r>
          </w:p>
        </w:tc>
        <w:tc>
          <w:tcPr>
            <w:tcW w:type="dxa" w:w="2376"/>
            <w:tcMar>
              <w:top w:w="80" w:type="dxa"/>
              <w:bottom w:w="80" w:type="dxa"/>
              <w:start w:w="120" w:type="dxa"/>
              <w:end w:w="120" w:type="dxa"/>
            </w:tcMar>
            <w:vAlign w:val="center"/>
          </w:tcPr>
          <w:p>
            <w:pPr>
              <w:spacing w:before="0" w:after="0" w:line="269" w:lineRule="auto"/>
              <w:jc w:val="center"/>
            </w:pPr>
            <w:r/>
          </w:p>
        </w:tc>
      </w:tr>
      <w:tr>
        <w:trPr>
          <w:cantSplit w:val="true"/>
        </w:trPr>
        <w:tc>
          <w:tcPr>
            <w:tcW w:type="dxa" w:w="6984"/>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Intended storage location</w:t>
            </w:r>
          </w:p>
        </w:tc>
        <w:tc>
          <w:tcPr>
            <w:tcW w:type="dxa" w:w="2376"/>
            <w:tcMar>
              <w:top w:w="80" w:type="dxa"/>
              <w:bottom w:w="80" w:type="dxa"/>
              <w:start w:w="120" w:type="dxa"/>
              <w:end w:w="120" w:type="dxa"/>
            </w:tcMar>
            <w:vAlign w:val="center"/>
          </w:tcPr>
          <w:p>
            <w:pPr>
              <w:spacing w:before="0" w:after="0" w:line="269" w:lineRule="auto"/>
              <w:jc w:val="center"/>
            </w:pPr>
            <w:r/>
          </w:p>
        </w:tc>
      </w:tr>
      <w:tr>
        <w:trPr>
          <w:cantSplit w:val="true"/>
        </w:trPr>
        <w:tc>
          <w:tcPr>
            <w:tcW w:type="dxa" w:w="6984"/>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Intended outputs</w:t>
            </w:r>
          </w:p>
        </w:tc>
        <w:tc>
          <w:tcPr>
            <w:tcW w:type="dxa" w:w="2376"/>
            <w:tcMar>
              <w:top w:w="80" w:type="dxa"/>
              <w:bottom w:w="80" w:type="dxa"/>
              <w:start w:w="120" w:type="dxa"/>
              <w:end w:w="120" w:type="dxa"/>
            </w:tcMar>
            <w:vAlign w:val="center"/>
          </w:tcPr>
          <w:p>
            <w:pPr>
              <w:spacing w:before="0" w:after="0" w:line="269" w:lineRule="auto"/>
              <w:jc w:val="center"/>
            </w:pPr>
            <w:r/>
          </w:p>
        </w:tc>
      </w:tr>
    </w:tbl>
    <w:p>
      <w:pPr>
        <w:spacing w:before="0" w:after="40"/>
      </w:pPr>
    </w:p>
    <w:p>
      <w:pPr>
        <w:pStyle w:val="Heading2"/>
      </w:pPr>
      <w:r>
        <w:rPr>
          <w:rFonts w:ascii="Calibri" w:hAnsi="Calibri"/>
          <w:color w:val="222222"/>
        </w:rPr>
        <w:t>2. Record first-party evidence</w:t>
      </w:r>
    </w:p>
    <w:tbl>
      <w:tblPr>
        <w:tblStyle w:val="TableGrid"/>
        <w:tblW w:type="dxa" w:w="9360"/>
        <w:jc w:val="left"/>
        <w:tblLayout w:type="fixed"/>
        <w:tblLook w:firstColumn="1" w:firstRow="1" w:lastColumn="0" w:lastRow="0" w:noHBand="0" w:noVBand="1" w:val="04A0"/>
        <w:tblInd w:w="120" w:type="dxa"/>
      </w:tblPr>
      <w:tblGrid>
        <w:gridCol w:w="2748"/>
        <w:gridCol w:w="1105"/>
        <w:gridCol w:w="1995"/>
        <w:gridCol w:w="1379"/>
        <w:gridCol w:w="2133"/>
      </w:tblGrid>
      <w:tr>
        <w:trPr>
          <w:cantSplit w:val="true"/>
          <w:tblHeader w:val="true"/>
        </w:trPr>
        <w:tc>
          <w:tcPr>
            <w:tcW w:type="dxa" w:w="2748"/>
            <w:tcMar>
              <w:top w:w="80" w:type="dxa"/>
              <w:bottom w:w="80" w:type="dxa"/>
              <w:start w:w="120" w:type="dxa"/>
              <w:end w:w="120" w:type="dxa"/>
            </w:tcMar>
            <w:vAlign w:val="center"/>
            <w:shd w:fill="E8EEF5"/>
          </w:tcPr>
          <w:p>
            <w:pPr>
              <w:spacing w:before="0" w:after="0" w:line="269" w:lineRule="auto"/>
              <w:jc w:val="left"/>
            </w:pPr>
            <w:r>
              <w:rPr>
                <w:b/>
                <w:color w:val="203748"/>
              </w:rPr>
            </w:r>
            <w:r>
              <w:rPr>
                <w:rFonts w:ascii="Calibri" w:hAnsi="Calibri"/>
                <w:b/>
                <w:color w:val="203748"/>
                <w:sz w:val="16"/>
              </w:rPr>
              <w:t>Evidence question</w:t>
            </w:r>
          </w:p>
        </w:tc>
        <w:tc>
          <w:tcPr>
            <w:tcW w:type="dxa" w:w="1105"/>
            <w:tcMar>
              <w:top w:w="80" w:type="dxa"/>
              <w:bottom w:w="80" w:type="dxa"/>
              <w:start w:w="120" w:type="dxa"/>
              <w:end w:w="120" w:type="dxa"/>
            </w:tcMar>
            <w:vAlign w:val="center"/>
            <w:shd w:fill="E8EEF5"/>
          </w:tcPr>
          <w:p>
            <w:pPr>
              <w:spacing w:before="0" w:after="0" w:line="269" w:lineRule="auto"/>
              <w:jc w:val="center"/>
            </w:pPr>
            <w:r>
              <w:rPr>
                <w:b/>
                <w:color w:val="203748"/>
              </w:rPr>
            </w:r>
            <w:r>
              <w:rPr>
                <w:rFonts w:ascii="Calibri" w:hAnsi="Calibri"/>
                <w:b/>
                <w:color w:val="203748"/>
                <w:sz w:val="16"/>
              </w:rPr>
              <w:t>Answer</w:t>
            </w:r>
          </w:p>
        </w:tc>
        <w:tc>
          <w:tcPr>
            <w:tcW w:type="dxa" w:w="1995"/>
            <w:tcMar>
              <w:top w:w="80" w:type="dxa"/>
              <w:bottom w:w="80" w:type="dxa"/>
              <w:start w:w="120" w:type="dxa"/>
              <w:end w:w="120" w:type="dxa"/>
            </w:tcMar>
            <w:vAlign w:val="center"/>
            <w:shd w:fill="E8EEF5"/>
          </w:tcPr>
          <w:p>
            <w:pPr>
              <w:spacing w:before="0" w:after="0" w:line="269" w:lineRule="auto"/>
              <w:jc w:val="left"/>
            </w:pPr>
            <w:r>
              <w:rPr>
                <w:b/>
                <w:color w:val="203748"/>
              </w:rPr>
            </w:r>
            <w:r>
              <w:rPr>
                <w:rFonts w:ascii="Calibri" w:hAnsi="Calibri"/>
                <w:b/>
                <w:color w:val="203748"/>
                <w:sz w:val="16"/>
              </w:rPr>
              <w:t>First-party URL/document section</w:t>
            </w:r>
          </w:p>
        </w:tc>
        <w:tc>
          <w:tcPr>
            <w:tcW w:type="dxa" w:w="1379"/>
            <w:tcMar>
              <w:top w:w="80" w:type="dxa"/>
              <w:bottom w:w="80" w:type="dxa"/>
              <w:start w:w="120" w:type="dxa"/>
              <w:end w:w="120" w:type="dxa"/>
            </w:tcMar>
            <w:vAlign w:val="center"/>
            <w:shd w:fill="E8EEF5"/>
          </w:tcPr>
          <w:p>
            <w:pPr>
              <w:spacing w:before="0" w:after="0" w:line="269" w:lineRule="auto"/>
              <w:jc w:val="center"/>
            </w:pPr>
            <w:r>
              <w:rPr>
                <w:b/>
                <w:color w:val="203748"/>
              </w:rPr>
            </w:r>
            <w:r>
              <w:rPr>
                <w:rFonts w:ascii="Calibri" w:hAnsi="Calibri"/>
                <w:b/>
                <w:color w:val="203748"/>
                <w:sz w:val="16"/>
              </w:rPr>
              <w:t>Checked at UTC</w:t>
            </w:r>
          </w:p>
        </w:tc>
        <w:tc>
          <w:tcPr>
            <w:tcW w:type="dxa" w:w="2133"/>
            <w:tcMar>
              <w:top w:w="80" w:type="dxa"/>
              <w:bottom w:w="80" w:type="dxa"/>
              <w:start w:w="120" w:type="dxa"/>
              <w:end w:w="120" w:type="dxa"/>
            </w:tcMar>
            <w:vAlign w:val="center"/>
            <w:shd w:fill="E8EEF5"/>
          </w:tcPr>
          <w:p>
            <w:pPr>
              <w:spacing w:before="0" w:after="0" w:line="269" w:lineRule="auto"/>
              <w:jc w:val="left"/>
            </w:pPr>
            <w:r>
              <w:rPr>
                <w:b/>
                <w:color w:val="203748"/>
              </w:rPr>
            </w:r>
            <w:r>
              <w:rPr>
                <w:rFonts w:ascii="Calibri" w:hAnsi="Calibri"/>
                <w:b/>
                <w:color w:val="203748"/>
                <w:sz w:val="16"/>
              </w:rPr>
              <w:t>Status: verified/conflicting/unclear</w:t>
            </w:r>
          </w:p>
        </w:tc>
      </w:tr>
      <w:tr>
        <w:trPr>
          <w:cantSplit w:val="true"/>
        </w:trPr>
        <w:tc>
          <w:tcPr>
            <w:tcW w:type="dxa" w:w="2748"/>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Is the exact release discoverable?</w:t>
            </w:r>
          </w:p>
        </w:tc>
        <w:tc>
          <w:tcPr>
            <w:tcW w:type="dxa" w:w="1105"/>
            <w:tcMar>
              <w:top w:w="80" w:type="dxa"/>
              <w:bottom w:w="80" w:type="dxa"/>
              <w:start w:w="120" w:type="dxa"/>
              <w:end w:w="120" w:type="dxa"/>
            </w:tcMar>
            <w:vAlign w:val="center"/>
          </w:tcPr>
          <w:p>
            <w:pPr>
              <w:spacing w:before="0" w:after="0" w:line="269" w:lineRule="auto"/>
              <w:jc w:val="center"/>
            </w:pPr>
            <w:r/>
          </w:p>
        </w:tc>
        <w:tc>
          <w:tcPr>
            <w:tcW w:type="dxa" w:w="1995"/>
            <w:tcMar>
              <w:top w:w="80" w:type="dxa"/>
              <w:bottom w:w="80" w:type="dxa"/>
              <w:start w:w="120" w:type="dxa"/>
              <w:end w:w="120" w:type="dxa"/>
            </w:tcMar>
            <w:vAlign w:val="center"/>
          </w:tcPr>
          <w:p>
            <w:pPr>
              <w:spacing w:before="0" w:after="0" w:line="269" w:lineRule="auto"/>
              <w:jc w:val="center"/>
            </w:pPr>
            <w:r/>
          </w:p>
        </w:tc>
        <w:tc>
          <w:tcPr>
            <w:tcW w:type="dxa" w:w="1379"/>
            <w:tcMar>
              <w:top w:w="80" w:type="dxa"/>
              <w:bottom w:w="80" w:type="dxa"/>
              <w:start w:w="120" w:type="dxa"/>
              <w:end w:w="120" w:type="dxa"/>
            </w:tcMar>
            <w:vAlign w:val="center"/>
          </w:tcPr>
          <w:p>
            <w:pPr>
              <w:spacing w:before="0" w:after="0" w:line="269" w:lineRule="auto"/>
              <w:jc w:val="center"/>
            </w:pPr>
            <w:r/>
          </w:p>
        </w:tc>
        <w:tc>
          <w:tcPr>
            <w:tcW w:type="dxa" w:w="2133"/>
            <w:tcMar>
              <w:top w:w="80" w:type="dxa"/>
              <w:bottom w:w="80" w:type="dxa"/>
              <w:start w:w="120" w:type="dxa"/>
              <w:end w:w="120" w:type="dxa"/>
            </w:tcMar>
            <w:vAlign w:val="center"/>
          </w:tcPr>
          <w:p>
            <w:pPr>
              <w:spacing w:before="0" w:after="0" w:line="269" w:lineRule="auto"/>
              <w:jc w:val="center"/>
            </w:pPr>
            <w:r/>
          </w:p>
        </w:tc>
      </w:tr>
      <w:tr>
        <w:trPr>
          <w:cantSplit w:val="true"/>
        </w:trPr>
        <w:tc>
          <w:tcPr>
            <w:tcW w:type="dxa" w:w="2748"/>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Is it released, embargoed, or pending?</w:t>
            </w:r>
          </w:p>
        </w:tc>
        <w:tc>
          <w:tcPr>
            <w:tcW w:type="dxa" w:w="1105"/>
            <w:tcMar>
              <w:top w:w="80" w:type="dxa"/>
              <w:bottom w:w="80" w:type="dxa"/>
              <w:start w:w="120" w:type="dxa"/>
              <w:end w:w="120" w:type="dxa"/>
            </w:tcMar>
            <w:vAlign w:val="center"/>
          </w:tcPr>
          <w:p>
            <w:pPr>
              <w:spacing w:before="0" w:after="0" w:line="269" w:lineRule="auto"/>
              <w:jc w:val="center"/>
            </w:pPr>
            <w:r/>
          </w:p>
        </w:tc>
        <w:tc>
          <w:tcPr>
            <w:tcW w:type="dxa" w:w="1995"/>
            <w:tcMar>
              <w:top w:w="80" w:type="dxa"/>
              <w:bottom w:w="80" w:type="dxa"/>
              <w:start w:w="120" w:type="dxa"/>
              <w:end w:w="120" w:type="dxa"/>
            </w:tcMar>
            <w:vAlign w:val="center"/>
          </w:tcPr>
          <w:p>
            <w:pPr>
              <w:spacing w:before="0" w:after="0" w:line="269" w:lineRule="auto"/>
              <w:jc w:val="center"/>
            </w:pPr>
            <w:r/>
          </w:p>
        </w:tc>
        <w:tc>
          <w:tcPr>
            <w:tcW w:type="dxa" w:w="1379"/>
            <w:tcMar>
              <w:top w:w="80" w:type="dxa"/>
              <w:bottom w:w="80" w:type="dxa"/>
              <w:start w:w="120" w:type="dxa"/>
              <w:end w:w="120" w:type="dxa"/>
            </w:tcMar>
            <w:vAlign w:val="center"/>
          </w:tcPr>
          <w:p>
            <w:pPr>
              <w:spacing w:before="0" w:after="0" w:line="269" w:lineRule="auto"/>
              <w:jc w:val="center"/>
            </w:pPr>
            <w:r/>
          </w:p>
        </w:tc>
        <w:tc>
          <w:tcPr>
            <w:tcW w:type="dxa" w:w="2133"/>
            <w:tcMar>
              <w:top w:w="80" w:type="dxa"/>
              <w:bottom w:w="80" w:type="dxa"/>
              <w:start w:w="120" w:type="dxa"/>
              <w:end w:w="120" w:type="dxa"/>
            </w:tcMar>
            <w:vAlign w:val="center"/>
          </w:tcPr>
          <w:p>
            <w:pPr>
              <w:spacing w:before="0" w:after="0" w:line="269" w:lineRule="auto"/>
              <w:jc w:val="center"/>
            </w:pPr>
            <w:r/>
          </w:p>
        </w:tc>
      </w:tr>
      <w:tr>
        <w:trPr>
          <w:cantSplit w:val="true"/>
        </w:trPr>
        <w:tc>
          <w:tcPr>
            <w:tcW w:type="dxa" w:w="2748"/>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Can it be viewed without an account?</w:t>
            </w:r>
          </w:p>
        </w:tc>
        <w:tc>
          <w:tcPr>
            <w:tcW w:type="dxa" w:w="1105"/>
            <w:tcMar>
              <w:top w:w="80" w:type="dxa"/>
              <w:bottom w:w="80" w:type="dxa"/>
              <w:start w:w="120" w:type="dxa"/>
              <w:end w:w="120" w:type="dxa"/>
            </w:tcMar>
            <w:vAlign w:val="center"/>
          </w:tcPr>
          <w:p>
            <w:pPr>
              <w:spacing w:before="0" w:after="0" w:line="269" w:lineRule="auto"/>
              <w:jc w:val="center"/>
            </w:pPr>
            <w:r/>
          </w:p>
        </w:tc>
        <w:tc>
          <w:tcPr>
            <w:tcW w:type="dxa" w:w="1995"/>
            <w:tcMar>
              <w:top w:w="80" w:type="dxa"/>
              <w:bottom w:w="80" w:type="dxa"/>
              <w:start w:w="120" w:type="dxa"/>
              <w:end w:w="120" w:type="dxa"/>
            </w:tcMar>
            <w:vAlign w:val="center"/>
          </w:tcPr>
          <w:p>
            <w:pPr>
              <w:spacing w:before="0" w:after="0" w:line="269" w:lineRule="auto"/>
              <w:jc w:val="center"/>
            </w:pPr>
            <w:r/>
          </w:p>
        </w:tc>
        <w:tc>
          <w:tcPr>
            <w:tcW w:type="dxa" w:w="1379"/>
            <w:tcMar>
              <w:top w:w="80" w:type="dxa"/>
              <w:bottom w:w="80" w:type="dxa"/>
              <w:start w:w="120" w:type="dxa"/>
              <w:end w:w="120" w:type="dxa"/>
            </w:tcMar>
            <w:vAlign w:val="center"/>
          </w:tcPr>
          <w:p>
            <w:pPr>
              <w:spacing w:before="0" w:after="0" w:line="269" w:lineRule="auto"/>
              <w:jc w:val="center"/>
            </w:pPr>
            <w:r/>
          </w:p>
        </w:tc>
        <w:tc>
          <w:tcPr>
            <w:tcW w:type="dxa" w:w="2133"/>
            <w:tcMar>
              <w:top w:w="80" w:type="dxa"/>
              <w:bottom w:w="80" w:type="dxa"/>
              <w:start w:w="120" w:type="dxa"/>
              <w:end w:w="120" w:type="dxa"/>
            </w:tcMar>
            <w:vAlign w:val="center"/>
          </w:tcPr>
          <w:p>
            <w:pPr>
              <w:spacing w:before="0" w:after="0" w:line="269" w:lineRule="auto"/>
              <w:jc w:val="center"/>
            </w:pPr>
            <w:r/>
          </w:p>
        </w:tc>
      </w:tr>
      <w:tr>
        <w:trPr>
          <w:cantSplit w:val="true"/>
        </w:trPr>
        <w:tc>
          <w:tcPr>
            <w:tcW w:type="dxa" w:w="2748"/>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Can the desired data be downloaded?</w:t>
            </w:r>
          </w:p>
        </w:tc>
        <w:tc>
          <w:tcPr>
            <w:tcW w:type="dxa" w:w="1105"/>
            <w:tcMar>
              <w:top w:w="80" w:type="dxa"/>
              <w:bottom w:w="80" w:type="dxa"/>
              <w:start w:w="120" w:type="dxa"/>
              <w:end w:w="120" w:type="dxa"/>
            </w:tcMar>
            <w:vAlign w:val="center"/>
          </w:tcPr>
          <w:p>
            <w:pPr>
              <w:spacing w:before="0" w:after="0" w:line="269" w:lineRule="auto"/>
              <w:jc w:val="center"/>
            </w:pPr>
            <w:r/>
          </w:p>
        </w:tc>
        <w:tc>
          <w:tcPr>
            <w:tcW w:type="dxa" w:w="1995"/>
            <w:tcMar>
              <w:top w:w="80" w:type="dxa"/>
              <w:bottom w:w="80" w:type="dxa"/>
              <w:start w:w="120" w:type="dxa"/>
              <w:end w:w="120" w:type="dxa"/>
            </w:tcMar>
            <w:vAlign w:val="center"/>
          </w:tcPr>
          <w:p>
            <w:pPr>
              <w:spacing w:before="0" w:after="0" w:line="269" w:lineRule="auto"/>
              <w:jc w:val="center"/>
            </w:pPr>
            <w:r/>
          </w:p>
        </w:tc>
        <w:tc>
          <w:tcPr>
            <w:tcW w:type="dxa" w:w="1379"/>
            <w:tcMar>
              <w:top w:w="80" w:type="dxa"/>
              <w:bottom w:w="80" w:type="dxa"/>
              <w:start w:w="120" w:type="dxa"/>
              <w:end w:w="120" w:type="dxa"/>
            </w:tcMar>
            <w:vAlign w:val="center"/>
          </w:tcPr>
          <w:p>
            <w:pPr>
              <w:spacing w:before="0" w:after="0" w:line="269" w:lineRule="auto"/>
              <w:jc w:val="center"/>
            </w:pPr>
            <w:r/>
          </w:p>
        </w:tc>
        <w:tc>
          <w:tcPr>
            <w:tcW w:type="dxa" w:w="2133"/>
            <w:tcMar>
              <w:top w:w="80" w:type="dxa"/>
              <w:bottom w:w="80" w:type="dxa"/>
              <w:start w:w="120" w:type="dxa"/>
              <w:end w:w="120" w:type="dxa"/>
            </w:tcMar>
            <w:vAlign w:val="center"/>
          </w:tcPr>
          <w:p>
            <w:pPr>
              <w:spacing w:before="0" w:after="0" w:line="269" w:lineRule="auto"/>
              <w:jc w:val="center"/>
            </w:pPr>
            <w:r/>
          </w:p>
        </w:tc>
      </w:tr>
      <w:tr>
        <w:trPr>
          <w:cantSplit w:val="true"/>
        </w:trPr>
        <w:tc>
          <w:tcPr>
            <w:tcW w:type="dxa" w:w="2748"/>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Is an individual account required?</w:t>
            </w:r>
          </w:p>
        </w:tc>
        <w:tc>
          <w:tcPr>
            <w:tcW w:type="dxa" w:w="1105"/>
            <w:tcMar>
              <w:top w:w="80" w:type="dxa"/>
              <w:bottom w:w="80" w:type="dxa"/>
              <w:start w:w="120" w:type="dxa"/>
              <w:end w:w="120" w:type="dxa"/>
            </w:tcMar>
            <w:vAlign w:val="center"/>
          </w:tcPr>
          <w:p>
            <w:pPr>
              <w:spacing w:before="0" w:after="0" w:line="269" w:lineRule="auto"/>
              <w:jc w:val="center"/>
            </w:pPr>
            <w:r/>
          </w:p>
        </w:tc>
        <w:tc>
          <w:tcPr>
            <w:tcW w:type="dxa" w:w="1995"/>
            <w:tcMar>
              <w:top w:w="80" w:type="dxa"/>
              <w:bottom w:w="80" w:type="dxa"/>
              <w:start w:w="120" w:type="dxa"/>
              <w:end w:w="120" w:type="dxa"/>
            </w:tcMar>
            <w:vAlign w:val="center"/>
          </w:tcPr>
          <w:p>
            <w:pPr>
              <w:spacing w:before="0" w:after="0" w:line="269" w:lineRule="auto"/>
              <w:jc w:val="center"/>
            </w:pPr>
            <w:r/>
          </w:p>
        </w:tc>
        <w:tc>
          <w:tcPr>
            <w:tcW w:type="dxa" w:w="1379"/>
            <w:tcMar>
              <w:top w:w="80" w:type="dxa"/>
              <w:bottom w:w="80" w:type="dxa"/>
              <w:start w:w="120" w:type="dxa"/>
              <w:end w:w="120" w:type="dxa"/>
            </w:tcMar>
            <w:vAlign w:val="center"/>
          </w:tcPr>
          <w:p>
            <w:pPr>
              <w:spacing w:before="0" w:after="0" w:line="269" w:lineRule="auto"/>
              <w:jc w:val="center"/>
            </w:pPr>
            <w:r/>
          </w:p>
        </w:tc>
        <w:tc>
          <w:tcPr>
            <w:tcW w:type="dxa" w:w="2133"/>
            <w:tcMar>
              <w:top w:w="80" w:type="dxa"/>
              <w:bottom w:w="80" w:type="dxa"/>
              <w:start w:w="120" w:type="dxa"/>
              <w:end w:w="120" w:type="dxa"/>
            </w:tcMar>
            <w:vAlign w:val="center"/>
          </w:tcPr>
          <w:p>
            <w:pPr>
              <w:spacing w:before="0" w:after="0" w:line="269" w:lineRule="auto"/>
              <w:jc w:val="center"/>
            </w:pPr>
            <w:r/>
          </w:p>
        </w:tc>
      </w:tr>
      <w:tr>
        <w:trPr>
          <w:cantSplit w:val="true"/>
        </w:trPr>
        <w:tc>
          <w:tcPr>
            <w:tcW w:type="dxa" w:w="2748"/>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Is institutional authorization required?</w:t>
            </w:r>
          </w:p>
        </w:tc>
        <w:tc>
          <w:tcPr>
            <w:tcW w:type="dxa" w:w="1105"/>
            <w:tcMar>
              <w:top w:w="80" w:type="dxa"/>
              <w:bottom w:w="80" w:type="dxa"/>
              <w:start w:w="120" w:type="dxa"/>
              <w:end w:w="120" w:type="dxa"/>
            </w:tcMar>
            <w:vAlign w:val="center"/>
          </w:tcPr>
          <w:p>
            <w:pPr>
              <w:spacing w:before="0" w:after="0" w:line="269" w:lineRule="auto"/>
              <w:jc w:val="center"/>
            </w:pPr>
            <w:r/>
          </w:p>
        </w:tc>
        <w:tc>
          <w:tcPr>
            <w:tcW w:type="dxa" w:w="1995"/>
            <w:tcMar>
              <w:top w:w="80" w:type="dxa"/>
              <w:bottom w:w="80" w:type="dxa"/>
              <w:start w:w="120" w:type="dxa"/>
              <w:end w:w="120" w:type="dxa"/>
            </w:tcMar>
            <w:vAlign w:val="center"/>
          </w:tcPr>
          <w:p>
            <w:pPr>
              <w:spacing w:before="0" w:after="0" w:line="269" w:lineRule="auto"/>
              <w:jc w:val="center"/>
            </w:pPr>
            <w:r/>
          </w:p>
        </w:tc>
        <w:tc>
          <w:tcPr>
            <w:tcW w:type="dxa" w:w="1379"/>
            <w:tcMar>
              <w:top w:w="80" w:type="dxa"/>
              <w:bottom w:w="80" w:type="dxa"/>
              <w:start w:w="120" w:type="dxa"/>
              <w:end w:w="120" w:type="dxa"/>
            </w:tcMar>
            <w:vAlign w:val="center"/>
          </w:tcPr>
          <w:p>
            <w:pPr>
              <w:spacing w:before="0" w:after="0" w:line="269" w:lineRule="auto"/>
              <w:jc w:val="center"/>
            </w:pPr>
            <w:r/>
          </w:p>
        </w:tc>
        <w:tc>
          <w:tcPr>
            <w:tcW w:type="dxa" w:w="2133"/>
            <w:tcMar>
              <w:top w:w="80" w:type="dxa"/>
              <w:bottom w:w="80" w:type="dxa"/>
              <w:start w:w="120" w:type="dxa"/>
              <w:end w:w="120" w:type="dxa"/>
            </w:tcMar>
            <w:vAlign w:val="center"/>
          </w:tcPr>
          <w:p>
            <w:pPr>
              <w:spacing w:before="0" w:after="0" w:line="269" w:lineRule="auto"/>
              <w:jc w:val="center"/>
            </w:pPr>
            <w:r/>
          </w:p>
        </w:tc>
      </w:tr>
      <w:tr>
        <w:trPr>
          <w:cantSplit w:val="true"/>
        </w:trPr>
        <w:tc>
          <w:tcPr>
            <w:tcW w:type="dxa" w:w="2748"/>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Is training or identity verification required?</w:t>
            </w:r>
          </w:p>
        </w:tc>
        <w:tc>
          <w:tcPr>
            <w:tcW w:type="dxa" w:w="1105"/>
            <w:tcMar>
              <w:top w:w="80" w:type="dxa"/>
              <w:bottom w:w="80" w:type="dxa"/>
              <w:start w:w="120" w:type="dxa"/>
              <w:end w:w="120" w:type="dxa"/>
            </w:tcMar>
            <w:vAlign w:val="center"/>
          </w:tcPr>
          <w:p>
            <w:pPr>
              <w:spacing w:before="0" w:after="0" w:line="269" w:lineRule="auto"/>
              <w:jc w:val="center"/>
            </w:pPr>
            <w:r/>
          </w:p>
        </w:tc>
        <w:tc>
          <w:tcPr>
            <w:tcW w:type="dxa" w:w="1995"/>
            <w:tcMar>
              <w:top w:w="80" w:type="dxa"/>
              <w:bottom w:w="80" w:type="dxa"/>
              <w:start w:w="120" w:type="dxa"/>
              <w:end w:w="120" w:type="dxa"/>
            </w:tcMar>
            <w:vAlign w:val="center"/>
          </w:tcPr>
          <w:p>
            <w:pPr>
              <w:spacing w:before="0" w:after="0" w:line="269" w:lineRule="auto"/>
              <w:jc w:val="center"/>
            </w:pPr>
            <w:r/>
          </w:p>
        </w:tc>
        <w:tc>
          <w:tcPr>
            <w:tcW w:type="dxa" w:w="1379"/>
            <w:tcMar>
              <w:top w:w="80" w:type="dxa"/>
              <w:bottom w:w="80" w:type="dxa"/>
              <w:start w:w="120" w:type="dxa"/>
              <w:end w:w="120" w:type="dxa"/>
            </w:tcMar>
            <w:vAlign w:val="center"/>
          </w:tcPr>
          <w:p>
            <w:pPr>
              <w:spacing w:before="0" w:after="0" w:line="269" w:lineRule="auto"/>
              <w:jc w:val="center"/>
            </w:pPr>
            <w:r/>
          </w:p>
        </w:tc>
        <w:tc>
          <w:tcPr>
            <w:tcW w:type="dxa" w:w="2133"/>
            <w:tcMar>
              <w:top w:w="80" w:type="dxa"/>
              <w:bottom w:w="80" w:type="dxa"/>
              <w:start w:w="120" w:type="dxa"/>
              <w:end w:w="120" w:type="dxa"/>
            </w:tcMar>
            <w:vAlign w:val="center"/>
          </w:tcPr>
          <w:p>
            <w:pPr>
              <w:spacing w:before="0" w:after="0" w:line="269" w:lineRule="auto"/>
              <w:jc w:val="center"/>
            </w:pPr>
            <w:r/>
          </w:p>
        </w:tc>
      </w:tr>
      <w:tr>
        <w:trPr>
          <w:cantSplit w:val="true"/>
        </w:trPr>
        <w:tc>
          <w:tcPr>
            <w:tcW w:type="dxa" w:w="2748"/>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Is a DUA, code of conduct, or click-through agreement required?</w:t>
            </w:r>
          </w:p>
        </w:tc>
        <w:tc>
          <w:tcPr>
            <w:tcW w:type="dxa" w:w="1105"/>
            <w:tcMar>
              <w:top w:w="80" w:type="dxa"/>
              <w:bottom w:w="80" w:type="dxa"/>
              <w:start w:w="120" w:type="dxa"/>
              <w:end w:w="120" w:type="dxa"/>
            </w:tcMar>
            <w:vAlign w:val="center"/>
          </w:tcPr>
          <w:p>
            <w:pPr>
              <w:spacing w:before="0" w:after="0" w:line="269" w:lineRule="auto"/>
              <w:jc w:val="center"/>
            </w:pPr>
            <w:r/>
          </w:p>
        </w:tc>
        <w:tc>
          <w:tcPr>
            <w:tcW w:type="dxa" w:w="1995"/>
            <w:tcMar>
              <w:top w:w="80" w:type="dxa"/>
              <w:bottom w:w="80" w:type="dxa"/>
              <w:start w:w="120" w:type="dxa"/>
              <w:end w:w="120" w:type="dxa"/>
            </w:tcMar>
            <w:vAlign w:val="center"/>
          </w:tcPr>
          <w:p>
            <w:pPr>
              <w:spacing w:before="0" w:after="0" w:line="269" w:lineRule="auto"/>
              <w:jc w:val="center"/>
            </w:pPr>
            <w:r/>
          </w:p>
        </w:tc>
        <w:tc>
          <w:tcPr>
            <w:tcW w:type="dxa" w:w="1379"/>
            <w:tcMar>
              <w:top w:w="80" w:type="dxa"/>
              <w:bottom w:w="80" w:type="dxa"/>
              <w:start w:w="120" w:type="dxa"/>
              <w:end w:w="120" w:type="dxa"/>
            </w:tcMar>
            <w:vAlign w:val="center"/>
          </w:tcPr>
          <w:p>
            <w:pPr>
              <w:spacing w:before="0" w:after="0" w:line="269" w:lineRule="auto"/>
              <w:jc w:val="center"/>
            </w:pPr>
            <w:r/>
          </w:p>
        </w:tc>
        <w:tc>
          <w:tcPr>
            <w:tcW w:type="dxa" w:w="2133"/>
            <w:tcMar>
              <w:top w:w="80" w:type="dxa"/>
              <w:bottom w:w="80" w:type="dxa"/>
              <w:start w:w="120" w:type="dxa"/>
              <w:end w:w="120" w:type="dxa"/>
            </w:tcMar>
            <w:vAlign w:val="center"/>
          </w:tcPr>
          <w:p>
            <w:pPr>
              <w:spacing w:before="0" w:after="0" w:line="269" w:lineRule="auto"/>
              <w:jc w:val="center"/>
            </w:pPr>
            <w:r/>
          </w:p>
        </w:tc>
      </w:tr>
      <w:tr>
        <w:trPr>
          <w:cantSplit w:val="true"/>
        </w:trPr>
        <w:tc>
          <w:tcPr>
            <w:tcW w:type="dxa" w:w="2748"/>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Is project or access-committee approval required?</w:t>
            </w:r>
          </w:p>
        </w:tc>
        <w:tc>
          <w:tcPr>
            <w:tcW w:type="dxa" w:w="1105"/>
            <w:tcMar>
              <w:top w:w="80" w:type="dxa"/>
              <w:bottom w:w="80" w:type="dxa"/>
              <w:start w:w="120" w:type="dxa"/>
              <w:end w:w="120" w:type="dxa"/>
            </w:tcMar>
            <w:vAlign w:val="center"/>
          </w:tcPr>
          <w:p>
            <w:pPr>
              <w:spacing w:before="0" w:after="0" w:line="269" w:lineRule="auto"/>
              <w:jc w:val="center"/>
            </w:pPr>
            <w:r/>
          </w:p>
        </w:tc>
        <w:tc>
          <w:tcPr>
            <w:tcW w:type="dxa" w:w="1995"/>
            <w:tcMar>
              <w:top w:w="80" w:type="dxa"/>
              <w:bottom w:w="80" w:type="dxa"/>
              <w:start w:w="120" w:type="dxa"/>
              <w:end w:w="120" w:type="dxa"/>
            </w:tcMar>
            <w:vAlign w:val="center"/>
          </w:tcPr>
          <w:p>
            <w:pPr>
              <w:spacing w:before="0" w:after="0" w:line="269" w:lineRule="auto"/>
              <w:jc w:val="center"/>
            </w:pPr>
            <w:r/>
          </w:p>
        </w:tc>
        <w:tc>
          <w:tcPr>
            <w:tcW w:type="dxa" w:w="1379"/>
            <w:tcMar>
              <w:top w:w="80" w:type="dxa"/>
              <w:bottom w:w="80" w:type="dxa"/>
              <w:start w:w="120" w:type="dxa"/>
              <w:end w:w="120" w:type="dxa"/>
            </w:tcMar>
            <w:vAlign w:val="center"/>
          </w:tcPr>
          <w:p>
            <w:pPr>
              <w:spacing w:before="0" w:after="0" w:line="269" w:lineRule="auto"/>
              <w:jc w:val="center"/>
            </w:pPr>
            <w:r/>
          </w:p>
        </w:tc>
        <w:tc>
          <w:tcPr>
            <w:tcW w:type="dxa" w:w="2133"/>
            <w:tcMar>
              <w:top w:w="80" w:type="dxa"/>
              <w:bottom w:w="80" w:type="dxa"/>
              <w:start w:w="120" w:type="dxa"/>
              <w:end w:w="120" w:type="dxa"/>
            </w:tcMar>
            <w:vAlign w:val="center"/>
          </w:tcPr>
          <w:p>
            <w:pPr>
              <w:spacing w:before="0" w:after="0" w:line="269" w:lineRule="auto"/>
              <w:jc w:val="center"/>
            </w:pPr>
            <w:r/>
          </w:p>
        </w:tc>
      </w:tr>
      <w:tr>
        <w:trPr>
          <w:cantSplit w:val="true"/>
        </w:trPr>
        <w:tc>
          <w:tcPr>
            <w:tcW w:type="dxa" w:w="2748"/>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Must analysis occur in a governed workspace?</w:t>
            </w:r>
          </w:p>
        </w:tc>
        <w:tc>
          <w:tcPr>
            <w:tcW w:type="dxa" w:w="1105"/>
            <w:tcMar>
              <w:top w:w="80" w:type="dxa"/>
              <w:bottom w:w="80" w:type="dxa"/>
              <w:start w:w="120" w:type="dxa"/>
              <w:end w:w="120" w:type="dxa"/>
            </w:tcMar>
            <w:vAlign w:val="center"/>
          </w:tcPr>
          <w:p>
            <w:pPr>
              <w:spacing w:before="0" w:after="0" w:line="269" w:lineRule="auto"/>
              <w:jc w:val="center"/>
            </w:pPr>
            <w:r/>
          </w:p>
        </w:tc>
        <w:tc>
          <w:tcPr>
            <w:tcW w:type="dxa" w:w="1995"/>
            <w:tcMar>
              <w:top w:w="80" w:type="dxa"/>
              <w:bottom w:w="80" w:type="dxa"/>
              <w:start w:w="120" w:type="dxa"/>
              <w:end w:w="120" w:type="dxa"/>
            </w:tcMar>
            <w:vAlign w:val="center"/>
          </w:tcPr>
          <w:p>
            <w:pPr>
              <w:spacing w:before="0" w:after="0" w:line="269" w:lineRule="auto"/>
              <w:jc w:val="center"/>
            </w:pPr>
            <w:r/>
          </w:p>
        </w:tc>
        <w:tc>
          <w:tcPr>
            <w:tcW w:type="dxa" w:w="1379"/>
            <w:tcMar>
              <w:top w:w="80" w:type="dxa"/>
              <w:bottom w:w="80" w:type="dxa"/>
              <w:start w:w="120" w:type="dxa"/>
              <w:end w:w="120" w:type="dxa"/>
            </w:tcMar>
            <w:vAlign w:val="center"/>
          </w:tcPr>
          <w:p>
            <w:pPr>
              <w:spacing w:before="0" w:after="0" w:line="269" w:lineRule="auto"/>
              <w:jc w:val="center"/>
            </w:pPr>
            <w:r/>
          </w:p>
        </w:tc>
        <w:tc>
          <w:tcPr>
            <w:tcW w:type="dxa" w:w="2133"/>
            <w:tcMar>
              <w:top w:w="80" w:type="dxa"/>
              <w:bottom w:w="80" w:type="dxa"/>
              <w:start w:w="120" w:type="dxa"/>
              <w:end w:w="120" w:type="dxa"/>
            </w:tcMar>
            <w:vAlign w:val="center"/>
          </w:tcPr>
          <w:p>
            <w:pPr>
              <w:spacing w:before="0" w:after="0" w:line="269" w:lineRule="auto"/>
              <w:jc w:val="center"/>
            </w:pPr>
            <w:r/>
          </w:p>
        </w:tc>
      </w:tr>
      <w:tr>
        <w:trPr>
          <w:cantSplit w:val="true"/>
        </w:trPr>
        <w:tc>
          <w:tcPr>
            <w:tcW w:type="dxa" w:w="2748"/>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Can participant-level data leave the environment?</w:t>
            </w:r>
          </w:p>
        </w:tc>
        <w:tc>
          <w:tcPr>
            <w:tcW w:type="dxa" w:w="1105"/>
            <w:tcMar>
              <w:top w:w="80" w:type="dxa"/>
              <w:bottom w:w="80" w:type="dxa"/>
              <w:start w:w="120" w:type="dxa"/>
              <w:end w:w="120" w:type="dxa"/>
            </w:tcMar>
            <w:vAlign w:val="center"/>
          </w:tcPr>
          <w:p>
            <w:pPr>
              <w:spacing w:before="0" w:after="0" w:line="269" w:lineRule="auto"/>
              <w:jc w:val="center"/>
            </w:pPr>
            <w:r/>
          </w:p>
        </w:tc>
        <w:tc>
          <w:tcPr>
            <w:tcW w:type="dxa" w:w="1995"/>
            <w:tcMar>
              <w:top w:w="80" w:type="dxa"/>
              <w:bottom w:w="80" w:type="dxa"/>
              <w:start w:w="120" w:type="dxa"/>
              <w:end w:w="120" w:type="dxa"/>
            </w:tcMar>
            <w:vAlign w:val="center"/>
          </w:tcPr>
          <w:p>
            <w:pPr>
              <w:spacing w:before="0" w:after="0" w:line="269" w:lineRule="auto"/>
              <w:jc w:val="center"/>
            </w:pPr>
            <w:r/>
          </w:p>
        </w:tc>
        <w:tc>
          <w:tcPr>
            <w:tcW w:type="dxa" w:w="1379"/>
            <w:tcMar>
              <w:top w:w="80" w:type="dxa"/>
              <w:bottom w:w="80" w:type="dxa"/>
              <w:start w:w="120" w:type="dxa"/>
              <w:end w:w="120" w:type="dxa"/>
            </w:tcMar>
            <w:vAlign w:val="center"/>
          </w:tcPr>
          <w:p>
            <w:pPr>
              <w:spacing w:before="0" w:after="0" w:line="269" w:lineRule="auto"/>
              <w:jc w:val="center"/>
            </w:pPr>
            <w:r/>
          </w:p>
        </w:tc>
        <w:tc>
          <w:tcPr>
            <w:tcW w:type="dxa" w:w="2133"/>
            <w:tcMar>
              <w:top w:w="80" w:type="dxa"/>
              <w:bottom w:w="80" w:type="dxa"/>
              <w:start w:w="120" w:type="dxa"/>
              <w:end w:w="120" w:type="dxa"/>
            </w:tcMar>
            <w:vAlign w:val="center"/>
          </w:tcPr>
          <w:p>
            <w:pPr>
              <w:spacing w:before="0" w:after="0" w:line="269" w:lineRule="auto"/>
              <w:jc w:val="center"/>
            </w:pPr>
            <w:r/>
          </w:p>
        </w:tc>
      </w:tr>
      <w:tr>
        <w:trPr>
          <w:cantSplit w:val="true"/>
        </w:trPr>
        <w:tc>
          <w:tcPr>
            <w:tcW w:type="dxa" w:w="2748"/>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What aggregate/count/output rules apply?</w:t>
            </w:r>
          </w:p>
        </w:tc>
        <w:tc>
          <w:tcPr>
            <w:tcW w:type="dxa" w:w="1105"/>
            <w:tcMar>
              <w:top w:w="80" w:type="dxa"/>
              <w:bottom w:w="80" w:type="dxa"/>
              <w:start w:w="120" w:type="dxa"/>
              <w:end w:w="120" w:type="dxa"/>
            </w:tcMar>
            <w:vAlign w:val="center"/>
          </w:tcPr>
          <w:p>
            <w:pPr>
              <w:spacing w:before="0" w:after="0" w:line="269" w:lineRule="auto"/>
              <w:jc w:val="center"/>
            </w:pPr>
            <w:r/>
          </w:p>
        </w:tc>
        <w:tc>
          <w:tcPr>
            <w:tcW w:type="dxa" w:w="1995"/>
            <w:tcMar>
              <w:top w:w="80" w:type="dxa"/>
              <w:bottom w:w="80" w:type="dxa"/>
              <w:start w:w="120" w:type="dxa"/>
              <w:end w:w="120" w:type="dxa"/>
            </w:tcMar>
            <w:vAlign w:val="center"/>
          </w:tcPr>
          <w:p>
            <w:pPr>
              <w:spacing w:before="0" w:after="0" w:line="269" w:lineRule="auto"/>
              <w:jc w:val="center"/>
            </w:pPr>
            <w:r/>
          </w:p>
        </w:tc>
        <w:tc>
          <w:tcPr>
            <w:tcW w:type="dxa" w:w="1379"/>
            <w:tcMar>
              <w:top w:w="80" w:type="dxa"/>
              <w:bottom w:w="80" w:type="dxa"/>
              <w:start w:w="120" w:type="dxa"/>
              <w:end w:w="120" w:type="dxa"/>
            </w:tcMar>
            <w:vAlign w:val="center"/>
          </w:tcPr>
          <w:p>
            <w:pPr>
              <w:spacing w:before="0" w:after="0" w:line="269" w:lineRule="auto"/>
              <w:jc w:val="center"/>
            </w:pPr>
            <w:r/>
          </w:p>
        </w:tc>
        <w:tc>
          <w:tcPr>
            <w:tcW w:type="dxa" w:w="2133"/>
            <w:tcMar>
              <w:top w:w="80" w:type="dxa"/>
              <w:bottom w:w="80" w:type="dxa"/>
              <w:start w:w="120" w:type="dxa"/>
              <w:end w:w="120" w:type="dxa"/>
            </w:tcMar>
            <w:vAlign w:val="center"/>
          </w:tcPr>
          <w:p>
            <w:pPr>
              <w:spacing w:before="0" w:after="0" w:line="269" w:lineRule="auto"/>
              <w:jc w:val="center"/>
            </w:pPr>
            <w:r/>
          </w:p>
        </w:tc>
      </w:tr>
      <w:tr>
        <w:trPr>
          <w:cantSplit w:val="true"/>
        </w:trPr>
        <w:tc>
          <w:tcPr>
            <w:tcW w:type="dxa" w:w="2748"/>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Can external reference data or APIs enter the environment?</w:t>
            </w:r>
          </w:p>
        </w:tc>
        <w:tc>
          <w:tcPr>
            <w:tcW w:type="dxa" w:w="1105"/>
            <w:tcMar>
              <w:top w:w="80" w:type="dxa"/>
              <w:bottom w:w="80" w:type="dxa"/>
              <w:start w:w="120" w:type="dxa"/>
              <w:end w:w="120" w:type="dxa"/>
            </w:tcMar>
            <w:vAlign w:val="center"/>
          </w:tcPr>
          <w:p>
            <w:pPr>
              <w:spacing w:before="0" w:after="0" w:line="269" w:lineRule="auto"/>
              <w:jc w:val="center"/>
            </w:pPr>
            <w:r/>
          </w:p>
        </w:tc>
        <w:tc>
          <w:tcPr>
            <w:tcW w:type="dxa" w:w="1995"/>
            <w:tcMar>
              <w:top w:w="80" w:type="dxa"/>
              <w:bottom w:w="80" w:type="dxa"/>
              <w:start w:w="120" w:type="dxa"/>
              <w:end w:w="120" w:type="dxa"/>
            </w:tcMar>
            <w:vAlign w:val="center"/>
          </w:tcPr>
          <w:p>
            <w:pPr>
              <w:spacing w:before="0" w:after="0" w:line="269" w:lineRule="auto"/>
              <w:jc w:val="center"/>
            </w:pPr>
            <w:r/>
          </w:p>
        </w:tc>
        <w:tc>
          <w:tcPr>
            <w:tcW w:type="dxa" w:w="1379"/>
            <w:tcMar>
              <w:top w:w="80" w:type="dxa"/>
              <w:bottom w:w="80" w:type="dxa"/>
              <w:start w:w="120" w:type="dxa"/>
              <w:end w:w="120" w:type="dxa"/>
            </w:tcMar>
            <w:vAlign w:val="center"/>
          </w:tcPr>
          <w:p>
            <w:pPr>
              <w:spacing w:before="0" w:after="0" w:line="269" w:lineRule="auto"/>
              <w:jc w:val="center"/>
            </w:pPr>
            <w:r/>
          </w:p>
        </w:tc>
        <w:tc>
          <w:tcPr>
            <w:tcW w:type="dxa" w:w="2133"/>
            <w:tcMar>
              <w:top w:w="80" w:type="dxa"/>
              <w:bottom w:w="80" w:type="dxa"/>
              <w:start w:w="120" w:type="dxa"/>
              <w:end w:w="120" w:type="dxa"/>
            </w:tcMar>
            <w:vAlign w:val="center"/>
          </w:tcPr>
          <w:p>
            <w:pPr>
              <w:spacing w:before="0" w:after="0" w:line="269" w:lineRule="auto"/>
              <w:jc w:val="center"/>
            </w:pPr>
            <w:r/>
          </w:p>
        </w:tc>
      </w:tr>
      <w:tr>
        <w:trPr>
          <w:cantSplit w:val="true"/>
        </w:trPr>
        <w:tc>
          <w:tcPr>
            <w:tcW w:type="dxa" w:w="2748"/>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Can code leave the environment, and under what conditions?</w:t>
            </w:r>
          </w:p>
        </w:tc>
        <w:tc>
          <w:tcPr>
            <w:tcW w:type="dxa" w:w="1105"/>
            <w:tcMar>
              <w:top w:w="80" w:type="dxa"/>
              <w:bottom w:w="80" w:type="dxa"/>
              <w:start w:w="120" w:type="dxa"/>
              <w:end w:w="120" w:type="dxa"/>
            </w:tcMar>
            <w:vAlign w:val="center"/>
          </w:tcPr>
          <w:p>
            <w:pPr>
              <w:spacing w:before="0" w:after="0" w:line="269" w:lineRule="auto"/>
              <w:jc w:val="center"/>
            </w:pPr>
            <w:r/>
          </w:p>
        </w:tc>
        <w:tc>
          <w:tcPr>
            <w:tcW w:type="dxa" w:w="1995"/>
            <w:tcMar>
              <w:top w:w="80" w:type="dxa"/>
              <w:bottom w:w="80" w:type="dxa"/>
              <w:start w:w="120" w:type="dxa"/>
              <w:end w:w="120" w:type="dxa"/>
            </w:tcMar>
            <w:vAlign w:val="center"/>
          </w:tcPr>
          <w:p>
            <w:pPr>
              <w:spacing w:before="0" w:after="0" w:line="269" w:lineRule="auto"/>
              <w:jc w:val="center"/>
            </w:pPr>
            <w:r/>
          </w:p>
        </w:tc>
        <w:tc>
          <w:tcPr>
            <w:tcW w:type="dxa" w:w="1379"/>
            <w:tcMar>
              <w:top w:w="80" w:type="dxa"/>
              <w:bottom w:w="80" w:type="dxa"/>
              <w:start w:w="120" w:type="dxa"/>
              <w:end w:w="120" w:type="dxa"/>
            </w:tcMar>
            <w:vAlign w:val="center"/>
          </w:tcPr>
          <w:p>
            <w:pPr>
              <w:spacing w:before="0" w:after="0" w:line="269" w:lineRule="auto"/>
              <w:jc w:val="center"/>
            </w:pPr>
            <w:r/>
          </w:p>
        </w:tc>
        <w:tc>
          <w:tcPr>
            <w:tcW w:type="dxa" w:w="2133"/>
            <w:tcMar>
              <w:top w:w="80" w:type="dxa"/>
              <w:bottom w:w="80" w:type="dxa"/>
              <w:start w:w="120" w:type="dxa"/>
              <w:end w:w="120" w:type="dxa"/>
            </w:tcMar>
            <w:vAlign w:val="center"/>
          </w:tcPr>
          <w:p>
            <w:pPr>
              <w:spacing w:before="0" w:after="0" w:line="269" w:lineRule="auto"/>
              <w:jc w:val="center"/>
            </w:pPr>
            <w:r/>
          </w:p>
        </w:tc>
      </w:tr>
      <w:tr>
        <w:trPr>
          <w:cantSplit w:val="true"/>
        </w:trPr>
        <w:tc>
          <w:tcPr>
            <w:tcW w:type="dxa" w:w="2748"/>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Can collaborators receive or share access?</w:t>
            </w:r>
          </w:p>
        </w:tc>
        <w:tc>
          <w:tcPr>
            <w:tcW w:type="dxa" w:w="1105"/>
            <w:tcMar>
              <w:top w:w="80" w:type="dxa"/>
              <w:bottom w:w="80" w:type="dxa"/>
              <w:start w:w="120" w:type="dxa"/>
              <w:end w:w="120" w:type="dxa"/>
            </w:tcMar>
            <w:vAlign w:val="center"/>
          </w:tcPr>
          <w:p>
            <w:pPr>
              <w:spacing w:before="0" w:after="0" w:line="269" w:lineRule="auto"/>
              <w:jc w:val="center"/>
            </w:pPr>
            <w:r/>
          </w:p>
        </w:tc>
        <w:tc>
          <w:tcPr>
            <w:tcW w:type="dxa" w:w="1995"/>
            <w:tcMar>
              <w:top w:w="80" w:type="dxa"/>
              <w:bottom w:w="80" w:type="dxa"/>
              <w:start w:w="120" w:type="dxa"/>
              <w:end w:w="120" w:type="dxa"/>
            </w:tcMar>
            <w:vAlign w:val="center"/>
          </w:tcPr>
          <w:p>
            <w:pPr>
              <w:spacing w:before="0" w:after="0" w:line="269" w:lineRule="auto"/>
              <w:jc w:val="center"/>
            </w:pPr>
            <w:r/>
          </w:p>
        </w:tc>
        <w:tc>
          <w:tcPr>
            <w:tcW w:type="dxa" w:w="1379"/>
            <w:tcMar>
              <w:top w:w="80" w:type="dxa"/>
              <w:bottom w:w="80" w:type="dxa"/>
              <w:start w:w="120" w:type="dxa"/>
              <w:end w:w="120" w:type="dxa"/>
            </w:tcMar>
            <w:vAlign w:val="center"/>
          </w:tcPr>
          <w:p>
            <w:pPr>
              <w:spacing w:before="0" w:after="0" w:line="269" w:lineRule="auto"/>
              <w:jc w:val="center"/>
            </w:pPr>
            <w:r/>
          </w:p>
        </w:tc>
        <w:tc>
          <w:tcPr>
            <w:tcW w:type="dxa" w:w="2133"/>
            <w:tcMar>
              <w:top w:w="80" w:type="dxa"/>
              <w:bottom w:w="80" w:type="dxa"/>
              <w:start w:w="120" w:type="dxa"/>
              <w:end w:w="120" w:type="dxa"/>
            </w:tcMar>
            <w:vAlign w:val="center"/>
          </w:tcPr>
          <w:p>
            <w:pPr>
              <w:spacing w:before="0" w:after="0" w:line="269" w:lineRule="auto"/>
              <w:jc w:val="center"/>
            </w:pPr>
            <w:r/>
          </w:p>
        </w:tc>
      </w:tr>
      <w:tr>
        <w:trPr>
          <w:cantSplit w:val="true"/>
        </w:trPr>
        <w:tc>
          <w:tcPr>
            <w:tcW w:type="dxa" w:w="2748"/>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What citation/acknowledgment is required?</w:t>
            </w:r>
          </w:p>
        </w:tc>
        <w:tc>
          <w:tcPr>
            <w:tcW w:type="dxa" w:w="1105"/>
            <w:tcMar>
              <w:top w:w="80" w:type="dxa"/>
              <w:bottom w:w="80" w:type="dxa"/>
              <w:start w:w="120" w:type="dxa"/>
              <w:end w:w="120" w:type="dxa"/>
            </w:tcMar>
            <w:vAlign w:val="center"/>
          </w:tcPr>
          <w:p>
            <w:pPr>
              <w:spacing w:before="0" w:after="0" w:line="269" w:lineRule="auto"/>
              <w:jc w:val="center"/>
            </w:pPr>
            <w:r/>
          </w:p>
        </w:tc>
        <w:tc>
          <w:tcPr>
            <w:tcW w:type="dxa" w:w="1995"/>
            <w:tcMar>
              <w:top w:w="80" w:type="dxa"/>
              <w:bottom w:w="80" w:type="dxa"/>
              <w:start w:w="120" w:type="dxa"/>
              <w:end w:w="120" w:type="dxa"/>
            </w:tcMar>
            <w:vAlign w:val="center"/>
          </w:tcPr>
          <w:p>
            <w:pPr>
              <w:spacing w:before="0" w:after="0" w:line="269" w:lineRule="auto"/>
              <w:jc w:val="center"/>
            </w:pPr>
            <w:r/>
          </w:p>
        </w:tc>
        <w:tc>
          <w:tcPr>
            <w:tcW w:type="dxa" w:w="1379"/>
            <w:tcMar>
              <w:top w:w="80" w:type="dxa"/>
              <w:bottom w:w="80" w:type="dxa"/>
              <w:start w:w="120" w:type="dxa"/>
              <w:end w:w="120" w:type="dxa"/>
            </w:tcMar>
            <w:vAlign w:val="center"/>
          </w:tcPr>
          <w:p>
            <w:pPr>
              <w:spacing w:before="0" w:after="0" w:line="269" w:lineRule="auto"/>
              <w:jc w:val="center"/>
            </w:pPr>
            <w:r/>
          </w:p>
        </w:tc>
        <w:tc>
          <w:tcPr>
            <w:tcW w:type="dxa" w:w="2133"/>
            <w:tcMar>
              <w:top w:w="80" w:type="dxa"/>
              <w:bottom w:w="80" w:type="dxa"/>
              <w:start w:w="120" w:type="dxa"/>
              <w:end w:w="120" w:type="dxa"/>
            </w:tcMar>
            <w:vAlign w:val="center"/>
          </w:tcPr>
          <w:p>
            <w:pPr>
              <w:spacing w:before="0" w:after="0" w:line="269" w:lineRule="auto"/>
              <w:jc w:val="center"/>
            </w:pPr>
            <w:r/>
          </w:p>
        </w:tc>
      </w:tr>
      <w:tr>
        <w:trPr>
          <w:cantSplit w:val="true"/>
        </w:trPr>
        <w:tc>
          <w:tcPr>
            <w:tcW w:type="dxa" w:w="2748"/>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What license or reuse terms apply?</w:t>
            </w:r>
          </w:p>
        </w:tc>
        <w:tc>
          <w:tcPr>
            <w:tcW w:type="dxa" w:w="1105"/>
            <w:tcMar>
              <w:top w:w="80" w:type="dxa"/>
              <w:bottom w:w="80" w:type="dxa"/>
              <w:start w:w="120" w:type="dxa"/>
              <w:end w:w="120" w:type="dxa"/>
            </w:tcMar>
            <w:vAlign w:val="center"/>
          </w:tcPr>
          <w:p>
            <w:pPr>
              <w:spacing w:before="0" w:after="0" w:line="269" w:lineRule="auto"/>
              <w:jc w:val="center"/>
            </w:pPr>
            <w:r/>
          </w:p>
        </w:tc>
        <w:tc>
          <w:tcPr>
            <w:tcW w:type="dxa" w:w="1995"/>
            <w:tcMar>
              <w:top w:w="80" w:type="dxa"/>
              <w:bottom w:w="80" w:type="dxa"/>
              <w:start w:w="120" w:type="dxa"/>
              <w:end w:w="120" w:type="dxa"/>
            </w:tcMar>
            <w:vAlign w:val="center"/>
          </w:tcPr>
          <w:p>
            <w:pPr>
              <w:spacing w:before="0" w:after="0" w:line="269" w:lineRule="auto"/>
              <w:jc w:val="center"/>
            </w:pPr>
            <w:r/>
          </w:p>
        </w:tc>
        <w:tc>
          <w:tcPr>
            <w:tcW w:type="dxa" w:w="1379"/>
            <w:tcMar>
              <w:top w:w="80" w:type="dxa"/>
              <w:bottom w:w="80" w:type="dxa"/>
              <w:start w:w="120" w:type="dxa"/>
              <w:end w:w="120" w:type="dxa"/>
            </w:tcMar>
            <w:vAlign w:val="center"/>
          </w:tcPr>
          <w:p>
            <w:pPr>
              <w:spacing w:before="0" w:after="0" w:line="269" w:lineRule="auto"/>
              <w:jc w:val="center"/>
            </w:pPr>
            <w:r/>
          </w:p>
        </w:tc>
        <w:tc>
          <w:tcPr>
            <w:tcW w:type="dxa" w:w="2133"/>
            <w:tcMar>
              <w:top w:w="80" w:type="dxa"/>
              <w:bottom w:w="80" w:type="dxa"/>
              <w:start w:w="120" w:type="dxa"/>
              <w:end w:w="120" w:type="dxa"/>
            </w:tcMar>
            <w:vAlign w:val="center"/>
          </w:tcPr>
          <w:p>
            <w:pPr>
              <w:spacing w:before="0" w:after="0" w:line="269" w:lineRule="auto"/>
              <w:jc w:val="center"/>
            </w:pPr>
            <w:r/>
          </w:p>
        </w:tc>
      </w:tr>
    </w:tbl>
    <w:p>
      <w:pPr>
        <w:spacing w:before="0" w:after="40"/>
      </w:pPr>
    </w:p>
    <w:p>
      <w:pPr>
        <w:pStyle w:val="Heading2"/>
      </w:pPr>
      <w:r>
        <w:rPr>
          <w:rFonts w:ascii="Calibri" w:hAnsi="Calibri"/>
          <w:color w:val="222222"/>
        </w:rPr>
        <w:t>3. Assign a planning pattern</w:t>
      </w:r>
    </w:p>
    <w:p>
      <w:r>
        <w:rPr>
          <w:rFonts w:ascii="Calibri" w:hAnsi="Calibri"/>
          <w:color w:val="222222"/>
        </w:rPr>
        <w:t>Select only after completing the evidence table.</w:t>
      </w:r>
    </w:p>
    <w:p>
      <w:pPr>
        <w:numPr>
          <w:ilvl w:val="0"/>
          <w:numId w:val="94"/>
        </w:numPr>
        <w:spacing w:after="80" w:line="300" w:lineRule="auto"/>
      </w:pPr>
      <w:r>
        <w:rPr>
          <w:rFonts w:ascii="Calibri" w:hAnsi="Calibri"/>
          <w:color w:val="222222"/>
        </w:rPr>
        <w:t xml:space="preserve">[ ] </w:t>
      </w:r>
      <w:r>
        <w:rPr>
          <w:rFonts w:ascii="Calibri" w:hAnsi="Calibri"/>
          <w:b/>
          <w:color w:val="222222"/>
        </w:rPr>
        <w:t>Open public retrieval:</w:t>
      </w:r>
      <w:r>
        <w:rPr>
          <w:rFonts w:ascii="Calibri" w:hAnsi="Calibri"/>
          <w:color w:val="222222"/>
        </w:rPr>
        <w:t xml:space="preserve"> The intended public data action is available without personal credentials.</w:t>
      </w:r>
    </w:p>
    <w:p>
      <w:pPr>
        <w:numPr>
          <w:ilvl w:val="0"/>
          <w:numId w:val="94"/>
        </w:numPr>
        <w:spacing w:after="80" w:line="300" w:lineRule="auto"/>
      </w:pPr>
      <w:r>
        <w:rPr>
          <w:rFonts w:ascii="Calibri" w:hAnsi="Calibri"/>
          <w:color w:val="222222"/>
        </w:rPr>
        <w:t xml:space="preserve">[ ] </w:t>
      </w:r>
      <w:r>
        <w:rPr>
          <w:rFonts w:ascii="Calibri" w:hAnsi="Calibri"/>
          <w:b/>
          <w:color w:val="222222"/>
        </w:rPr>
        <w:t>Account/agreement/approval gated:</w:t>
      </w:r>
      <w:r>
        <w:rPr>
          <w:rFonts w:ascii="Calibri" w:hAnsi="Calibri"/>
          <w:color w:val="222222"/>
        </w:rPr>
        <w:t xml:space="preserve"> The intended action requires identity, terms, a DUA, or approval.</w:t>
      </w:r>
    </w:p>
    <w:p>
      <w:pPr>
        <w:numPr>
          <w:ilvl w:val="0"/>
          <w:numId w:val="94"/>
        </w:numPr>
        <w:spacing w:after="80" w:line="300" w:lineRule="auto"/>
      </w:pPr>
      <w:r>
        <w:rPr>
          <w:rFonts w:ascii="Calibri" w:hAnsi="Calibri"/>
          <w:color w:val="222222"/>
        </w:rPr>
        <w:t xml:space="preserve">[ ] </w:t>
      </w:r>
      <w:r>
        <w:rPr>
          <w:rFonts w:ascii="Calibri" w:hAnsi="Calibri"/>
          <w:b/>
          <w:color w:val="222222"/>
        </w:rPr>
        <w:t>Controlled compute:</w:t>
      </w:r>
      <w:r>
        <w:rPr>
          <w:rFonts w:ascii="Calibri" w:hAnsi="Calibri"/>
          <w:color w:val="222222"/>
        </w:rPr>
        <w:t xml:space="preserve"> Participant-level work must remain in a governed environment and only permitted outputs leave.</w:t>
      </w:r>
    </w:p>
    <w:p>
      <w:pPr>
        <w:numPr>
          <w:ilvl w:val="0"/>
          <w:numId w:val="94"/>
        </w:numPr>
        <w:spacing w:after="80" w:line="300" w:lineRule="auto"/>
      </w:pPr>
      <w:r>
        <w:rPr>
          <w:rFonts w:ascii="Calibri" w:hAnsi="Calibri"/>
          <w:color w:val="222222"/>
        </w:rPr>
        <w:t xml:space="preserve">[ ] </w:t>
      </w:r>
      <w:r>
        <w:rPr>
          <w:rFonts w:ascii="Calibri" w:hAnsi="Calibri"/>
          <w:b/>
          <w:color w:val="222222"/>
        </w:rPr>
        <w:t>Mixed:</w:t>
      </w:r>
      <w:r>
        <w:rPr>
          <w:rFonts w:ascii="Calibri" w:hAnsi="Calibri"/>
          <w:color w:val="222222"/>
        </w:rPr>
        <w:t xml:space="preserve"> Different files, levels, actions, or releases use different patterns.</w:t>
      </w:r>
    </w:p>
    <w:p>
      <w:pPr>
        <w:numPr>
          <w:ilvl w:val="0"/>
          <w:numId w:val="94"/>
        </w:numPr>
        <w:spacing w:after="80" w:line="300" w:lineRule="auto"/>
      </w:pPr>
      <w:r>
        <w:rPr>
          <w:rFonts w:ascii="Calibri" w:hAnsi="Calibri"/>
          <w:color w:val="222222"/>
        </w:rPr>
        <w:t xml:space="preserve">[ ] </w:t>
      </w:r>
      <w:r>
        <w:rPr>
          <w:rFonts w:ascii="Calibri" w:hAnsi="Calibri"/>
          <w:b/>
          <w:color w:val="222222"/>
        </w:rPr>
        <w:t>Unclear:</w:t>
      </w:r>
      <w:r>
        <w:rPr>
          <w:rFonts w:ascii="Calibri" w:hAnsi="Calibri"/>
          <w:color w:val="222222"/>
        </w:rPr>
        <w:t xml:space="preserve"> Current evidence is insufficient or conflicting.</w:t>
      </w:r>
    </w:p>
    <w:p>
      <w:r>
        <w:rPr>
          <w:rFonts w:ascii="Calibri" w:hAnsi="Calibri"/>
          <w:b/>
          <w:color w:val="222222"/>
        </w:rPr>
        <w:t>Evidence statement:</w:t>
      </w:r>
    </w:p>
    <w:p>
      <w:pPr>
        <w:spacing w:before="100" w:after="120"/>
        <w:ind w:left="259" w:right="115"/>
        <w:shd w:fill="F4F6F9"/>
        <w:pBdr>
          <w:left w:val="single" w:sz="16" w:space="8" w:color="2E74B5"/>
        </w:pBdr>
      </w:pPr>
      <w:r>
        <w:rPr>
          <w:rFonts w:ascii="Calibri" w:hAnsi="Calibri"/>
          <w:color w:val="1F4D78"/>
        </w:rPr>
        <w:t>The first-party source states ____________________________________________.</w:t>
      </w:r>
    </w:p>
    <w:p>
      <w:r>
        <w:rPr>
          <w:rFonts w:ascii="Calibri" w:hAnsi="Calibri"/>
          <w:b/>
          <w:color w:val="222222"/>
        </w:rPr>
        <w:t>Your interpretation:</w:t>
      </w:r>
    </w:p>
    <w:p>
      <w:pPr>
        <w:spacing w:before="100" w:after="120"/>
        <w:ind w:left="259" w:right="115"/>
        <w:shd w:fill="F4F6F9"/>
        <w:pBdr>
          <w:left w:val="single" w:sz="16" w:space="8" w:color="2E74B5"/>
        </w:pBdr>
      </w:pPr>
      <w:r>
        <w:rPr>
          <w:rFonts w:ascii="Calibri" w:hAnsi="Calibri"/>
          <w:color w:val="1F4D78"/>
        </w:rPr>
        <w:t>For my intended action, I infer _________________________________________.</w:t>
      </w:r>
    </w:p>
    <w:p>
      <w:pPr>
        <w:pStyle w:val="Heading2"/>
      </w:pPr>
      <w:r>
        <w:rPr>
          <w:rFonts w:ascii="Calibri" w:hAnsi="Calibri"/>
          <w:color w:val="222222"/>
        </w:rPr>
        <w:t>4. Check scientific fit separately</w:t>
      </w:r>
    </w:p>
    <w:tbl>
      <w:tblPr>
        <w:tblStyle w:val="TableGrid"/>
        <w:tblW w:type="dxa" w:w="9360"/>
        <w:jc w:val="left"/>
        <w:tblLayout w:type="fixed"/>
        <w:tblLook w:firstColumn="1" w:firstRow="1" w:lastColumn="0" w:lastRow="0" w:noHBand="0" w:noVBand="1" w:val="04A0"/>
        <w:tblInd w:w="120" w:type="dxa"/>
      </w:tblPr>
      <w:tblGrid>
        <w:gridCol w:w="2586"/>
        <w:gridCol w:w="1721"/>
        <w:gridCol w:w="3048"/>
        <w:gridCol w:w="2005"/>
      </w:tblGrid>
      <w:tr>
        <w:trPr>
          <w:cantSplit w:val="true"/>
          <w:tblHeader w:val="true"/>
        </w:trPr>
        <w:tc>
          <w:tcPr>
            <w:tcW w:type="dxa" w:w="2586"/>
            <w:tcMar>
              <w:top w:w="80" w:type="dxa"/>
              <w:bottom w:w="80" w:type="dxa"/>
              <w:start w:w="120" w:type="dxa"/>
              <w:end w:w="120" w:type="dxa"/>
            </w:tcMar>
            <w:vAlign w:val="center"/>
            <w:shd w:fill="E8EEF5"/>
          </w:tcPr>
          <w:p>
            <w:pPr>
              <w:spacing w:before="0" w:after="0" w:line="269" w:lineRule="auto"/>
              <w:jc w:val="left"/>
            </w:pPr>
            <w:r>
              <w:rPr>
                <w:b/>
                <w:color w:val="203748"/>
              </w:rPr>
            </w:r>
            <w:r>
              <w:rPr>
                <w:rFonts w:ascii="Calibri" w:hAnsi="Calibri"/>
                <w:b/>
                <w:color w:val="203748"/>
                <w:sz w:val="16"/>
              </w:rPr>
              <w:t>Check</w:t>
            </w:r>
          </w:p>
        </w:tc>
        <w:tc>
          <w:tcPr>
            <w:tcW w:type="dxa" w:w="1721"/>
            <w:tcMar>
              <w:top w:w="80" w:type="dxa"/>
              <w:bottom w:w="80" w:type="dxa"/>
              <w:start w:w="120" w:type="dxa"/>
              <w:end w:w="120" w:type="dxa"/>
            </w:tcMar>
            <w:vAlign w:val="center"/>
            <w:shd w:fill="E8EEF5"/>
          </w:tcPr>
          <w:p>
            <w:pPr>
              <w:spacing w:before="0" w:after="0" w:line="269" w:lineRule="auto"/>
              <w:jc w:val="center"/>
            </w:pPr>
            <w:r>
              <w:rPr>
                <w:b/>
                <w:color w:val="203748"/>
              </w:rPr>
            </w:r>
            <w:r>
              <w:rPr>
                <w:rFonts w:ascii="Calibri" w:hAnsi="Calibri"/>
                <w:b/>
                <w:color w:val="203748"/>
                <w:sz w:val="16"/>
              </w:rPr>
              <w:t>Evidence</w:t>
            </w:r>
          </w:p>
        </w:tc>
        <w:tc>
          <w:tcPr>
            <w:tcW w:type="dxa" w:w="3048"/>
            <w:tcMar>
              <w:top w:w="80" w:type="dxa"/>
              <w:bottom w:w="80" w:type="dxa"/>
              <w:start w:w="120" w:type="dxa"/>
              <w:end w:w="120" w:type="dxa"/>
            </w:tcMar>
            <w:vAlign w:val="center"/>
            <w:shd w:fill="E8EEF5"/>
          </w:tcPr>
          <w:p>
            <w:pPr>
              <w:spacing w:before="0" w:after="0" w:line="269" w:lineRule="auto"/>
              <w:jc w:val="left"/>
            </w:pPr>
            <w:r>
              <w:rPr>
                <w:b/>
                <w:color w:val="203748"/>
              </w:rPr>
            </w:r>
            <w:r>
              <w:rPr>
                <w:rFonts w:ascii="Calibri" w:hAnsi="Calibri"/>
                <w:b/>
                <w:color w:val="203748"/>
                <w:sz w:val="16"/>
              </w:rPr>
              <w:t>Compatible/partial/not compatible/unclear</w:t>
            </w:r>
          </w:p>
        </w:tc>
        <w:tc>
          <w:tcPr>
            <w:tcW w:type="dxa" w:w="2005"/>
            <w:tcMar>
              <w:top w:w="80" w:type="dxa"/>
              <w:bottom w:w="80" w:type="dxa"/>
              <w:start w:w="120" w:type="dxa"/>
              <w:end w:w="120" w:type="dxa"/>
            </w:tcMar>
            <w:vAlign w:val="center"/>
            <w:shd w:fill="E8EEF5"/>
          </w:tcPr>
          <w:p>
            <w:pPr>
              <w:spacing w:before="0" w:after="0" w:line="269" w:lineRule="auto"/>
              <w:jc w:val="center"/>
            </w:pPr>
            <w:r>
              <w:rPr>
                <w:b/>
                <w:color w:val="203748"/>
              </w:rPr>
            </w:r>
            <w:r>
              <w:rPr>
                <w:rFonts w:ascii="Calibri" w:hAnsi="Calibri"/>
                <w:b/>
                <w:color w:val="203748"/>
                <w:sz w:val="16"/>
              </w:rPr>
              <w:t>Required action</w:t>
            </w:r>
          </w:p>
        </w:tc>
      </w:tr>
      <w:tr>
        <w:trPr>
          <w:cantSplit w:val="true"/>
        </w:trPr>
        <w:tc>
          <w:tcPr>
            <w:tcW w:type="dxa" w:w="2586"/>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Population and design</w:t>
            </w:r>
          </w:p>
        </w:tc>
        <w:tc>
          <w:tcPr>
            <w:tcW w:type="dxa" w:w="1721"/>
            <w:tcMar>
              <w:top w:w="80" w:type="dxa"/>
              <w:bottom w:w="80" w:type="dxa"/>
              <w:start w:w="120" w:type="dxa"/>
              <w:end w:w="120" w:type="dxa"/>
            </w:tcMar>
            <w:vAlign w:val="center"/>
          </w:tcPr>
          <w:p>
            <w:pPr>
              <w:spacing w:before="0" w:after="0" w:line="269" w:lineRule="auto"/>
              <w:jc w:val="center"/>
            </w:pPr>
            <w:r/>
          </w:p>
        </w:tc>
        <w:tc>
          <w:tcPr>
            <w:tcW w:type="dxa" w:w="3048"/>
            <w:tcMar>
              <w:top w:w="80" w:type="dxa"/>
              <w:bottom w:w="80" w:type="dxa"/>
              <w:start w:w="120" w:type="dxa"/>
              <w:end w:w="120" w:type="dxa"/>
            </w:tcMar>
            <w:vAlign w:val="center"/>
          </w:tcPr>
          <w:p>
            <w:pPr>
              <w:spacing w:before="0" w:after="0" w:line="269" w:lineRule="auto"/>
              <w:jc w:val="center"/>
            </w:pPr>
            <w:r/>
          </w:p>
        </w:tc>
        <w:tc>
          <w:tcPr>
            <w:tcW w:type="dxa" w:w="2005"/>
            <w:tcMar>
              <w:top w:w="80" w:type="dxa"/>
              <w:bottom w:w="80" w:type="dxa"/>
              <w:start w:w="120" w:type="dxa"/>
              <w:end w:w="120" w:type="dxa"/>
            </w:tcMar>
            <w:vAlign w:val="center"/>
          </w:tcPr>
          <w:p>
            <w:pPr>
              <w:spacing w:before="0" w:after="0" w:line="269" w:lineRule="auto"/>
              <w:jc w:val="center"/>
            </w:pPr>
            <w:r/>
          </w:p>
        </w:tc>
      </w:tr>
      <w:tr>
        <w:trPr>
          <w:cantSplit w:val="true"/>
        </w:trPr>
        <w:tc>
          <w:tcPr>
            <w:tcW w:type="dxa" w:w="2586"/>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Phenotype/exposure definition</w:t>
            </w:r>
          </w:p>
        </w:tc>
        <w:tc>
          <w:tcPr>
            <w:tcW w:type="dxa" w:w="1721"/>
            <w:tcMar>
              <w:top w:w="80" w:type="dxa"/>
              <w:bottom w:w="80" w:type="dxa"/>
              <w:start w:w="120" w:type="dxa"/>
              <w:end w:w="120" w:type="dxa"/>
            </w:tcMar>
            <w:vAlign w:val="center"/>
          </w:tcPr>
          <w:p>
            <w:pPr>
              <w:spacing w:before="0" w:after="0" w:line="269" w:lineRule="auto"/>
              <w:jc w:val="center"/>
            </w:pPr>
            <w:r/>
          </w:p>
        </w:tc>
        <w:tc>
          <w:tcPr>
            <w:tcW w:type="dxa" w:w="3048"/>
            <w:tcMar>
              <w:top w:w="80" w:type="dxa"/>
              <w:bottom w:w="80" w:type="dxa"/>
              <w:start w:w="120" w:type="dxa"/>
              <w:end w:w="120" w:type="dxa"/>
            </w:tcMar>
            <w:vAlign w:val="center"/>
          </w:tcPr>
          <w:p>
            <w:pPr>
              <w:spacing w:before="0" w:after="0" w:line="269" w:lineRule="auto"/>
              <w:jc w:val="center"/>
            </w:pPr>
            <w:r/>
          </w:p>
        </w:tc>
        <w:tc>
          <w:tcPr>
            <w:tcW w:type="dxa" w:w="2005"/>
            <w:tcMar>
              <w:top w:w="80" w:type="dxa"/>
              <w:bottom w:w="80" w:type="dxa"/>
              <w:start w:w="120" w:type="dxa"/>
              <w:end w:w="120" w:type="dxa"/>
            </w:tcMar>
            <w:vAlign w:val="center"/>
          </w:tcPr>
          <w:p>
            <w:pPr>
              <w:spacing w:before="0" w:after="0" w:line="269" w:lineRule="auto"/>
              <w:jc w:val="center"/>
            </w:pPr>
            <w:r/>
          </w:p>
        </w:tc>
      </w:tr>
      <w:tr>
        <w:trPr>
          <w:cantSplit w:val="true"/>
        </w:trPr>
        <w:tc>
          <w:tcPr>
            <w:tcW w:type="dxa" w:w="2586"/>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Specimen and pre-analytics</w:t>
            </w:r>
          </w:p>
        </w:tc>
        <w:tc>
          <w:tcPr>
            <w:tcW w:type="dxa" w:w="1721"/>
            <w:tcMar>
              <w:top w:w="80" w:type="dxa"/>
              <w:bottom w:w="80" w:type="dxa"/>
              <w:start w:w="120" w:type="dxa"/>
              <w:end w:w="120" w:type="dxa"/>
            </w:tcMar>
            <w:vAlign w:val="center"/>
          </w:tcPr>
          <w:p>
            <w:pPr>
              <w:spacing w:before="0" w:after="0" w:line="269" w:lineRule="auto"/>
              <w:jc w:val="center"/>
            </w:pPr>
            <w:r/>
          </w:p>
        </w:tc>
        <w:tc>
          <w:tcPr>
            <w:tcW w:type="dxa" w:w="3048"/>
            <w:tcMar>
              <w:top w:w="80" w:type="dxa"/>
              <w:bottom w:w="80" w:type="dxa"/>
              <w:start w:w="120" w:type="dxa"/>
              <w:end w:w="120" w:type="dxa"/>
            </w:tcMar>
            <w:vAlign w:val="center"/>
          </w:tcPr>
          <w:p>
            <w:pPr>
              <w:spacing w:before="0" w:after="0" w:line="269" w:lineRule="auto"/>
              <w:jc w:val="center"/>
            </w:pPr>
            <w:r/>
          </w:p>
        </w:tc>
        <w:tc>
          <w:tcPr>
            <w:tcW w:type="dxa" w:w="2005"/>
            <w:tcMar>
              <w:top w:w="80" w:type="dxa"/>
              <w:bottom w:w="80" w:type="dxa"/>
              <w:start w:w="120" w:type="dxa"/>
              <w:end w:w="120" w:type="dxa"/>
            </w:tcMar>
            <w:vAlign w:val="center"/>
          </w:tcPr>
          <w:p>
            <w:pPr>
              <w:spacing w:before="0" w:after="0" w:line="269" w:lineRule="auto"/>
              <w:jc w:val="center"/>
            </w:pPr>
            <w:r/>
          </w:p>
        </w:tc>
      </w:tr>
      <w:tr>
        <w:trPr>
          <w:cantSplit w:val="true"/>
        </w:trPr>
        <w:tc>
          <w:tcPr>
            <w:tcW w:type="dxa" w:w="2586"/>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Timepoint semantics</w:t>
            </w:r>
          </w:p>
        </w:tc>
        <w:tc>
          <w:tcPr>
            <w:tcW w:type="dxa" w:w="1721"/>
            <w:tcMar>
              <w:top w:w="80" w:type="dxa"/>
              <w:bottom w:w="80" w:type="dxa"/>
              <w:start w:w="120" w:type="dxa"/>
              <w:end w:w="120" w:type="dxa"/>
            </w:tcMar>
            <w:vAlign w:val="center"/>
          </w:tcPr>
          <w:p>
            <w:pPr>
              <w:spacing w:before="0" w:after="0" w:line="269" w:lineRule="auto"/>
              <w:jc w:val="center"/>
            </w:pPr>
            <w:r/>
          </w:p>
        </w:tc>
        <w:tc>
          <w:tcPr>
            <w:tcW w:type="dxa" w:w="3048"/>
            <w:tcMar>
              <w:top w:w="80" w:type="dxa"/>
              <w:bottom w:w="80" w:type="dxa"/>
              <w:start w:w="120" w:type="dxa"/>
              <w:end w:w="120" w:type="dxa"/>
            </w:tcMar>
            <w:vAlign w:val="center"/>
          </w:tcPr>
          <w:p>
            <w:pPr>
              <w:spacing w:before="0" w:after="0" w:line="269" w:lineRule="auto"/>
              <w:jc w:val="center"/>
            </w:pPr>
            <w:r/>
          </w:p>
        </w:tc>
        <w:tc>
          <w:tcPr>
            <w:tcW w:type="dxa" w:w="2005"/>
            <w:tcMar>
              <w:top w:w="80" w:type="dxa"/>
              <w:bottom w:w="80" w:type="dxa"/>
              <w:start w:w="120" w:type="dxa"/>
              <w:end w:w="120" w:type="dxa"/>
            </w:tcMar>
            <w:vAlign w:val="center"/>
          </w:tcPr>
          <w:p>
            <w:pPr>
              <w:spacing w:before="0" w:after="0" w:line="269" w:lineRule="auto"/>
              <w:jc w:val="center"/>
            </w:pPr>
            <w:r/>
          </w:p>
        </w:tc>
      </w:tr>
      <w:tr>
        <w:trPr>
          <w:cantSplit w:val="true"/>
        </w:trPr>
        <w:tc>
          <w:tcPr>
            <w:tcW w:type="dxa" w:w="2586"/>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Assay/platform and coverage</w:t>
            </w:r>
          </w:p>
        </w:tc>
        <w:tc>
          <w:tcPr>
            <w:tcW w:type="dxa" w:w="1721"/>
            <w:tcMar>
              <w:top w:w="80" w:type="dxa"/>
              <w:bottom w:w="80" w:type="dxa"/>
              <w:start w:w="120" w:type="dxa"/>
              <w:end w:w="120" w:type="dxa"/>
            </w:tcMar>
            <w:vAlign w:val="center"/>
          </w:tcPr>
          <w:p>
            <w:pPr>
              <w:spacing w:before="0" w:after="0" w:line="269" w:lineRule="auto"/>
              <w:jc w:val="center"/>
            </w:pPr>
            <w:r/>
          </w:p>
        </w:tc>
        <w:tc>
          <w:tcPr>
            <w:tcW w:type="dxa" w:w="3048"/>
            <w:tcMar>
              <w:top w:w="80" w:type="dxa"/>
              <w:bottom w:w="80" w:type="dxa"/>
              <w:start w:w="120" w:type="dxa"/>
              <w:end w:w="120" w:type="dxa"/>
            </w:tcMar>
            <w:vAlign w:val="center"/>
          </w:tcPr>
          <w:p>
            <w:pPr>
              <w:spacing w:before="0" w:after="0" w:line="269" w:lineRule="auto"/>
              <w:jc w:val="center"/>
            </w:pPr>
            <w:r/>
          </w:p>
        </w:tc>
        <w:tc>
          <w:tcPr>
            <w:tcW w:type="dxa" w:w="2005"/>
            <w:tcMar>
              <w:top w:w="80" w:type="dxa"/>
              <w:bottom w:w="80" w:type="dxa"/>
              <w:start w:w="120" w:type="dxa"/>
              <w:end w:w="120" w:type="dxa"/>
            </w:tcMar>
            <w:vAlign w:val="center"/>
          </w:tcPr>
          <w:p>
            <w:pPr>
              <w:spacing w:before="0" w:after="0" w:line="269" w:lineRule="auto"/>
              <w:jc w:val="center"/>
            </w:pPr>
            <w:r/>
          </w:p>
        </w:tc>
      </w:tr>
      <w:tr>
        <w:trPr>
          <w:cantSplit w:val="true"/>
        </w:trPr>
        <w:tc>
          <w:tcPr>
            <w:tcW w:type="dxa" w:w="2586"/>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Units/scale and preprocessing</w:t>
            </w:r>
          </w:p>
        </w:tc>
        <w:tc>
          <w:tcPr>
            <w:tcW w:type="dxa" w:w="1721"/>
            <w:tcMar>
              <w:top w:w="80" w:type="dxa"/>
              <w:bottom w:w="80" w:type="dxa"/>
              <w:start w:w="120" w:type="dxa"/>
              <w:end w:w="120" w:type="dxa"/>
            </w:tcMar>
            <w:vAlign w:val="center"/>
          </w:tcPr>
          <w:p>
            <w:pPr>
              <w:spacing w:before="0" w:after="0" w:line="269" w:lineRule="auto"/>
              <w:jc w:val="center"/>
            </w:pPr>
            <w:r/>
          </w:p>
        </w:tc>
        <w:tc>
          <w:tcPr>
            <w:tcW w:type="dxa" w:w="3048"/>
            <w:tcMar>
              <w:top w:w="80" w:type="dxa"/>
              <w:bottom w:w="80" w:type="dxa"/>
              <w:start w:w="120" w:type="dxa"/>
              <w:end w:w="120" w:type="dxa"/>
            </w:tcMar>
            <w:vAlign w:val="center"/>
          </w:tcPr>
          <w:p>
            <w:pPr>
              <w:spacing w:before="0" w:after="0" w:line="269" w:lineRule="auto"/>
              <w:jc w:val="center"/>
            </w:pPr>
            <w:r/>
          </w:p>
        </w:tc>
        <w:tc>
          <w:tcPr>
            <w:tcW w:type="dxa" w:w="2005"/>
            <w:tcMar>
              <w:top w:w="80" w:type="dxa"/>
              <w:bottom w:w="80" w:type="dxa"/>
              <w:start w:w="120" w:type="dxa"/>
              <w:end w:w="120" w:type="dxa"/>
            </w:tcMar>
            <w:vAlign w:val="center"/>
          </w:tcPr>
          <w:p>
            <w:pPr>
              <w:spacing w:before="0" w:after="0" w:line="269" w:lineRule="auto"/>
              <w:jc w:val="center"/>
            </w:pPr>
            <w:r/>
          </w:p>
        </w:tc>
      </w:tr>
      <w:tr>
        <w:trPr>
          <w:cantSplit w:val="true"/>
        </w:trPr>
        <w:tc>
          <w:tcPr>
            <w:tcW w:type="dxa" w:w="2586"/>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Identifier/annotation resolution</w:t>
            </w:r>
          </w:p>
        </w:tc>
        <w:tc>
          <w:tcPr>
            <w:tcW w:type="dxa" w:w="1721"/>
            <w:tcMar>
              <w:top w:w="80" w:type="dxa"/>
              <w:bottom w:w="80" w:type="dxa"/>
              <w:start w:w="120" w:type="dxa"/>
              <w:end w:w="120" w:type="dxa"/>
            </w:tcMar>
            <w:vAlign w:val="center"/>
          </w:tcPr>
          <w:p>
            <w:pPr>
              <w:spacing w:before="0" w:after="0" w:line="269" w:lineRule="auto"/>
              <w:jc w:val="center"/>
            </w:pPr>
            <w:r/>
          </w:p>
        </w:tc>
        <w:tc>
          <w:tcPr>
            <w:tcW w:type="dxa" w:w="3048"/>
            <w:tcMar>
              <w:top w:w="80" w:type="dxa"/>
              <w:bottom w:w="80" w:type="dxa"/>
              <w:start w:w="120" w:type="dxa"/>
              <w:end w:w="120" w:type="dxa"/>
            </w:tcMar>
            <w:vAlign w:val="center"/>
          </w:tcPr>
          <w:p>
            <w:pPr>
              <w:spacing w:before="0" w:after="0" w:line="269" w:lineRule="auto"/>
              <w:jc w:val="center"/>
            </w:pPr>
            <w:r/>
          </w:p>
        </w:tc>
        <w:tc>
          <w:tcPr>
            <w:tcW w:type="dxa" w:w="2005"/>
            <w:tcMar>
              <w:top w:w="80" w:type="dxa"/>
              <w:bottom w:w="80" w:type="dxa"/>
              <w:start w:w="120" w:type="dxa"/>
              <w:end w:w="120" w:type="dxa"/>
            </w:tcMar>
            <w:vAlign w:val="center"/>
          </w:tcPr>
          <w:p>
            <w:pPr>
              <w:spacing w:before="0" w:after="0" w:line="269" w:lineRule="auto"/>
              <w:jc w:val="center"/>
            </w:pPr>
            <w:r/>
          </w:p>
        </w:tc>
      </w:tr>
      <w:tr>
        <w:trPr>
          <w:cantSplit w:val="true"/>
        </w:trPr>
        <w:tc>
          <w:tcPr>
            <w:tcW w:type="dxa" w:w="2586"/>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Repeated-measures structure</w:t>
            </w:r>
          </w:p>
        </w:tc>
        <w:tc>
          <w:tcPr>
            <w:tcW w:type="dxa" w:w="1721"/>
            <w:tcMar>
              <w:top w:w="80" w:type="dxa"/>
              <w:bottom w:w="80" w:type="dxa"/>
              <w:start w:w="120" w:type="dxa"/>
              <w:end w:w="120" w:type="dxa"/>
            </w:tcMar>
            <w:vAlign w:val="center"/>
          </w:tcPr>
          <w:p>
            <w:pPr>
              <w:spacing w:before="0" w:after="0" w:line="269" w:lineRule="auto"/>
              <w:jc w:val="center"/>
            </w:pPr>
            <w:r/>
          </w:p>
        </w:tc>
        <w:tc>
          <w:tcPr>
            <w:tcW w:type="dxa" w:w="3048"/>
            <w:tcMar>
              <w:top w:w="80" w:type="dxa"/>
              <w:bottom w:w="80" w:type="dxa"/>
              <w:start w:w="120" w:type="dxa"/>
              <w:end w:w="120" w:type="dxa"/>
            </w:tcMar>
            <w:vAlign w:val="center"/>
          </w:tcPr>
          <w:p>
            <w:pPr>
              <w:spacing w:before="0" w:after="0" w:line="269" w:lineRule="auto"/>
              <w:jc w:val="center"/>
            </w:pPr>
            <w:r/>
          </w:p>
        </w:tc>
        <w:tc>
          <w:tcPr>
            <w:tcW w:type="dxa" w:w="2005"/>
            <w:tcMar>
              <w:top w:w="80" w:type="dxa"/>
              <w:bottom w:w="80" w:type="dxa"/>
              <w:start w:w="120" w:type="dxa"/>
              <w:end w:w="120" w:type="dxa"/>
            </w:tcMar>
            <w:vAlign w:val="center"/>
          </w:tcPr>
          <w:p>
            <w:pPr>
              <w:spacing w:before="0" w:after="0" w:line="269" w:lineRule="auto"/>
              <w:jc w:val="center"/>
            </w:pPr>
            <w:r/>
          </w:p>
        </w:tc>
      </w:tr>
      <w:tr>
        <w:trPr>
          <w:cantSplit w:val="true"/>
        </w:trPr>
        <w:tc>
          <w:tcPr>
            <w:tcW w:type="dxa" w:w="2586"/>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Missingness and QC metadata</w:t>
            </w:r>
          </w:p>
        </w:tc>
        <w:tc>
          <w:tcPr>
            <w:tcW w:type="dxa" w:w="1721"/>
            <w:tcMar>
              <w:top w:w="80" w:type="dxa"/>
              <w:bottom w:w="80" w:type="dxa"/>
              <w:start w:w="120" w:type="dxa"/>
              <w:end w:w="120" w:type="dxa"/>
            </w:tcMar>
            <w:vAlign w:val="center"/>
          </w:tcPr>
          <w:p>
            <w:pPr>
              <w:spacing w:before="0" w:after="0" w:line="269" w:lineRule="auto"/>
              <w:jc w:val="center"/>
            </w:pPr>
            <w:r/>
          </w:p>
        </w:tc>
        <w:tc>
          <w:tcPr>
            <w:tcW w:type="dxa" w:w="3048"/>
            <w:tcMar>
              <w:top w:w="80" w:type="dxa"/>
              <w:bottom w:w="80" w:type="dxa"/>
              <w:start w:w="120" w:type="dxa"/>
              <w:end w:w="120" w:type="dxa"/>
            </w:tcMar>
            <w:vAlign w:val="center"/>
          </w:tcPr>
          <w:p>
            <w:pPr>
              <w:spacing w:before="0" w:after="0" w:line="269" w:lineRule="auto"/>
              <w:jc w:val="center"/>
            </w:pPr>
            <w:r/>
          </w:p>
        </w:tc>
        <w:tc>
          <w:tcPr>
            <w:tcW w:type="dxa" w:w="2005"/>
            <w:tcMar>
              <w:top w:w="80" w:type="dxa"/>
              <w:bottom w:w="80" w:type="dxa"/>
              <w:start w:w="120" w:type="dxa"/>
              <w:end w:w="120" w:type="dxa"/>
            </w:tcMar>
            <w:vAlign w:val="center"/>
          </w:tcPr>
          <w:p>
            <w:pPr>
              <w:spacing w:before="0" w:after="0" w:line="269" w:lineRule="auto"/>
              <w:jc w:val="center"/>
            </w:pPr>
            <w:r/>
          </w:p>
        </w:tc>
      </w:tr>
    </w:tbl>
    <w:p>
      <w:pPr>
        <w:spacing w:before="0" w:after="40"/>
      </w:pPr>
    </w:p>
    <w:p>
      <w:r>
        <w:rPr>
          <w:rFonts w:ascii="Calibri" w:hAnsi="Calibri"/>
          <w:b/>
          <w:color w:val="222222"/>
        </w:rPr>
        <w:t>Scientific comparison the data can support:</w:t>
      </w:r>
      <w:r>
        <w:rPr>
          <w:rFonts w:ascii="Calibri" w:hAnsi="Calibri"/>
          <w:color w:val="222222"/>
        </w:rPr>
        <w:t xml:space="preserve"> ____________________________</w:t>
      </w:r>
    </w:p>
    <w:p>
      <w:r>
        <w:rPr>
          <w:rFonts w:ascii="Calibri" w:hAnsi="Calibri"/>
          <w:b/>
          <w:color w:val="222222"/>
        </w:rPr>
        <w:t>Scientific comparison the data cannot support:</w:t>
      </w:r>
      <w:r>
        <w:rPr>
          <w:rFonts w:ascii="Calibri" w:hAnsi="Calibri"/>
          <w:color w:val="222222"/>
        </w:rPr>
        <w:t xml:space="preserve"> _________________________</w:t>
      </w:r>
    </w:p>
    <w:p>
      <w:pPr>
        <w:pStyle w:val="Heading2"/>
      </w:pPr>
      <w:r>
        <w:rPr>
          <w:rFonts w:ascii="Calibri" w:hAnsi="Calibri"/>
          <w:color w:val="222222"/>
        </w:rPr>
        <w:t>5. Adapt the Metabo-Diet workflow</w:t>
      </w:r>
    </w:p>
    <w:tbl>
      <w:tblPr>
        <w:tblStyle w:val="TableGrid"/>
        <w:tblW w:type="dxa" w:w="9360"/>
        <w:jc w:val="left"/>
        <w:tblLayout w:type="fixed"/>
        <w:tblLook w:firstColumn="1" w:firstRow="1" w:lastColumn="0" w:lastRow="0" w:noHBand="0" w:noVBand="1" w:val="04A0"/>
        <w:tblInd w:w="120" w:type="dxa"/>
      </w:tblPr>
      <w:tblGrid>
        <w:gridCol w:w="2358"/>
        <w:gridCol w:w="1750"/>
        <w:gridCol w:w="1264"/>
        <w:gridCol w:w="1750"/>
        <w:gridCol w:w="2238"/>
      </w:tblGrid>
      <w:tr>
        <w:trPr>
          <w:cantSplit w:val="true"/>
          <w:tblHeader w:val="true"/>
        </w:trPr>
        <w:tc>
          <w:tcPr>
            <w:tcW w:type="dxa" w:w="2358"/>
            <w:tcMar>
              <w:top w:w="80" w:type="dxa"/>
              <w:bottom w:w="80" w:type="dxa"/>
              <w:start w:w="120" w:type="dxa"/>
              <w:end w:w="120" w:type="dxa"/>
            </w:tcMar>
            <w:vAlign w:val="center"/>
            <w:shd w:fill="E8EEF5"/>
          </w:tcPr>
          <w:p>
            <w:pPr>
              <w:spacing w:before="0" w:after="0" w:line="269" w:lineRule="auto"/>
              <w:jc w:val="left"/>
            </w:pPr>
            <w:r>
              <w:rPr>
                <w:b/>
                <w:color w:val="203748"/>
              </w:rPr>
            </w:r>
            <w:r>
              <w:rPr>
                <w:rFonts w:ascii="Calibri" w:hAnsi="Calibri"/>
                <w:b/>
                <w:color w:val="203748"/>
                <w:sz w:val="16"/>
              </w:rPr>
              <w:t>Component</w:t>
            </w:r>
          </w:p>
        </w:tc>
        <w:tc>
          <w:tcPr>
            <w:tcW w:type="dxa" w:w="1750"/>
            <w:tcMar>
              <w:top w:w="80" w:type="dxa"/>
              <w:bottom w:w="80" w:type="dxa"/>
              <w:start w:w="120" w:type="dxa"/>
              <w:end w:w="120" w:type="dxa"/>
            </w:tcMar>
            <w:vAlign w:val="center"/>
            <w:shd w:fill="E8EEF5"/>
          </w:tcPr>
          <w:p>
            <w:pPr>
              <w:spacing w:before="0" w:after="0" w:line="269" w:lineRule="auto"/>
              <w:jc w:val="center"/>
            </w:pPr>
            <w:r>
              <w:rPr>
                <w:b/>
                <w:color w:val="203748"/>
              </w:rPr>
            </w:r>
            <w:r>
              <w:rPr>
                <w:rFonts w:ascii="Calibri" w:hAnsi="Calibri"/>
                <w:b/>
                <w:color w:val="203748"/>
                <w:sz w:val="16"/>
              </w:rPr>
              <w:t>Keep unchanged</w:t>
            </w:r>
          </w:p>
        </w:tc>
        <w:tc>
          <w:tcPr>
            <w:tcW w:type="dxa" w:w="1264"/>
            <w:tcMar>
              <w:top w:w="80" w:type="dxa"/>
              <w:bottom w:w="80" w:type="dxa"/>
              <w:start w:w="120" w:type="dxa"/>
              <w:end w:w="120" w:type="dxa"/>
            </w:tcMar>
            <w:vAlign w:val="center"/>
            <w:shd w:fill="E8EEF5"/>
          </w:tcPr>
          <w:p>
            <w:pPr>
              <w:spacing w:before="0" w:after="0" w:line="269" w:lineRule="auto"/>
              <w:jc w:val="center"/>
            </w:pPr>
            <w:r>
              <w:rPr>
                <w:b/>
                <w:color w:val="203748"/>
              </w:rPr>
            </w:r>
            <w:r>
              <w:rPr>
                <w:rFonts w:ascii="Calibri" w:hAnsi="Calibri"/>
                <w:b/>
                <w:color w:val="203748"/>
                <w:sz w:val="16"/>
              </w:rPr>
              <w:t>Modify</w:t>
            </w:r>
          </w:p>
        </w:tc>
        <w:tc>
          <w:tcPr>
            <w:tcW w:type="dxa" w:w="1750"/>
            <w:tcMar>
              <w:top w:w="80" w:type="dxa"/>
              <w:bottom w:w="80" w:type="dxa"/>
              <w:start w:w="120" w:type="dxa"/>
              <w:end w:w="120" w:type="dxa"/>
            </w:tcMar>
            <w:vAlign w:val="center"/>
            <w:shd w:fill="E8EEF5"/>
          </w:tcPr>
          <w:p>
            <w:pPr>
              <w:spacing w:before="0" w:after="0" w:line="269" w:lineRule="auto"/>
              <w:jc w:val="center"/>
            </w:pPr>
            <w:r>
              <w:rPr>
                <w:b/>
                <w:color w:val="203748"/>
              </w:rPr>
            </w:r>
            <w:r>
              <w:rPr>
                <w:rFonts w:ascii="Calibri" w:hAnsi="Calibri"/>
                <w:b/>
                <w:color w:val="203748"/>
                <w:sz w:val="16"/>
              </w:rPr>
              <w:t>Remove/replace</w:t>
            </w:r>
          </w:p>
        </w:tc>
        <w:tc>
          <w:tcPr>
            <w:tcW w:type="dxa" w:w="2238"/>
            <w:tcMar>
              <w:top w:w="80" w:type="dxa"/>
              <w:bottom w:w="80" w:type="dxa"/>
              <w:start w:w="120" w:type="dxa"/>
              <w:end w:w="120" w:type="dxa"/>
            </w:tcMar>
            <w:vAlign w:val="center"/>
            <w:shd w:fill="E8EEF5"/>
          </w:tcPr>
          <w:p>
            <w:pPr>
              <w:spacing w:before="0" w:after="0" w:line="269" w:lineRule="auto"/>
              <w:jc w:val="left"/>
            </w:pPr>
            <w:r>
              <w:rPr>
                <w:b/>
                <w:color w:val="203748"/>
              </w:rPr>
            </w:r>
            <w:r>
              <w:rPr>
                <w:rFonts w:ascii="Calibri" w:hAnsi="Calibri"/>
                <w:b/>
                <w:color w:val="203748"/>
                <w:sz w:val="16"/>
              </w:rPr>
              <w:t>Planned implementation</w:t>
            </w:r>
          </w:p>
        </w:tc>
      </w:tr>
      <w:tr>
        <w:trPr>
          <w:cantSplit w:val="true"/>
        </w:trPr>
        <w:tc>
          <w:tcPr>
            <w:tcW w:type="dxa" w:w="2358"/>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Question and estimand</w:t>
            </w:r>
          </w:p>
        </w:tc>
        <w:tc>
          <w:tcPr>
            <w:tcW w:type="dxa" w:w="1750"/>
            <w:tcMar>
              <w:top w:w="80" w:type="dxa"/>
              <w:bottom w:w="80" w:type="dxa"/>
              <w:start w:w="120" w:type="dxa"/>
              <w:end w:w="120" w:type="dxa"/>
            </w:tcMar>
            <w:vAlign w:val="center"/>
          </w:tcPr>
          <w:p>
            <w:pPr>
              <w:spacing w:before="0" w:after="0" w:line="269" w:lineRule="auto"/>
              <w:jc w:val="center"/>
            </w:pPr>
            <w:r/>
            <w:r>
              <w:rPr>
                <w:rFonts w:ascii="Calibri" w:hAnsi="Calibri"/>
                <w:color w:val="222222"/>
                <w:sz w:val="16"/>
              </w:rPr>
              <w:t>[ ]</w:t>
            </w:r>
          </w:p>
        </w:tc>
        <w:tc>
          <w:tcPr>
            <w:tcW w:type="dxa" w:w="1264"/>
            <w:tcMar>
              <w:top w:w="80" w:type="dxa"/>
              <w:bottom w:w="80" w:type="dxa"/>
              <w:start w:w="120" w:type="dxa"/>
              <w:end w:w="120" w:type="dxa"/>
            </w:tcMar>
            <w:vAlign w:val="center"/>
          </w:tcPr>
          <w:p>
            <w:pPr>
              <w:spacing w:before="0" w:after="0" w:line="269" w:lineRule="auto"/>
              <w:jc w:val="center"/>
            </w:pPr>
            <w:r/>
            <w:r>
              <w:rPr>
                <w:rFonts w:ascii="Calibri" w:hAnsi="Calibri"/>
                <w:color w:val="222222"/>
                <w:sz w:val="16"/>
              </w:rPr>
              <w:t>[ ]</w:t>
            </w:r>
          </w:p>
        </w:tc>
        <w:tc>
          <w:tcPr>
            <w:tcW w:type="dxa" w:w="1750"/>
            <w:tcMar>
              <w:top w:w="80" w:type="dxa"/>
              <w:bottom w:w="80" w:type="dxa"/>
              <w:start w:w="120" w:type="dxa"/>
              <w:end w:w="120" w:type="dxa"/>
            </w:tcMar>
            <w:vAlign w:val="center"/>
          </w:tcPr>
          <w:p>
            <w:pPr>
              <w:spacing w:before="0" w:after="0" w:line="269" w:lineRule="auto"/>
              <w:jc w:val="center"/>
            </w:pPr>
            <w:r/>
            <w:r>
              <w:rPr>
                <w:rFonts w:ascii="Calibri" w:hAnsi="Calibri"/>
                <w:color w:val="222222"/>
                <w:sz w:val="16"/>
              </w:rPr>
              <w:t>[ ]</w:t>
            </w:r>
          </w:p>
        </w:tc>
        <w:tc>
          <w:tcPr>
            <w:tcW w:type="dxa" w:w="2238"/>
            <w:tcMar>
              <w:top w:w="80" w:type="dxa"/>
              <w:bottom w:w="80" w:type="dxa"/>
              <w:start w:w="120" w:type="dxa"/>
              <w:end w:w="120" w:type="dxa"/>
            </w:tcMar>
            <w:vAlign w:val="center"/>
          </w:tcPr>
          <w:p>
            <w:pPr>
              <w:spacing w:before="0" w:after="0" w:line="269" w:lineRule="auto"/>
              <w:jc w:val="center"/>
            </w:pPr>
            <w:r/>
          </w:p>
        </w:tc>
      </w:tr>
      <w:tr>
        <w:trPr>
          <w:cantSplit w:val="true"/>
        </w:trPr>
        <w:tc>
          <w:tcPr>
            <w:tcW w:type="dxa" w:w="2358"/>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Retrieval adapter/API</w:t>
            </w:r>
          </w:p>
        </w:tc>
        <w:tc>
          <w:tcPr>
            <w:tcW w:type="dxa" w:w="1750"/>
            <w:tcMar>
              <w:top w:w="80" w:type="dxa"/>
              <w:bottom w:w="80" w:type="dxa"/>
              <w:start w:w="120" w:type="dxa"/>
              <w:end w:w="120" w:type="dxa"/>
            </w:tcMar>
            <w:vAlign w:val="center"/>
          </w:tcPr>
          <w:p>
            <w:pPr>
              <w:spacing w:before="0" w:after="0" w:line="269" w:lineRule="auto"/>
              <w:jc w:val="center"/>
            </w:pPr>
            <w:r/>
            <w:r>
              <w:rPr>
                <w:rFonts w:ascii="Calibri" w:hAnsi="Calibri"/>
                <w:color w:val="222222"/>
                <w:sz w:val="16"/>
              </w:rPr>
              <w:t>[ ]</w:t>
            </w:r>
          </w:p>
        </w:tc>
        <w:tc>
          <w:tcPr>
            <w:tcW w:type="dxa" w:w="1264"/>
            <w:tcMar>
              <w:top w:w="80" w:type="dxa"/>
              <w:bottom w:w="80" w:type="dxa"/>
              <w:start w:w="120" w:type="dxa"/>
              <w:end w:w="120" w:type="dxa"/>
            </w:tcMar>
            <w:vAlign w:val="center"/>
          </w:tcPr>
          <w:p>
            <w:pPr>
              <w:spacing w:before="0" w:after="0" w:line="269" w:lineRule="auto"/>
              <w:jc w:val="center"/>
            </w:pPr>
            <w:r/>
            <w:r>
              <w:rPr>
                <w:rFonts w:ascii="Calibri" w:hAnsi="Calibri"/>
                <w:color w:val="222222"/>
                <w:sz w:val="16"/>
              </w:rPr>
              <w:t>[ ]</w:t>
            </w:r>
          </w:p>
        </w:tc>
        <w:tc>
          <w:tcPr>
            <w:tcW w:type="dxa" w:w="1750"/>
            <w:tcMar>
              <w:top w:w="80" w:type="dxa"/>
              <w:bottom w:w="80" w:type="dxa"/>
              <w:start w:w="120" w:type="dxa"/>
              <w:end w:w="120" w:type="dxa"/>
            </w:tcMar>
            <w:vAlign w:val="center"/>
          </w:tcPr>
          <w:p>
            <w:pPr>
              <w:spacing w:before="0" w:after="0" w:line="269" w:lineRule="auto"/>
              <w:jc w:val="center"/>
            </w:pPr>
            <w:r/>
            <w:r>
              <w:rPr>
                <w:rFonts w:ascii="Calibri" w:hAnsi="Calibri"/>
                <w:color w:val="222222"/>
                <w:sz w:val="16"/>
              </w:rPr>
              <w:t>[ ]</w:t>
            </w:r>
          </w:p>
        </w:tc>
        <w:tc>
          <w:tcPr>
            <w:tcW w:type="dxa" w:w="2238"/>
            <w:tcMar>
              <w:top w:w="80" w:type="dxa"/>
              <w:bottom w:w="80" w:type="dxa"/>
              <w:start w:w="120" w:type="dxa"/>
              <w:end w:w="120" w:type="dxa"/>
            </w:tcMar>
            <w:vAlign w:val="center"/>
          </w:tcPr>
          <w:p>
            <w:pPr>
              <w:spacing w:before="0" w:after="0" w:line="269" w:lineRule="auto"/>
              <w:jc w:val="center"/>
            </w:pPr>
            <w:r/>
          </w:p>
        </w:tc>
      </w:tr>
      <w:tr>
        <w:trPr>
          <w:cantSplit w:val="true"/>
        </w:trPr>
        <w:tc>
          <w:tcPr>
            <w:tcW w:type="dxa" w:w="2358"/>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Authentication handling</w:t>
            </w:r>
          </w:p>
        </w:tc>
        <w:tc>
          <w:tcPr>
            <w:tcW w:type="dxa" w:w="1750"/>
            <w:tcMar>
              <w:top w:w="80" w:type="dxa"/>
              <w:bottom w:w="80" w:type="dxa"/>
              <w:start w:w="120" w:type="dxa"/>
              <w:end w:w="120" w:type="dxa"/>
            </w:tcMar>
            <w:vAlign w:val="center"/>
          </w:tcPr>
          <w:p>
            <w:pPr>
              <w:spacing w:before="0" w:after="0" w:line="269" w:lineRule="auto"/>
              <w:jc w:val="center"/>
            </w:pPr>
            <w:r/>
            <w:r>
              <w:rPr>
                <w:rFonts w:ascii="Calibri" w:hAnsi="Calibri"/>
                <w:color w:val="222222"/>
                <w:sz w:val="16"/>
              </w:rPr>
              <w:t>[ ]</w:t>
            </w:r>
          </w:p>
        </w:tc>
        <w:tc>
          <w:tcPr>
            <w:tcW w:type="dxa" w:w="1264"/>
            <w:tcMar>
              <w:top w:w="80" w:type="dxa"/>
              <w:bottom w:w="80" w:type="dxa"/>
              <w:start w:w="120" w:type="dxa"/>
              <w:end w:w="120" w:type="dxa"/>
            </w:tcMar>
            <w:vAlign w:val="center"/>
          </w:tcPr>
          <w:p>
            <w:pPr>
              <w:spacing w:before="0" w:after="0" w:line="269" w:lineRule="auto"/>
              <w:jc w:val="center"/>
            </w:pPr>
            <w:r/>
            <w:r>
              <w:rPr>
                <w:rFonts w:ascii="Calibri" w:hAnsi="Calibri"/>
                <w:color w:val="222222"/>
                <w:sz w:val="16"/>
              </w:rPr>
              <w:t>[ ]</w:t>
            </w:r>
          </w:p>
        </w:tc>
        <w:tc>
          <w:tcPr>
            <w:tcW w:type="dxa" w:w="1750"/>
            <w:tcMar>
              <w:top w:w="80" w:type="dxa"/>
              <w:bottom w:w="80" w:type="dxa"/>
              <w:start w:w="120" w:type="dxa"/>
              <w:end w:w="120" w:type="dxa"/>
            </w:tcMar>
            <w:vAlign w:val="center"/>
          </w:tcPr>
          <w:p>
            <w:pPr>
              <w:spacing w:before="0" w:after="0" w:line="269" w:lineRule="auto"/>
              <w:jc w:val="center"/>
            </w:pPr>
            <w:r/>
            <w:r>
              <w:rPr>
                <w:rFonts w:ascii="Calibri" w:hAnsi="Calibri"/>
                <w:color w:val="222222"/>
                <w:sz w:val="16"/>
              </w:rPr>
              <w:t>[ ]</w:t>
            </w:r>
          </w:p>
        </w:tc>
        <w:tc>
          <w:tcPr>
            <w:tcW w:type="dxa" w:w="2238"/>
            <w:tcMar>
              <w:top w:w="80" w:type="dxa"/>
              <w:bottom w:w="80" w:type="dxa"/>
              <w:start w:w="120" w:type="dxa"/>
              <w:end w:w="120" w:type="dxa"/>
            </w:tcMar>
            <w:vAlign w:val="center"/>
          </w:tcPr>
          <w:p>
            <w:pPr>
              <w:spacing w:before="0" w:after="0" w:line="269" w:lineRule="auto"/>
              <w:jc w:val="center"/>
            </w:pPr>
            <w:r/>
          </w:p>
        </w:tc>
      </w:tr>
      <w:tr>
        <w:trPr>
          <w:cantSplit w:val="true"/>
        </w:trPr>
        <w:tc>
          <w:tcPr>
            <w:tcW w:type="dxa" w:w="2358"/>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Local public cache</w:t>
            </w:r>
          </w:p>
        </w:tc>
        <w:tc>
          <w:tcPr>
            <w:tcW w:type="dxa" w:w="1750"/>
            <w:tcMar>
              <w:top w:w="80" w:type="dxa"/>
              <w:bottom w:w="80" w:type="dxa"/>
              <w:start w:w="120" w:type="dxa"/>
              <w:end w:w="120" w:type="dxa"/>
            </w:tcMar>
            <w:vAlign w:val="center"/>
          </w:tcPr>
          <w:p>
            <w:pPr>
              <w:spacing w:before="0" w:after="0" w:line="269" w:lineRule="auto"/>
              <w:jc w:val="center"/>
            </w:pPr>
            <w:r/>
            <w:r>
              <w:rPr>
                <w:rFonts w:ascii="Calibri" w:hAnsi="Calibri"/>
                <w:color w:val="222222"/>
                <w:sz w:val="16"/>
              </w:rPr>
              <w:t>[ ]</w:t>
            </w:r>
          </w:p>
        </w:tc>
        <w:tc>
          <w:tcPr>
            <w:tcW w:type="dxa" w:w="1264"/>
            <w:tcMar>
              <w:top w:w="80" w:type="dxa"/>
              <w:bottom w:w="80" w:type="dxa"/>
              <w:start w:w="120" w:type="dxa"/>
              <w:end w:w="120" w:type="dxa"/>
            </w:tcMar>
            <w:vAlign w:val="center"/>
          </w:tcPr>
          <w:p>
            <w:pPr>
              <w:spacing w:before="0" w:after="0" w:line="269" w:lineRule="auto"/>
              <w:jc w:val="center"/>
            </w:pPr>
            <w:r/>
            <w:r>
              <w:rPr>
                <w:rFonts w:ascii="Calibri" w:hAnsi="Calibri"/>
                <w:color w:val="222222"/>
                <w:sz w:val="16"/>
              </w:rPr>
              <w:t>[ ]</w:t>
            </w:r>
          </w:p>
        </w:tc>
        <w:tc>
          <w:tcPr>
            <w:tcW w:type="dxa" w:w="1750"/>
            <w:tcMar>
              <w:top w:w="80" w:type="dxa"/>
              <w:bottom w:w="80" w:type="dxa"/>
              <w:start w:w="120" w:type="dxa"/>
              <w:end w:w="120" w:type="dxa"/>
            </w:tcMar>
            <w:vAlign w:val="center"/>
          </w:tcPr>
          <w:p>
            <w:pPr>
              <w:spacing w:before="0" w:after="0" w:line="269" w:lineRule="auto"/>
              <w:jc w:val="center"/>
            </w:pPr>
            <w:r/>
            <w:r>
              <w:rPr>
                <w:rFonts w:ascii="Calibri" w:hAnsi="Calibri"/>
                <w:color w:val="222222"/>
                <w:sz w:val="16"/>
              </w:rPr>
              <w:t>[ ]</w:t>
            </w:r>
          </w:p>
        </w:tc>
        <w:tc>
          <w:tcPr>
            <w:tcW w:type="dxa" w:w="2238"/>
            <w:tcMar>
              <w:top w:w="80" w:type="dxa"/>
              <w:bottom w:w="80" w:type="dxa"/>
              <w:start w:w="120" w:type="dxa"/>
              <w:end w:w="120" w:type="dxa"/>
            </w:tcMar>
            <w:vAlign w:val="center"/>
          </w:tcPr>
          <w:p>
            <w:pPr>
              <w:spacing w:before="0" w:after="0" w:line="269" w:lineRule="auto"/>
              <w:jc w:val="center"/>
            </w:pPr>
            <w:r/>
          </w:p>
        </w:tc>
      </w:tr>
      <w:tr>
        <w:trPr>
          <w:cantSplit w:val="true"/>
        </w:trPr>
        <w:tc>
          <w:tcPr>
            <w:tcW w:type="dxa" w:w="2358"/>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Provenance manifest</w:t>
            </w:r>
          </w:p>
        </w:tc>
        <w:tc>
          <w:tcPr>
            <w:tcW w:type="dxa" w:w="1750"/>
            <w:tcMar>
              <w:top w:w="80" w:type="dxa"/>
              <w:bottom w:w="80" w:type="dxa"/>
              <w:start w:w="120" w:type="dxa"/>
              <w:end w:w="120" w:type="dxa"/>
            </w:tcMar>
            <w:vAlign w:val="center"/>
          </w:tcPr>
          <w:p>
            <w:pPr>
              <w:spacing w:before="0" w:after="0" w:line="269" w:lineRule="auto"/>
              <w:jc w:val="center"/>
            </w:pPr>
            <w:r/>
            <w:r>
              <w:rPr>
                <w:rFonts w:ascii="Calibri" w:hAnsi="Calibri"/>
                <w:color w:val="222222"/>
                <w:sz w:val="16"/>
              </w:rPr>
              <w:t>[ ]</w:t>
            </w:r>
          </w:p>
        </w:tc>
        <w:tc>
          <w:tcPr>
            <w:tcW w:type="dxa" w:w="1264"/>
            <w:tcMar>
              <w:top w:w="80" w:type="dxa"/>
              <w:bottom w:w="80" w:type="dxa"/>
              <w:start w:w="120" w:type="dxa"/>
              <w:end w:w="120" w:type="dxa"/>
            </w:tcMar>
            <w:vAlign w:val="center"/>
          </w:tcPr>
          <w:p>
            <w:pPr>
              <w:spacing w:before="0" w:after="0" w:line="269" w:lineRule="auto"/>
              <w:jc w:val="center"/>
            </w:pPr>
            <w:r/>
            <w:r>
              <w:rPr>
                <w:rFonts w:ascii="Calibri" w:hAnsi="Calibri"/>
                <w:color w:val="222222"/>
                <w:sz w:val="16"/>
              </w:rPr>
              <w:t>[ ]</w:t>
            </w:r>
          </w:p>
        </w:tc>
        <w:tc>
          <w:tcPr>
            <w:tcW w:type="dxa" w:w="1750"/>
            <w:tcMar>
              <w:top w:w="80" w:type="dxa"/>
              <w:bottom w:w="80" w:type="dxa"/>
              <w:start w:w="120" w:type="dxa"/>
              <w:end w:w="120" w:type="dxa"/>
            </w:tcMar>
            <w:vAlign w:val="center"/>
          </w:tcPr>
          <w:p>
            <w:pPr>
              <w:spacing w:before="0" w:after="0" w:line="269" w:lineRule="auto"/>
              <w:jc w:val="center"/>
            </w:pPr>
            <w:r/>
            <w:r>
              <w:rPr>
                <w:rFonts w:ascii="Calibri" w:hAnsi="Calibri"/>
                <w:color w:val="222222"/>
                <w:sz w:val="16"/>
              </w:rPr>
              <w:t>[ ]</w:t>
            </w:r>
          </w:p>
        </w:tc>
        <w:tc>
          <w:tcPr>
            <w:tcW w:type="dxa" w:w="2238"/>
            <w:tcMar>
              <w:top w:w="80" w:type="dxa"/>
              <w:bottom w:w="80" w:type="dxa"/>
              <w:start w:w="120" w:type="dxa"/>
              <w:end w:w="120" w:type="dxa"/>
            </w:tcMar>
            <w:vAlign w:val="center"/>
          </w:tcPr>
          <w:p>
            <w:pPr>
              <w:spacing w:before="0" w:after="0" w:line="269" w:lineRule="auto"/>
              <w:jc w:val="center"/>
            </w:pPr>
            <w:r/>
          </w:p>
        </w:tc>
      </w:tr>
      <w:tr>
        <w:trPr>
          <w:cantSplit w:val="true"/>
        </w:trPr>
        <w:tc>
          <w:tcPr>
            <w:tcW w:type="dxa" w:w="2358"/>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Specimen/time crosswalk</w:t>
            </w:r>
          </w:p>
        </w:tc>
        <w:tc>
          <w:tcPr>
            <w:tcW w:type="dxa" w:w="1750"/>
            <w:tcMar>
              <w:top w:w="80" w:type="dxa"/>
              <w:bottom w:w="80" w:type="dxa"/>
              <w:start w:w="120" w:type="dxa"/>
              <w:end w:w="120" w:type="dxa"/>
            </w:tcMar>
            <w:vAlign w:val="center"/>
          </w:tcPr>
          <w:p>
            <w:pPr>
              <w:spacing w:before="0" w:after="0" w:line="269" w:lineRule="auto"/>
              <w:jc w:val="center"/>
            </w:pPr>
            <w:r/>
            <w:r>
              <w:rPr>
                <w:rFonts w:ascii="Calibri" w:hAnsi="Calibri"/>
                <w:color w:val="222222"/>
                <w:sz w:val="16"/>
              </w:rPr>
              <w:t>[ ]</w:t>
            </w:r>
          </w:p>
        </w:tc>
        <w:tc>
          <w:tcPr>
            <w:tcW w:type="dxa" w:w="1264"/>
            <w:tcMar>
              <w:top w:w="80" w:type="dxa"/>
              <w:bottom w:w="80" w:type="dxa"/>
              <w:start w:w="120" w:type="dxa"/>
              <w:end w:w="120" w:type="dxa"/>
            </w:tcMar>
            <w:vAlign w:val="center"/>
          </w:tcPr>
          <w:p>
            <w:pPr>
              <w:spacing w:before="0" w:after="0" w:line="269" w:lineRule="auto"/>
              <w:jc w:val="center"/>
            </w:pPr>
            <w:r/>
            <w:r>
              <w:rPr>
                <w:rFonts w:ascii="Calibri" w:hAnsi="Calibri"/>
                <w:color w:val="222222"/>
                <w:sz w:val="16"/>
              </w:rPr>
              <w:t>[ ]</w:t>
            </w:r>
          </w:p>
        </w:tc>
        <w:tc>
          <w:tcPr>
            <w:tcW w:type="dxa" w:w="1750"/>
            <w:tcMar>
              <w:top w:w="80" w:type="dxa"/>
              <w:bottom w:w="80" w:type="dxa"/>
              <w:start w:w="120" w:type="dxa"/>
              <w:end w:w="120" w:type="dxa"/>
            </w:tcMar>
            <w:vAlign w:val="center"/>
          </w:tcPr>
          <w:p>
            <w:pPr>
              <w:spacing w:before="0" w:after="0" w:line="269" w:lineRule="auto"/>
              <w:jc w:val="center"/>
            </w:pPr>
            <w:r/>
            <w:r>
              <w:rPr>
                <w:rFonts w:ascii="Calibri" w:hAnsi="Calibri"/>
                <w:color w:val="222222"/>
                <w:sz w:val="16"/>
              </w:rPr>
              <w:t>[ ]</w:t>
            </w:r>
          </w:p>
        </w:tc>
        <w:tc>
          <w:tcPr>
            <w:tcW w:type="dxa" w:w="2238"/>
            <w:tcMar>
              <w:top w:w="80" w:type="dxa"/>
              <w:bottom w:w="80" w:type="dxa"/>
              <w:start w:w="120" w:type="dxa"/>
              <w:end w:w="120" w:type="dxa"/>
            </w:tcMar>
            <w:vAlign w:val="center"/>
          </w:tcPr>
          <w:p>
            <w:pPr>
              <w:spacing w:before="0" w:after="0" w:line="269" w:lineRule="auto"/>
              <w:jc w:val="center"/>
            </w:pPr>
            <w:r/>
          </w:p>
        </w:tc>
      </w:tr>
      <w:tr>
        <w:trPr>
          <w:cantSplit w:val="true"/>
        </w:trPr>
        <w:tc>
          <w:tcPr>
            <w:tcW w:type="dxa" w:w="2358"/>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RefMet mapping</w:t>
            </w:r>
          </w:p>
        </w:tc>
        <w:tc>
          <w:tcPr>
            <w:tcW w:type="dxa" w:w="1750"/>
            <w:tcMar>
              <w:top w:w="80" w:type="dxa"/>
              <w:bottom w:w="80" w:type="dxa"/>
              <w:start w:w="120" w:type="dxa"/>
              <w:end w:w="120" w:type="dxa"/>
            </w:tcMar>
            <w:vAlign w:val="center"/>
          </w:tcPr>
          <w:p>
            <w:pPr>
              <w:spacing w:before="0" w:after="0" w:line="269" w:lineRule="auto"/>
              <w:jc w:val="center"/>
            </w:pPr>
            <w:r/>
            <w:r>
              <w:rPr>
                <w:rFonts w:ascii="Calibri" w:hAnsi="Calibri"/>
                <w:color w:val="222222"/>
                <w:sz w:val="16"/>
              </w:rPr>
              <w:t>[ ]</w:t>
            </w:r>
          </w:p>
        </w:tc>
        <w:tc>
          <w:tcPr>
            <w:tcW w:type="dxa" w:w="1264"/>
            <w:tcMar>
              <w:top w:w="80" w:type="dxa"/>
              <w:bottom w:w="80" w:type="dxa"/>
              <w:start w:w="120" w:type="dxa"/>
              <w:end w:w="120" w:type="dxa"/>
            </w:tcMar>
            <w:vAlign w:val="center"/>
          </w:tcPr>
          <w:p>
            <w:pPr>
              <w:spacing w:before="0" w:after="0" w:line="269" w:lineRule="auto"/>
              <w:jc w:val="center"/>
            </w:pPr>
            <w:r/>
            <w:r>
              <w:rPr>
                <w:rFonts w:ascii="Calibri" w:hAnsi="Calibri"/>
                <w:color w:val="222222"/>
                <w:sz w:val="16"/>
              </w:rPr>
              <w:t>[ ]</w:t>
            </w:r>
          </w:p>
        </w:tc>
        <w:tc>
          <w:tcPr>
            <w:tcW w:type="dxa" w:w="1750"/>
            <w:tcMar>
              <w:top w:w="80" w:type="dxa"/>
              <w:bottom w:w="80" w:type="dxa"/>
              <w:start w:w="120" w:type="dxa"/>
              <w:end w:w="120" w:type="dxa"/>
            </w:tcMar>
            <w:vAlign w:val="center"/>
          </w:tcPr>
          <w:p>
            <w:pPr>
              <w:spacing w:before="0" w:after="0" w:line="269" w:lineRule="auto"/>
              <w:jc w:val="center"/>
            </w:pPr>
            <w:r/>
            <w:r>
              <w:rPr>
                <w:rFonts w:ascii="Calibri" w:hAnsi="Calibri"/>
                <w:color w:val="222222"/>
                <w:sz w:val="16"/>
              </w:rPr>
              <w:t>[ ]</w:t>
            </w:r>
          </w:p>
        </w:tc>
        <w:tc>
          <w:tcPr>
            <w:tcW w:type="dxa" w:w="2238"/>
            <w:tcMar>
              <w:top w:w="80" w:type="dxa"/>
              <w:bottom w:w="80" w:type="dxa"/>
              <w:start w:w="120" w:type="dxa"/>
              <w:end w:w="120" w:type="dxa"/>
            </w:tcMar>
            <w:vAlign w:val="center"/>
          </w:tcPr>
          <w:p>
            <w:pPr>
              <w:spacing w:before="0" w:after="0" w:line="269" w:lineRule="auto"/>
              <w:jc w:val="center"/>
            </w:pPr>
            <w:r/>
          </w:p>
        </w:tc>
      </w:tr>
      <w:tr>
        <w:trPr>
          <w:cantSplit w:val="true"/>
        </w:trPr>
        <w:tc>
          <w:tcPr>
            <w:tcW w:type="dxa" w:w="2358"/>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QC/sample-role logic</w:t>
            </w:r>
          </w:p>
        </w:tc>
        <w:tc>
          <w:tcPr>
            <w:tcW w:type="dxa" w:w="1750"/>
            <w:tcMar>
              <w:top w:w="80" w:type="dxa"/>
              <w:bottom w:w="80" w:type="dxa"/>
              <w:start w:w="120" w:type="dxa"/>
              <w:end w:w="120" w:type="dxa"/>
            </w:tcMar>
            <w:vAlign w:val="center"/>
          </w:tcPr>
          <w:p>
            <w:pPr>
              <w:spacing w:before="0" w:after="0" w:line="269" w:lineRule="auto"/>
              <w:jc w:val="center"/>
            </w:pPr>
            <w:r/>
            <w:r>
              <w:rPr>
                <w:rFonts w:ascii="Calibri" w:hAnsi="Calibri"/>
                <w:color w:val="222222"/>
                <w:sz w:val="16"/>
              </w:rPr>
              <w:t>[ ]</w:t>
            </w:r>
          </w:p>
        </w:tc>
        <w:tc>
          <w:tcPr>
            <w:tcW w:type="dxa" w:w="1264"/>
            <w:tcMar>
              <w:top w:w="80" w:type="dxa"/>
              <w:bottom w:w="80" w:type="dxa"/>
              <w:start w:w="120" w:type="dxa"/>
              <w:end w:w="120" w:type="dxa"/>
            </w:tcMar>
            <w:vAlign w:val="center"/>
          </w:tcPr>
          <w:p>
            <w:pPr>
              <w:spacing w:before="0" w:after="0" w:line="269" w:lineRule="auto"/>
              <w:jc w:val="center"/>
            </w:pPr>
            <w:r/>
            <w:r>
              <w:rPr>
                <w:rFonts w:ascii="Calibri" w:hAnsi="Calibri"/>
                <w:color w:val="222222"/>
                <w:sz w:val="16"/>
              </w:rPr>
              <w:t>[ ]</w:t>
            </w:r>
          </w:p>
        </w:tc>
        <w:tc>
          <w:tcPr>
            <w:tcW w:type="dxa" w:w="1750"/>
            <w:tcMar>
              <w:top w:w="80" w:type="dxa"/>
              <w:bottom w:w="80" w:type="dxa"/>
              <w:start w:w="120" w:type="dxa"/>
              <w:end w:w="120" w:type="dxa"/>
            </w:tcMar>
            <w:vAlign w:val="center"/>
          </w:tcPr>
          <w:p>
            <w:pPr>
              <w:spacing w:before="0" w:after="0" w:line="269" w:lineRule="auto"/>
              <w:jc w:val="center"/>
            </w:pPr>
            <w:r/>
            <w:r>
              <w:rPr>
                <w:rFonts w:ascii="Calibri" w:hAnsi="Calibri"/>
                <w:color w:val="222222"/>
                <w:sz w:val="16"/>
              </w:rPr>
              <w:t>[ ]</w:t>
            </w:r>
          </w:p>
        </w:tc>
        <w:tc>
          <w:tcPr>
            <w:tcW w:type="dxa" w:w="2238"/>
            <w:tcMar>
              <w:top w:w="80" w:type="dxa"/>
              <w:bottom w:w="80" w:type="dxa"/>
              <w:start w:w="120" w:type="dxa"/>
              <w:end w:w="120" w:type="dxa"/>
            </w:tcMar>
            <w:vAlign w:val="center"/>
          </w:tcPr>
          <w:p>
            <w:pPr>
              <w:spacing w:before="0" w:after="0" w:line="269" w:lineRule="auto"/>
              <w:jc w:val="center"/>
            </w:pPr>
            <w:r/>
          </w:p>
        </w:tc>
      </w:tr>
      <w:tr>
        <w:trPr>
          <w:cantSplit w:val="true"/>
        </w:trPr>
        <w:tc>
          <w:tcPr>
            <w:tcW w:type="dxa" w:w="2358"/>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Within-study analysis</w:t>
            </w:r>
          </w:p>
        </w:tc>
        <w:tc>
          <w:tcPr>
            <w:tcW w:type="dxa" w:w="1750"/>
            <w:tcMar>
              <w:top w:w="80" w:type="dxa"/>
              <w:bottom w:w="80" w:type="dxa"/>
              <w:start w:w="120" w:type="dxa"/>
              <w:end w:w="120" w:type="dxa"/>
            </w:tcMar>
            <w:vAlign w:val="center"/>
          </w:tcPr>
          <w:p>
            <w:pPr>
              <w:spacing w:before="0" w:after="0" w:line="269" w:lineRule="auto"/>
              <w:jc w:val="center"/>
            </w:pPr>
            <w:r/>
            <w:r>
              <w:rPr>
                <w:rFonts w:ascii="Calibri" w:hAnsi="Calibri"/>
                <w:color w:val="222222"/>
                <w:sz w:val="16"/>
              </w:rPr>
              <w:t>[ ]</w:t>
            </w:r>
          </w:p>
        </w:tc>
        <w:tc>
          <w:tcPr>
            <w:tcW w:type="dxa" w:w="1264"/>
            <w:tcMar>
              <w:top w:w="80" w:type="dxa"/>
              <w:bottom w:w="80" w:type="dxa"/>
              <w:start w:w="120" w:type="dxa"/>
              <w:end w:w="120" w:type="dxa"/>
            </w:tcMar>
            <w:vAlign w:val="center"/>
          </w:tcPr>
          <w:p>
            <w:pPr>
              <w:spacing w:before="0" w:after="0" w:line="269" w:lineRule="auto"/>
              <w:jc w:val="center"/>
            </w:pPr>
            <w:r/>
            <w:r>
              <w:rPr>
                <w:rFonts w:ascii="Calibri" w:hAnsi="Calibri"/>
                <w:color w:val="222222"/>
                <w:sz w:val="16"/>
              </w:rPr>
              <w:t>[ ]</w:t>
            </w:r>
          </w:p>
        </w:tc>
        <w:tc>
          <w:tcPr>
            <w:tcW w:type="dxa" w:w="1750"/>
            <w:tcMar>
              <w:top w:w="80" w:type="dxa"/>
              <w:bottom w:w="80" w:type="dxa"/>
              <w:start w:w="120" w:type="dxa"/>
              <w:end w:w="120" w:type="dxa"/>
            </w:tcMar>
            <w:vAlign w:val="center"/>
          </w:tcPr>
          <w:p>
            <w:pPr>
              <w:spacing w:before="0" w:after="0" w:line="269" w:lineRule="auto"/>
              <w:jc w:val="center"/>
            </w:pPr>
            <w:r/>
            <w:r>
              <w:rPr>
                <w:rFonts w:ascii="Calibri" w:hAnsi="Calibri"/>
                <w:color w:val="222222"/>
                <w:sz w:val="16"/>
              </w:rPr>
              <w:t>[ ]</w:t>
            </w:r>
          </w:p>
        </w:tc>
        <w:tc>
          <w:tcPr>
            <w:tcW w:type="dxa" w:w="2238"/>
            <w:tcMar>
              <w:top w:w="80" w:type="dxa"/>
              <w:bottom w:w="80" w:type="dxa"/>
              <w:start w:w="120" w:type="dxa"/>
              <w:end w:w="120" w:type="dxa"/>
            </w:tcMar>
            <w:vAlign w:val="center"/>
          </w:tcPr>
          <w:p>
            <w:pPr>
              <w:spacing w:before="0" w:after="0" w:line="269" w:lineRule="auto"/>
              <w:jc w:val="center"/>
            </w:pPr>
            <w:r/>
          </w:p>
        </w:tc>
      </w:tr>
      <w:tr>
        <w:trPr>
          <w:cantSplit w:val="true"/>
        </w:trPr>
        <w:tc>
          <w:tcPr>
            <w:tcW w:type="dxa" w:w="2358"/>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Cross-resource join</w:t>
            </w:r>
          </w:p>
        </w:tc>
        <w:tc>
          <w:tcPr>
            <w:tcW w:type="dxa" w:w="1750"/>
            <w:tcMar>
              <w:top w:w="80" w:type="dxa"/>
              <w:bottom w:w="80" w:type="dxa"/>
              <w:start w:w="120" w:type="dxa"/>
              <w:end w:w="120" w:type="dxa"/>
            </w:tcMar>
            <w:vAlign w:val="center"/>
          </w:tcPr>
          <w:p>
            <w:pPr>
              <w:spacing w:before="0" w:after="0" w:line="269" w:lineRule="auto"/>
              <w:jc w:val="center"/>
            </w:pPr>
            <w:r/>
            <w:r>
              <w:rPr>
                <w:rFonts w:ascii="Calibri" w:hAnsi="Calibri"/>
                <w:color w:val="222222"/>
                <w:sz w:val="16"/>
              </w:rPr>
              <w:t>[ ]</w:t>
            </w:r>
          </w:p>
        </w:tc>
        <w:tc>
          <w:tcPr>
            <w:tcW w:type="dxa" w:w="1264"/>
            <w:tcMar>
              <w:top w:w="80" w:type="dxa"/>
              <w:bottom w:w="80" w:type="dxa"/>
              <w:start w:w="120" w:type="dxa"/>
              <w:end w:w="120" w:type="dxa"/>
            </w:tcMar>
            <w:vAlign w:val="center"/>
          </w:tcPr>
          <w:p>
            <w:pPr>
              <w:spacing w:before="0" w:after="0" w:line="269" w:lineRule="auto"/>
              <w:jc w:val="center"/>
            </w:pPr>
            <w:r/>
            <w:r>
              <w:rPr>
                <w:rFonts w:ascii="Calibri" w:hAnsi="Calibri"/>
                <w:color w:val="222222"/>
                <w:sz w:val="16"/>
              </w:rPr>
              <w:t>[ ]</w:t>
            </w:r>
          </w:p>
        </w:tc>
        <w:tc>
          <w:tcPr>
            <w:tcW w:type="dxa" w:w="1750"/>
            <w:tcMar>
              <w:top w:w="80" w:type="dxa"/>
              <w:bottom w:w="80" w:type="dxa"/>
              <w:start w:w="120" w:type="dxa"/>
              <w:end w:w="120" w:type="dxa"/>
            </w:tcMar>
            <w:vAlign w:val="center"/>
          </w:tcPr>
          <w:p>
            <w:pPr>
              <w:spacing w:before="0" w:after="0" w:line="269" w:lineRule="auto"/>
              <w:jc w:val="center"/>
            </w:pPr>
            <w:r/>
            <w:r>
              <w:rPr>
                <w:rFonts w:ascii="Calibri" w:hAnsi="Calibri"/>
                <w:color w:val="222222"/>
                <w:sz w:val="16"/>
              </w:rPr>
              <w:t>[ ]</w:t>
            </w:r>
          </w:p>
        </w:tc>
        <w:tc>
          <w:tcPr>
            <w:tcW w:type="dxa" w:w="2238"/>
            <w:tcMar>
              <w:top w:w="80" w:type="dxa"/>
              <w:bottom w:w="80" w:type="dxa"/>
              <w:start w:w="120" w:type="dxa"/>
              <w:end w:w="120" w:type="dxa"/>
            </w:tcMar>
            <w:vAlign w:val="center"/>
          </w:tcPr>
          <w:p>
            <w:pPr>
              <w:spacing w:before="0" w:after="0" w:line="269" w:lineRule="auto"/>
              <w:jc w:val="center"/>
            </w:pPr>
            <w:r/>
          </w:p>
        </w:tc>
      </w:tr>
      <w:tr>
        <w:trPr>
          <w:cantSplit w:val="true"/>
        </w:trPr>
        <w:tc>
          <w:tcPr>
            <w:tcW w:type="dxa" w:w="2358"/>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Output disclosure review</w:t>
            </w:r>
          </w:p>
        </w:tc>
        <w:tc>
          <w:tcPr>
            <w:tcW w:type="dxa" w:w="1750"/>
            <w:tcMar>
              <w:top w:w="80" w:type="dxa"/>
              <w:bottom w:w="80" w:type="dxa"/>
              <w:start w:w="120" w:type="dxa"/>
              <w:end w:w="120" w:type="dxa"/>
            </w:tcMar>
            <w:vAlign w:val="center"/>
          </w:tcPr>
          <w:p>
            <w:pPr>
              <w:spacing w:before="0" w:after="0" w:line="269" w:lineRule="auto"/>
              <w:jc w:val="center"/>
            </w:pPr>
            <w:r/>
            <w:r>
              <w:rPr>
                <w:rFonts w:ascii="Calibri" w:hAnsi="Calibri"/>
                <w:color w:val="222222"/>
                <w:sz w:val="16"/>
              </w:rPr>
              <w:t>[ ]</w:t>
            </w:r>
          </w:p>
        </w:tc>
        <w:tc>
          <w:tcPr>
            <w:tcW w:type="dxa" w:w="1264"/>
            <w:tcMar>
              <w:top w:w="80" w:type="dxa"/>
              <w:bottom w:w="80" w:type="dxa"/>
              <w:start w:w="120" w:type="dxa"/>
              <w:end w:w="120" w:type="dxa"/>
            </w:tcMar>
            <w:vAlign w:val="center"/>
          </w:tcPr>
          <w:p>
            <w:pPr>
              <w:spacing w:before="0" w:after="0" w:line="269" w:lineRule="auto"/>
              <w:jc w:val="center"/>
            </w:pPr>
            <w:r/>
            <w:r>
              <w:rPr>
                <w:rFonts w:ascii="Calibri" w:hAnsi="Calibri"/>
                <w:color w:val="222222"/>
                <w:sz w:val="16"/>
              </w:rPr>
              <w:t>[ ]</w:t>
            </w:r>
          </w:p>
        </w:tc>
        <w:tc>
          <w:tcPr>
            <w:tcW w:type="dxa" w:w="1750"/>
            <w:tcMar>
              <w:top w:w="80" w:type="dxa"/>
              <w:bottom w:w="80" w:type="dxa"/>
              <w:start w:w="120" w:type="dxa"/>
              <w:end w:w="120" w:type="dxa"/>
            </w:tcMar>
            <w:vAlign w:val="center"/>
          </w:tcPr>
          <w:p>
            <w:pPr>
              <w:spacing w:before="0" w:after="0" w:line="269" w:lineRule="auto"/>
              <w:jc w:val="center"/>
            </w:pPr>
            <w:r/>
            <w:r>
              <w:rPr>
                <w:rFonts w:ascii="Calibri" w:hAnsi="Calibri"/>
                <w:color w:val="222222"/>
                <w:sz w:val="16"/>
              </w:rPr>
              <w:t>[ ]</w:t>
            </w:r>
          </w:p>
        </w:tc>
        <w:tc>
          <w:tcPr>
            <w:tcW w:type="dxa" w:w="2238"/>
            <w:tcMar>
              <w:top w:w="80" w:type="dxa"/>
              <w:bottom w:w="80" w:type="dxa"/>
              <w:start w:w="120" w:type="dxa"/>
              <w:end w:w="120" w:type="dxa"/>
            </w:tcMar>
            <w:vAlign w:val="center"/>
          </w:tcPr>
          <w:p>
            <w:pPr>
              <w:spacing w:before="0" w:after="0" w:line="269" w:lineRule="auto"/>
              <w:jc w:val="center"/>
            </w:pPr>
            <w:r/>
          </w:p>
        </w:tc>
      </w:tr>
      <w:tr>
        <w:trPr>
          <w:cantSplit w:val="true"/>
        </w:trPr>
        <w:tc>
          <w:tcPr>
            <w:tcW w:type="dxa" w:w="2358"/>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Collaboration/sharing</w:t>
            </w:r>
          </w:p>
        </w:tc>
        <w:tc>
          <w:tcPr>
            <w:tcW w:type="dxa" w:w="1750"/>
            <w:tcMar>
              <w:top w:w="80" w:type="dxa"/>
              <w:bottom w:w="80" w:type="dxa"/>
              <w:start w:w="120" w:type="dxa"/>
              <w:end w:w="120" w:type="dxa"/>
            </w:tcMar>
            <w:vAlign w:val="center"/>
          </w:tcPr>
          <w:p>
            <w:pPr>
              <w:spacing w:before="0" w:after="0" w:line="269" w:lineRule="auto"/>
              <w:jc w:val="center"/>
            </w:pPr>
            <w:r/>
            <w:r>
              <w:rPr>
                <w:rFonts w:ascii="Calibri" w:hAnsi="Calibri"/>
                <w:color w:val="222222"/>
                <w:sz w:val="16"/>
              </w:rPr>
              <w:t>[ ]</w:t>
            </w:r>
          </w:p>
        </w:tc>
        <w:tc>
          <w:tcPr>
            <w:tcW w:type="dxa" w:w="1264"/>
            <w:tcMar>
              <w:top w:w="80" w:type="dxa"/>
              <w:bottom w:w="80" w:type="dxa"/>
              <w:start w:w="120" w:type="dxa"/>
              <w:end w:w="120" w:type="dxa"/>
            </w:tcMar>
            <w:vAlign w:val="center"/>
          </w:tcPr>
          <w:p>
            <w:pPr>
              <w:spacing w:before="0" w:after="0" w:line="269" w:lineRule="auto"/>
              <w:jc w:val="center"/>
            </w:pPr>
            <w:r/>
            <w:r>
              <w:rPr>
                <w:rFonts w:ascii="Calibri" w:hAnsi="Calibri"/>
                <w:color w:val="222222"/>
                <w:sz w:val="16"/>
              </w:rPr>
              <w:t>[ ]</w:t>
            </w:r>
          </w:p>
        </w:tc>
        <w:tc>
          <w:tcPr>
            <w:tcW w:type="dxa" w:w="1750"/>
            <w:tcMar>
              <w:top w:w="80" w:type="dxa"/>
              <w:bottom w:w="80" w:type="dxa"/>
              <w:start w:w="120" w:type="dxa"/>
              <w:end w:w="120" w:type="dxa"/>
            </w:tcMar>
            <w:vAlign w:val="center"/>
          </w:tcPr>
          <w:p>
            <w:pPr>
              <w:spacing w:before="0" w:after="0" w:line="269" w:lineRule="auto"/>
              <w:jc w:val="center"/>
            </w:pPr>
            <w:r/>
            <w:r>
              <w:rPr>
                <w:rFonts w:ascii="Calibri" w:hAnsi="Calibri"/>
                <w:color w:val="222222"/>
                <w:sz w:val="16"/>
              </w:rPr>
              <w:t>[ ]</w:t>
            </w:r>
          </w:p>
        </w:tc>
        <w:tc>
          <w:tcPr>
            <w:tcW w:type="dxa" w:w="2238"/>
            <w:tcMar>
              <w:top w:w="80" w:type="dxa"/>
              <w:bottom w:w="80" w:type="dxa"/>
              <w:start w:w="120" w:type="dxa"/>
              <w:end w:w="120" w:type="dxa"/>
            </w:tcMar>
            <w:vAlign w:val="center"/>
          </w:tcPr>
          <w:p>
            <w:pPr>
              <w:spacing w:before="0" w:after="0" w:line="269" w:lineRule="auto"/>
              <w:jc w:val="center"/>
            </w:pPr>
            <w:r/>
          </w:p>
        </w:tc>
      </w:tr>
      <w:tr>
        <w:trPr>
          <w:cantSplit w:val="true"/>
        </w:trPr>
        <w:tc>
          <w:tcPr>
            <w:tcW w:type="dxa" w:w="2358"/>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Publication/citation</w:t>
            </w:r>
          </w:p>
        </w:tc>
        <w:tc>
          <w:tcPr>
            <w:tcW w:type="dxa" w:w="1750"/>
            <w:tcMar>
              <w:top w:w="80" w:type="dxa"/>
              <w:bottom w:w="80" w:type="dxa"/>
              <w:start w:w="120" w:type="dxa"/>
              <w:end w:w="120" w:type="dxa"/>
            </w:tcMar>
            <w:vAlign w:val="center"/>
          </w:tcPr>
          <w:p>
            <w:pPr>
              <w:spacing w:before="0" w:after="0" w:line="269" w:lineRule="auto"/>
              <w:jc w:val="center"/>
            </w:pPr>
            <w:r/>
            <w:r>
              <w:rPr>
                <w:rFonts w:ascii="Calibri" w:hAnsi="Calibri"/>
                <w:color w:val="222222"/>
                <w:sz w:val="16"/>
              </w:rPr>
              <w:t>[ ]</w:t>
            </w:r>
          </w:p>
        </w:tc>
        <w:tc>
          <w:tcPr>
            <w:tcW w:type="dxa" w:w="1264"/>
            <w:tcMar>
              <w:top w:w="80" w:type="dxa"/>
              <w:bottom w:w="80" w:type="dxa"/>
              <w:start w:w="120" w:type="dxa"/>
              <w:end w:w="120" w:type="dxa"/>
            </w:tcMar>
            <w:vAlign w:val="center"/>
          </w:tcPr>
          <w:p>
            <w:pPr>
              <w:spacing w:before="0" w:after="0" w:line="269" w:lineRule="auto"/>
              <w:jc w:val="center"/>
            </w:pPr>
            <w:r/>
            <w:r>
              <w:rPr>
                <w:rFonts w:ascii="Calibri" w:hAnsi="Calibri"/>
                <w:color w:val="222222"/>
                <w:sz w:val="16"/>
              </w:rPr>
              <w:t>[ ]</w:t>
            </w:r>
          </w:p>
        </w:tc>
        <w:tc>
          <w:tcPr>
            <w:tcW w:type="dxa" w:w="1750"/>
            <w:tcMar>
              <w:top w:w="80" w:type="dxa"/>
              <w:bottom w:w="80" w:type="dxa"/>
              <w:start w:w="120" w:type="dxa"/>
              <w:end w:w="120" w:type="dxa"/>
            </w:tcMar>
            <w:vAlign w:val="center"/>
          </w:tcPr>
          <w:p>
            <w:pPr>
              <w:spacing w:before="0" w:after="0" w:line="269" w:lineRule="auto"/>
              <w:jc w:val="center"/>
            </w:pPr>
            <w:r/>
            <w:r>
              <w:rPr>
                <w:rFonts w:ascii="Calibri" w:hAnsi="Calibri"/>
                <w:color w:val="222222"/>
                <w:sz w:val="16"/>
              </w:rPr>
              <w:t>[ ]</w:t>
            </w:r>
          </w:p>
        </w:tc>
        <w:tc>
          <w:tcPr>
            <w:tcW w:type="dxa" w:w="2238"/>
            <w:tcMar>
              <w:top w:w="80" w:type="dxa"/>
              <w:bottom w:w="80" w:type="dxa"/>
              <w:start w:w="120" w:type="dxa"/>
              <w:end w:w="120" w:type="dxa"/>
            </w:tcMar>
            <w:vAlign w:val="center"/>
          </w:tcPr>
          <w:p>
            <w:pPr>
              <w:spacing w:before="0" w:after="0" w:line="269" w:lineRule="auto"/>
              <w:jc w:val="center"/>
            </w:pPr>
            <w:r/>
          </w:p>
        </w:tc>
      </w:tr>
    </w:tbl>
    <w:p>
      <w:pPr>
        <w:spacing w:before="0" w:after="40"/>
      </w:pPr>
    </w:p>
    <w:p>
      <w:pPr>
        <w:pStyle w:val="Heading2"/>
      </w:pPr>
      <w:r>
        <w:rPr>
          <w:rFonts w:ascii="Calibri" w:hAnsi="Calibri"/>
          <w:color w:val="222222"/>
        </w:rPr>
        <w:t>6. Data-flow sketch</w:t>
      </w:r>
    </w:p>
    <w:p>
      <w:r>
        <w:rPr>
          <w:rFonts w:ascii="Calibri" w:hAnsi="Calibri"/>
          <w:color w:val="222222"/>
        </w:rPr>
        <w:t>Write each boundary explicitly.</w:t>
      </w:r>
    </w:p>
    <w:p>
      <w:pPr>
        <w:keepNext/>
        <w:keepLines/>
        <w:spacing w:before="0" w:after="0" w:line="240" w:lineRule="auto"/>
        <w:ind w:left="259" w:right="72"/>
        <w:shd w:fill="F3F5F7"/>
        <w:pBdr>
          <w:left w:val="single" w:sz="16" w:space="8" w:color="B8C3CC"/>
        </w:pBdr>
      </w:pPr>
      <w:r>
        <w:rPr>
          <w:rFonts w:ascii="Consolas" w:hAnsi="Consolas"/>
          <w:color w:val="24313B"/>
          <w:sz w:val="16"/>
        </w:rPr>
        <w:t>[Public reference] -- permitted input? --&gt; [Compute]</w:t>
      </w:r>
    </w:p>
    <w:p>
      <w:pPr>
        <w:keepNext/>
        <w:keepLines/>
        <w:spacing w:before="0" w:after="0" w:line="240" w:lineRule="auto"/>
        <w:ind w:left="259" w:right="72"/>
        <w:shd w:fill="F3F5F7"/>
        <w:pBdr>
          <w:left w:val="single" w:sz="16" w:space="8" w:color="B8C3CC"/>
        </w:pBdr>
      </w:pPr>
      <w:r>
        <w:rPr>
          <w:rFonts w:ascii="Consolas" w:hAnsi="Consolas"/>
          <w:color w:val="24313B"/>
          <w:sz w:val="16"/>
        </w:rPr>
        <w:t>[Governed/raw data] -- stays where? --&gt; [Approved compute]</w:t>
      </w:r>
    </w:p>
    <w:p>
      <w:pPr>
        <w:keepNext/>
        <w:keepLines/>
        <w:spacing w:before="0" w:after="0" w:line="240" w:lineRule="auto"/>
        <w:ind w:left="259" w:right="72"/>
        <w:shd w:fill="F3F5F7"/>
        <w:pBdr>
          <w:left w:val="single" w:sz="16" w:space="8" w:color="B8C3CC"/>
        </w:pBdr>
      </w:pPr>
      <w:r>
        <w:rPr>
          <w:rFonts w:ascii="Consolas" w:hAnsi="Consolas"/>
          <w:color w:val="24313B"/>
          <w:sz w:val="16"/>
        </w:rPr>
        <w:t>[Participant-level derivatives] -- stay where? --&gt; [Approved storage]</w:t>
      </w:r>
    </w:p>
    <w:p>
      <w:pPr>
        <w:keepNext/>
        <w:keepLines/>
        <w:spacing w:before="0" w:after="0" w:line="240" w:lineRule="auto"/>
        <w:ind w:left="259" w:right="72"/>
        <w:shd w:fill="F3F5F7"/>
        <w:pBdr>
          <w:left w:val="single" w:sz="16" w:space="8" w:color="B8C3CC"/>
        </w:pBdr>
      </w:pPr>
      <w:r>
        <w:rPr>
          <w:rFonts w:ascii="Consolas" w:hAnsi="Consolas"/>
          <w:color w:val="24313B"/>
          <w:sz w:val="16"/>
        </w:rPr>
        <w:t>[Aggregate output] -- review rule? --&gt; [Permitted destination]</w:t>
      </w:r>
    </w:p>
    <w:p>
      <w:pPr>
        <w:keepNext w:val="0"/>
        <w:keepLines/>
        <w:spacing w:before="0" w:after="120" w:line="240" w:lineRule="auto"/>
        <w:ind w:left="259" w:right="72"/>
        <w:shd w:fill="F3F5F7"/>
        <w:pBdr>
          <w:left w:val="single" w:sz="16" w:space="8" w:color="B8C3CC"/>
        </w:pBdr>
      </w:pPr>
      <w:r>
        <w:rPr>
          <w:rFonts w:ascii="Consolas" w:hAnsi="Consolas"/>
          <w:color w:val="24313B"/>
          <w:sz w:val="16"/>
        </w:rPr>
        <w:t>[Code] -- review rule? --&gt; [Repository or collaborator]</w:t>
      </w:r>
    </w:p>
    <w:p>
      <w:r>
        <w:rPr>
          <w:rFonts w:ascii="Calibri" w:hAnsi="Calibri"/>
          <w:b/>
          <w:color w:val="222222"/>
        </w:rPr>
        <w:t>Credentials/tokens location:</w:t>
      </w:r>
      <w:r>
        <w:rPr>
          <w:rFonts w:ascii="Calibri" w:hAnsi="Calibri"/>
          <w:color w:val="222222"/>
        </w:rPr>
        <w:t xml:space="preserve"> ___________________________________________</w:t>
      </w:r>
    </w:p>
    <w:p>
      <w:r>
        <w:rPr>
          <w:rFonts w:ascii="Calibri" w:hAnsi="Calibri"/>
          <w:b/>
          <w:color w:val="222222"/>
        </w:rPr>
        <w:t>Credential rule:</w:t>
      </w:r>
      <w:r>
        <w:rPr>
          <w:rFonts w:ascii="Calibri" w:hAnsi="Calibri"/>
          <w:color w:val="222222"/>
        </w:rPr>
        <w:t xml:space="preserve"> Never enter credentials or signed URLs in this worksheet, a notebook, a cache, or version control.</w:t>
      </w:r>
    </w:p>
    <w:p>
      <w:pPr>
        <w:pStyle w:val="Heading2"/>
      </w:pPr>
      <w:r>
        <w:rPr>
          <w:rFonts w:ascii="Calibri" w:hAnsi="Calibri"/>
          <w:color w:val="222222"/>
        </w:rPr>
        <w:t>7. Risk and dependency log</w:t>
      </w:r>
    </w:p>
    <w:tbl>
      <w:tblPr>
        <w:tblStyle w:val="TableGrid"/>
        <w:tblW w:type="dxa" w:w="9360"/>
        <w:jc w:val="left"/>
        <w:tblLayout w:type="fixed"/>
        <w:tblLook w:firstColumn="1" w:firstRow="1" w:lastColumn="0" w:lastRow="0" w:noHBand="0" w:noVBand="1" w:val="04A0"/>
        <w:tblInd w:w="120" w:type="dxa"/>
      </w:tblPr>
      <w:tblGrid>
        <w:gridCol w:w="2781"/>
        <w:gridCol w:w="1527"/>
        <w:gridCol w:w="1370"/>
        <w:gridCol w:w="1683"/>
        <w:gridCol w:w="1999"/>
      </w:tblGrid>
      <w:tr>
        <w:trPr>
          <w:cantSplit w:val="true"/>
          <w:tblHeader w:val="true"/>
        </w:trPr>
        <w:tc>
          <w:tcPr>
            <w:tcW w:type="dxa" w:w="2781"/>
            <w:tcMar>
              <w:top w:w="80" w:type="dxa"/>
              <w:bottom w:w="80" w:type="dxa"/>
              <w:start w:w="120" w:type="dxa"/>
              <w:end w:w="120" w:type="dxa"/>
            </w:tcMar>
            <w:vAlign w:val="center"/>
            <w:shd w:fill="E8EEF5"/>
          </w:tcPr>
          <w:p>
            <w:pPr>
              <w:spacing w:before="0" w:after="0" w:line="269" w:lineRule="auto"/>
              <w:jc w:val="left"/>
            </w:pPr>
            <w:r>
              <w:rPr>
                <w:b/>
                <w:color w:val="203748"/>
              </w:rPr>
            </w:r>
            <w:r>
              <w:rPr>
                <w:rFonts w:ascii="Calibri" w:hAnsi="Calibri"/>
                <w:b/>
                <w:color w:val="203748"/>
                <w:sz w:val="16"/>
              </w:rPr>
              <w:t>Risk or dependency</w:t>
            </w:r>
          </w:p>
        </w:tc>
        <w:tc>
          <w:tcPr>
            <w:tcW w:type="dxa" w:w="1527"/>
            <w:tcMar>
              <w:top w:w="80" w:type="dxa"/>
              <w:bottom w:w="80" w:type="dxa"/>
              <w:start w:w="120" w:type="dxa"/>
              <w:end w:w="120" w:type="dxa"/>
            </w:tcMar>
            <w:vAlign w:val="center"/>
            <w:shd w:fill="E8EEF5"/>
          </w:tcPr>
          <w:p>
            <w:pPr>
              <w:spacing w:before="0" w:after="0" w:line="269" w:lineRule="auto"/>
              <w:jc w:val="center"/>
            </w:pPr>
            <w:r>
              <w:rPr>
                <w:b/>
                <w:color w:val="203748"/>
              </w:rPr>
            </w:r>
            <w:r>
              <w:rPr>
                <w:rFonts w:ascii="Calibri" w:hAnsi="Calibri"/>
                <w:b/>
                <w:color w:val="203748"/>
                <w:sz w:val="16"/>
              </w:rPr>
              <w:t>Evidence</w:t>
            </w:r>
          </w:p>
        </w:tc>
        <w:tc>
          <w:tcPr>
            <w:tcW w:type="dxa" w:w="1370"/>
            <w:tcMar>
              <w:top w:w="80" w:type="dxa"/>
              <w:bottom w:w="80" w:type="dxa"/>
              <w:start w:w="120" w:type="dxa"/>
              <w:end w:w="120" w:type="dxa"/>
            </w:tcMar>
            <w:vAlign w:val="center"/>
            <w:shd w:fill="E8EEF5"/>
          </w:tcPr>
          <w:p>
            <w:pPr>
              <w:spacing w:before="0" w:after="0" w:line="269" w:lineRule="auto"/>
              <w:jc w:val="center"/>
            </w:pPr>
            <w:r>
              <w:rPr>
                <w:b/>
                <w:color w:val="203748"/>
              </w:rPr>
            </w:r>
            <w:r>
              <w:rPr>
                <w:rFonts w:ascii="Calibri" w:hAnsi="Calibri"/>
                <w:b/>
                <w:color w:val="203748"/>
                <w:sz w:val="16"/>
              </w:rPr>
              <w:t>Owner</w:t>
            </w:r>
          </w:p>
        </w:tc>
        <w:tc>
          <w:tcPr>
            <w:tcW w:type="dxa" w:w="1683"/>
            <w:tcMar>
              <w:top w:w="80" w:type="dxa"/>
              <w:bottom w:w="80" w:type="dxa"/>
              <w:start w:w="120" w:type="dxa"/>
              <w:end w:w="120" w:type="dxa"/>
            </w:tcMar>
            <w:vAlign w:val="center"/>
            <w:shd w:fill="E8EEF5"/>
          </w:tcPr>
          <w:p>
            <w:pPr>
              <w:spacing w:before="0" w:after="0" w:line="269" w:lineRule="auto"/>
              <w:jc w:val="center"/>
            </w:pPr>
            <w:r>
              <w:rPr>
                <w:b/>
                <w:color w:val="203748"/>
              </w:rPr>
            </w:r>
            <w:r>
              <w:rPr>
                <w:rFonts w:ascii="Calibri" w:hAnsi="Calibri"/>
                <w:b/>
                <w:color w:val="203748"/>
                <w:sz w:val="16"/>
              </w:rPr>
              <w:t>Mitigation</w:t>
            </w:r>
          </w:p>
        </w:tc>
        <w:tc>
          <w:tcPr>
            <w:tcW w:type="dxa" w:w="1999"/>
            <w:tcMar>
              <w:top w:w="80" w:type="dxa"/>
              <w:bottom w:w="80" w:type="dxa"/>
              <w:start w:w="120" w:type="dxa"/>
              <w:end w:w="120" w:type="dxa"/>
            </w:tcMar>
            <w:vAlign w:val="center"/>
            <w:shd w:fill="E8EEF5"/>
          </w:tcPr>
          <w:p>
            <w:pPr>
              <w:spacing w:before="0" w:after="0" w:line="269" w:lineRule="auto"/>
              <w:jc w:val="center"/>
            </w:pPr>
            <w:r>
              <w:rPr>
                <w:b/>
                <w:color w:val="203748"/>
              </w:rPr>
            </w:r>
            <w:r>
              <w:rPr>
                <w:rFonts w:ascii="Calibri" w:hAnsi="Calibri"/>
                <w:b/>
                <w:color w:val="203748"/>
                <w:sz w:val="16"/>
              </w:rPr>
              <w:t>Stop condition</w:t>
            </w:r>
          </w:p>
        </w:tc>
      </w:tr>
      <w:tr>
        <w:trPr>
          <w:cantSplit w:val="true"/>
        </w:trPr>
        <w:tc>
          <w:tcPr>
            <w:tcW w:type="dxa" w:w="2781"/>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Access approval</w:t>
            </w:r>
          </w:p>
        </w:tc>
        <w:tc>
          <w:tcPr>
            <w:tcW w:type="dxa" w:w="1527"/>
            <w:tcMar>
              <w:top w:w="80" w:type="dxa"/>
              <w:bottom w:w="80" w:type="dxa"/>
              <w:start w:w="120" w:type="dxa"/>
              <w:end w:w="120" w:type="dxa"/>
            </w:tcMar>
            <w:vAlign w:val="center"/>
          </w:tcPr>
          <w:p>
            <w:pPr>
              <w:spacing w:before="0" w:after="0" w:line="269" w:lineRule="auto"/>
              <w:jc w:val="center"/>
            </w:pPr>
            <w:r/>
          </w:p>
        </w:tc>
        <w:tc>
          <w:tcPr>
            <w:tcW w:type="dxa" w:w="1370"/>
            <w:tcMar>
              <w:top w:w="80" w:type="dxa"/>
              <w:bottom w:w="80" w:type="dxa"/>
              <w:start w:w="120" w:type="dxa"/>
              <w:end w:w="120" w:type="dxa"/>
            </w:tcMar>
            <w:vAlign w:val="center"/>
          </w:tcPr>
          <w:p>
            <w:pPr>
              <w:spacing w:before="0" w:after="0" w:line="269" w:lineRule="auto"/>
              <w:jc w:val="center"/>
            </w:pPr>
            <w:r/>
          </w:p>
        </w:tc>
        <w:tc>
          <w:tcPr>
            <w:tcW w:type="dxa" w:w="1683"/>
            <w:tcMar>
              <w:top w:w="80" w:type="dxa"/>
              <w:bottom w:w="80" w:type="dxa"/>
              <w:start w:w="120" w:type="dxa"/>
              <w:end w:w="120" w:type="dxa"/>
            </w:tcMar>
            <w:vAlign w:val="center"/>
          </w:tcPr>
          <w:p>
            <w:pPr>
              <w:spacing w:before="0" w:after="0" w:line="269" w:lineRule="auto"/>
              <w:jc w:val="center"/>
            </w:pPr>
            <w:r/>
          </w:p>
        </w:tc>
        <w:tc>
          <w:tcPr>
            <w:tcW w:type="dxa" w:w="1999"/>
            <w:tcMar>
              <w:top w:w="80" w:type="dxa"/>
              <w:bottom w:w="80" w:type="dxa"/>
              <w:start w:w="120" w:type="dxa"/>
              <w:end w:w="120" w:type="dxa"/>
            </w:tcMar>
            <w:vAlign w:val="center"/>
          </w:tcPr>
          <w:p>
            <w:pPr>
              <w:spacing w:before="0" w:after="0" w:line="269" w:lineRule="auto"/>
              <w:jc w:val="center"/>
            </w:pPr>
            <w:r/>
          </w:p>
        </w:tc>
      </w:tr>
      <w:tr>
        <w:trPr>
          <w:cantSplit w:val="true"/>
        </w:trPr>
        <w:tc>
          <w:tcPr>
            <w:tcW w:type="dxa" w:w="2781"/>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Dataset release/change</w:t>
            </w:r>
          </w:p>
        </w:tc>
        <w:tc>
          <w:tcPr>
            <w:tcW w:type="dxa" w:w="1527"/>
            <w:tcMar>
              <w:top w:w="80" w:type="dxa"/>
              <w:bottom w:w="80" w:type="dxa"/>
              <w:start w:w="120" w:type="dxa"/>
              <w:end w:w="120" w:type="dxa"/>
            </w:tcMar>
            <w:vAlign w:val="center"/>
          </w:tcPr>
          <w:p>
            <w:pPr>
              <w:spacing w:before="0" w:after="0" w:line="269" w:lineRule="auto"/>
              <w:jc w:val="center"/>
            </w:pPr>
            <w:r/>
          </w:p>
        </w:tc>
        <w:tc>
          <w:tcPr>
            <w:tcW w:type="dxa" w:w="1370"/>
            <w:tcMar>
              <w:top w:w="80" w:type="dxa"/>
              <w:bottom w:w="80" w:type="dxa"/>
              <w:start w:w="120" w:type="dxa"/>
              <w:end w:w="120" w:type="dxa"/>
            </w:tcMar>
            <w:vAlign w:val="center"/>
          </w:tcPr>
          <w:p>
            <w:pPr>
              <w:spacing w:before="0" w:after="0" w:line="269" w:lineRule="auto"/>
              <w:jc w:val="center"/>
            </w:pPr>
            <w:r/>
          </w:p>
        </w:tc>
        <w:tc>
          <w:tcPr>
            <w:tcW w:type="dxa" w:w="1683"/>
            <w:tcMar>
              <w:top w:w="80" w:type="dxa"/>
              <w:bottom w:w="80" w:type="dxa"/>
              <w:start w:w="120" w:type="dxa"/>
              <w:end w:w="120" w:type="dxa"/>
            </w:tcMar>
            <w:vAlign w:val="center"/>
          </w:tcPr>
          <w:p>
            <w:pPr>
              <w:spacing w:before="0" w:after="0" w:line="269" w:lineRule="auto"/>
              <w:jc w:val="center"/>
            </w:pPr>
            <w:r/>
          </w:p>
        </w:tc>
        <w:tc>
          <w:tcPr>
            <w:tcW w:type="dxa" w:w="1999"/>
            <w:tcMar>
              <w:top w:w="80" w:type="dxa"/>
              <w:bottom w:w="80" w:type="dxa"/>
              <w:start w:w="120" w:type="dxa"/>
              <w:end w:w="120" w:type="dxa"/>
            </w:tcMar>
            <w:vAlign w:val="center"/>
          </w:tcPr>
          <w:p>
            <w:pPr>
              <w:spacing w:before="0" w:after="0" w:line="269" w:lineRule="auto"/>
              <w:jc w:val="center"/>
            </w:pPr>
            <w:r/>
          </w:p>
        </w:tc>
      </w:tr>
      <w:tr>
        <w:trPr>
          <w:cantSplit w:val="true"/>
        </w:trPr>
        <w:tc>
          <w:tcPr>
            <w:tcW w:type="dxa" w:w="2781"/>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Compute/storage policy</w:t>
            </w:r>
          </w:p>
        </w:tc>
        <w:tc>
          <w:tcPr>
            <w:tcW w:type="dxa" w:w="1527"/>
            <w:tcMar>
              <w:top w:w="80" w:type="dxa"/>
              <w:bottom w:w="80" w:type="dxa"/>
              <w:start w:w="120" w:type="dxa"/>
              <w:end w:w="120" w:type="dxa"/>
            </w:tcMar>
            <w:vAlign w:val="center"/>
          </w:tcPr>
          <w:p>
            <w:pPr>
              <w:spacing w:before="0" w:after="0" w:line="269" w:lineRule="auto"/>
              <w:jc w:val="center"/>
            </w:pPr>
            <w:r/>
          </w:p>
        </w:tc>
        <w:tc>
          <w:tcPr>
            <w:tcW w:type="dxa" w:w="1370"/>
            <w:tcMar>
              <w:top w:w="80" w:type="dxa"/>
              <w:bottom w:w="80" w:type="dxa"/>
              <w:start w:w="120" w:type="dxa"/>
              <w:end w:w="120" w:type="dxa"/>
            </w:tcMar>
            <w:vAlign w:val="center"/>
          </w:tcPr>
          <w:p>
            <w:pPr>
              <w:spacing w:before="0" w:after="0" w:line="269" w:lineRule="auto"/>
              <w:jc w:val="center"/>
            </w:pPr>
            <w:r/>
          </w:p>
        </w:tc>
        <w:tc>
          <w:tcPr>
            <w:tcW w:type="dxa" w:w="1683"/>
            <w:tcMar>
              <w:top w:w="80" w:type="dxa"/>
              <w:bottom w:w="80" w:type="dxa"/>
              <w:start w:w="120" w:type="dxa"/>
              <w:end w:w="120" w:type="dxa"/>
            </w:tcMar>
            <w:vAlign w:val="center"/>
          </w:tcPr>
          <w:p>
            <w:pPr>
              <w:spacing w:before="0" w:after="0" w:line="269" w:lineRule="auto"/>
              <w:jc w:val="center"/>
            </w:pPr>
            <w:r/>
          </w:p>
        </w:tc>
        <w:tc>
          <w:tcPr>
            <w:tcW w:type="dxa" w:w="1999"/>
            <w:tcMar>
              <w:top w:w="80" w:type="dxa"/>
              <w:bottom w:w="80" w:type="dxa"/>
              <w:start w:w="120" w:type="dxa"/>
              <w:end w:w="120" w:type="dxa"/>
            </w:tcMar>
            <w:vAlign w:val="center"/>
          </w:tcPr>
          <w:p>
            <w:pPr>
              <w:spacing w:before="0" w:after="0" w:line="269" w:lineRule="auto"/>
              <w:jc w:val="center"/>
            </w:pPr>
            <w:r/>
          </w:p>
        </w:tc>
      </w:tr>
      <w:tr>
        <w:trPr>
          <w:cantSplit w:val="true"/>
        </w:trPr>
        <w:tc>
          <w:tcPr>
            <w:tcW w:type="dxa" w:w="2781"/>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Export/disclosure</w:t>
            </w:r>
          </w:p>
        </w:tc>
        <w:tc>
          <w:tcPr>
            <w:tcW w:type="dxa" w:w="1527"/>
            <w:tcMar>
              <w:top w:w="80" w:type="dxa"/>
              <w:bottom w:w="80" w:type="dxa"/>
              <w:start w:w="120" w:type="dxa"/>
              <w:end w:w="120" w:type="dxa"/>
            </w:tcMar>
            <w:vAlign w:val="center"/>
          </w:tcPr>
          <w:p>
            <w:pPr>
              <w:spacing w:before="0" w:after="0" w:line="269" w:lineRule="auto"/>
              <w:jc w:val="center"/>
            </w:pPr>
            <w:r/>
          </w:p>
        </w:tc>
        <w:tc>
          <w:tcPr>
            <w:tcW w:type="dxa" w:w="1370"/>
            <w:tcMar>
              <w:top w:w="80" w:type="dxa"/>
              <w:bottom w:w="80" w:type="dxa"/>
              <w:start w:w="120" w:type="dxa"/>
              <w:end w:w="120" w:type="dxa"/>
            </w:tcMar>
            <w:vAlign w:val="center"/>
          </w:tcPr>
          <w:p>
            <w:pPr>
              <w:spacing w:before="0" w:after="0" w:line="269" w:lineRule="auto"/>
              <w:jc w:val="center"/>
            </w:pPr>
            <w:r/>
          </w:p>
        </w:tc>
        <w:tc>
          <w:tcPr>
            <w:tcW w:type="dxa" w:w="1683"/>
            <w:tcMar>
              <w:top w:w="80" w:type="dxa"/>
              <w:bottom w:w="80" w:type="dxa"/>
              <w:start w:w="120" w:type="dxa"/>
              <w:end w:w="120" w:type="dxa"/>
            </w:tcMar>
            <w:vAlign w:val="center"/>
          </w:tcPr>
          <w:p>
            <w:pPr>
              <w:spacing w:before="0" w:after="0" w:line="269" w:lineRule="auto"/>
              <w:jc w:val="center"/>
            </w:pPr>
            <w:r/>
          </w:p>
        </w:tc>
        <w:tc>
          <w:tcPr>
            <w:tcW w:type="dxa" w:w="1999"/>
            <w:tcMar>
              <w:top w:w="80" w:type="dxa"/>
              <w:bottom w:w="80" w:type="dxa"/>
              <w:start w:w="120" w:type="dxa"/>
              <w:end w:w="120" w:type="dxa"/>
            </w:tcMar>
            <w:vAlign w:val="center"/>
          </w:tcPr>
          <w:p>
            <w:pPr>
              <w:spacing w:before="0" w:after="0" w:line="269" w:lineRule="auto"/>
              <w:jc w:val="center"/>
            </w:pPr>
            <w:r/>
          </w:p>
        </w:tc>
      </w:tr>
      <w:tr>
        <w:trPr>
          <w:cantSplit w:val="true"/>
        </w:trPr>
        <w:tc>
          <w:tcPr>
            <w:tcW w:type="dxa" w:w="2781"/>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Identifier mapping</w:t>
            </w:r>
          </w:p>
        </w:tc>
        <w:tc>
          <w:tcPr>
            <w:tcW w:type="dxa" w:w="1527"/>
            <w:tcMar>
              <w:top w:w="80" w:type="dxa"/>
              <w:bottom w:w="80" w:type="dxa"/>
              <w:start w:w="120" w:type="dxa"/>
              <w:end w:w="120" w:type="dxa"/>
            </w:tcMar>
            <w:vAlign w:val="center"/>
          </w:tcPr>
          <w:p>
            <w:pPr>
              <w:spacing w:before="0" w:after="0" w:line="269" w:lineRule="auto"/>
              <w:jc w:val="center"/>
            </w:pPr>
            <w:r/>
          </w:p>
        </w:tc>
        <w:tc>
          <w:tcPr>
            <w:tcW w:type="dxa" w:w="1370"/>
            <w:tcMar>
              <w:top w:w="80" w:type="dxa"/>
              <w:bottom w:w="80" w:type="dxa"/>
              <w:start w:w="120" w:type="dxa"/>
              <w:end w:w="120" w:type="dxa"/>
            </w:tcMar>
            <w:vAlign w:val="center"/>
          </w:tcPr>
          <w:p>
            <w:pPr>
              <w:spacing w:before="0" w:after="0" w:line="269" w:lineRule="auto"/>
              <w:jc w:val="center"/>
            </w:pPr>
            <w:r/>
          </w:p>
        </w:tc>
        <w:tc>
          <w:tcPr>
            <w:tcW w:type="dxa" w:w="1683"/>
            <w:tcMar>
              <w:top w:w="80" w:type="dxa"/>
              <w:bottom w:w="80" w:type="dxa"/>
              <w:start w:w="120" w:type="dxa"/>
              <w:end w:w="120" w:type="dxa"/>
            </w:tcMar>
            <w:vAlign w:val="center"/>
          </w:tcPr>
          <w:p>
            <w:pPr>
              <w:spacing w:before="0" w:after="0" w:line="269" w:lineRule="auto"/>
              <w:jc w:val="center"/>
            </w:pPr>
            <w:r/>
          </w:p>
        </w:tc>
        <w:tc>
          <w:tcPr>
            <w:tcW w:type="dxa" w:w="1999"/>
            <w:tcMar>
              <w:top w:w="80" w:type="dxa"/>
              <w:bottom w:w="80" w:type="dxa"/>
              <w:start w:w="120" w:type="dxa"/>
              <w:end w:w="120" w:type="dxa"/>
            </w:tcMar>
            <w:vAlign w:val="center"/>
          </w:tcPr>
          <w:p>
            <w:pPr>
              <w:spacing w:before="0" w:after="0" w:line="269" w:lineRule="auto"/>
              <w:jc w:val="center"/>
            </w:pPr>
            <w:r/>
          </w:p>
        </w:tc>
      </w:tr>
      <w:tr>
        <w:trPr>
          <w:cantSplit w:val="true"/>
        </w:trPr>
        <w:tc>
          <w:tcPr>
            <w:tcW w:type="dxa" w:w="2781"/>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Scientific compatibility</w:t>
            </w:r>
          </w:p>
        </w:tc>
        <w:tc>
          <w:tcPr>
            <w:tcW w:type="dxa" w:w="1527"/>
            <w:tcMar>
              <w:top w:w="80" w:type="dxa"/>
              <w:bottom w:w="80" w:type="dxa"/>
              <w:start w:w="120" w:type="dxa"/>
              <w:end w:w="120" w:type="dxa"/>
            </w:tcMar>
            <w:vAlign w:val="center"/>
          </w:tcPr>
          <w:p>
            <w:pPr>
              <w:spacing w:before="0" w:after="0" w:line="269" w:lineRule="auto"/>
              <w:jc w:val="center"/>
            </w:pPr>
            <w:r/>
          </w:p>
        </w:tc>
        <w:tc>
          <w:tcPr>
            <w:tcW w:type="dxa" w:w="1370"/>
            <w:tcMar>
              <w:top w:w="80" w:type="dxa"/>
              <w:bottom w:w="80" w:type="dxa"/>
              <w:start w:w="120" w:type="dxa"/>
              <w:end w:w="120" w:type="dxa"/>
            </w:tcMar>
            <w:vAlign w:val="center"/>
          </w:tcPr>
          <w:p>
            <w:pPr>
              <w:spacing w:before="0" w:after="0" w:line="269" w:lineRule="auto"/>
              <w:jc w:val="center"/>
            </w:pPr>
            <w:r/>
          </w:p>
        </w:tc>
        <w:tc>
          <w:tcPr>
            <w:tcW w:type="dxa" w:w="1683"/>
            <w:tcMar>
              <w:top w:w="80" w:type="dxa"/>
              <w:bottom w:w="80" w:type="dxa"/>
              <w:start w:w="120" w:type="dxa"/>
              <w:end w:w="120" w:type="dxa"/>
            </w:tcMar>
            <w:vAlign w:val="center"/>
          </w:tcPr>
          <w:p>
            <w:pPr>
              <w:spacing w:before="0" w:after="0" w:line="269" w:lineRule="auto"/>
              <w:jc w:val="center"/>
            </w:pPr>
            <w:r/>
          </w:p>
        </w:tc>
        <w:tc>
          <w:tcPr>
            <w:tcW w:type="dxa" w:w="1999"/>
            <w:tcMar>
              <w:top w:w="80" w:type="dxa"/>
              <w:bottom w:w="80" w:type="dxa"/>
              <w:start w:w="120" w:type="dxa"/>
              <w:end w:w="120" w:type="dxa"/>
            </w:tcMar>
            <w:vAlign w:val="center"/>
          </w:tcPr>
          <w:p>
            <w:pPr>
              <w:spacing w:before="0" w:after="0" w:line="269" w:lineRule="auto"/>
              <w:jc w:val="center"/>
            </w:pPr>
            <w:r/>
          </w:p>
        </w:tc>
      </w:tr>
      <w:tr>
        <w:trPr>
          <w:cantSplit w:val="true"/>
        </w:trPr>
        <w:tc>
          <w:tcPr>
            <w:tcW w:type="dxa" w:w="2781"/>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Other</w:t>
            </w:r>
          </w:p>
        </w:tc>
        <w:tc>
          <w:tcPr>
            <w:tcW w:type="dxa" w:w="1527"/>
            <w:tcMar>
              <w:top w:w="80" w:type="dxa"/>
              <w:bottom w:w="80" w:type="dxa"/>
              <w:start w:w="120" w:type="dxa"/>
              <w:end w:w="120" w:type="dxa"/>
            </w:tcMar>
            <w:vAlign w:val="center"/>
          </w:tcPr>
          <w:p>
            <w:pPr>
              <w:spacing w:before="0" w:after="0" w:line="269" w:lineRule="auto"/>
              <w:jc w:val="center"/>
            </w:pPr>
            <w:r/>
          </w:p>
        </w:tc>
        <w:tc>
          <w:tcPr>
            <w:tcW w:type="dxa" w:w="1370"/>
            <w:tcMar>
              <w:top w:w="80" w:type="dxa"/>
              <w:bottom w:w="80" w:type="dxa"/>
              <w:start w:w="120" w:type="dxa"/>
              <w:end w:w="120" w:type="dxa"/>
            </w:tcMar>
            <w:vAlign w:val="center"/>
          </w:tcPr>
          <w:p>
            <w:pPr>
              <w:spacing w:before="0" w:after="0" w:line="269" w:lineRule="auto"/>
              <w:jc w:val="center"/>
            </w:pPr>
            <w:r/>
          </w:p>
        </w:tc>
        <w:tc>
          <w:tcPr>
            <w:tcW w:type="dxa" w:w="1683"/>
            <w:tcMar>
              <w:top w:w="80" w:type="dxa"/>
              <w:bottom w:w="80" w:type="dxa"/>
              <w:start w:w="120" w:type="dxa"/>
              <w:end w:w="120" w:type="dxa"/>
            </w:tcMar>
            <w:vAlign w:val="center"/>
          </w:tcPr>
          <w:p>
            <w:pPr>
              <w:spacing w:before="0" w:after="0" w:line="269" w:lineRule="auto"/>
              <w:jc w:val="center"/>
            </w:pPr>
            <w:r/>
          </w:p>
        </w:tc>
        <w:tc>
          <w:tcPr>
            <w:tcW w:type="dxa" w:w="1999"/>
            <w:tcMar>
              <w:top w:w="80" w:type="dxa"/>
              <w:bottom w:w="80" w:type="dxa"/>
              <w:start w:w="120" w:type="dxa"/>
              <w:end w:w="120" w:type="dxa"/>
            </w:tcMar>
            <w:vAlign w:val="center"/>
          </w:tcPr>
          <w:p>
            <w:pPr>
              <w:spacing w:before="0" w:after="0" w:line="269" w:lineRule="auto"/>
              <w:jc w:val="center"/>
            </w:pPr>
            <w:r/>
          </w:p>
        </w:tc>
      </w:tr>
    </w:tbl>
    <w:p>
      <w:pPr>
        <w:spacing w:before="0" w:after="40"/>
      </w:pPr>
    </w:p>
    <w:p>
      <w:pPr>
        <w:pStyle w:val="Heading2"/>
      </w:pPr>
      <w:r>
        <w:rPr>
          <w:rFonts w:ascii="Calibri" w:hAnsi="Calibri"/>
          <w:color w:val="222222"/>
        </w:rPr>
        <w:t>8. Decision</w:t>
      </w:r>
    </w:p>
    <w:p>
      <w:pPr>
        <w:numPr>
          <w:ilvl w:val="0"/>
          <w:numId w:val="95"/>
        </w:numPr>
        <w:spacing w:after="80" w:line="300" w:lineRule="auto"/>
      </w:pPr>
      <w:r>
        <w:rPr>
          <w:rFonts w:ascii="Calibri" w:hAnsi="Calibri"/>
          <w:color w:val="222222"/>
        </w:rPr>
        <w:t xml:space="preserve">[ ] </w:t>
      </w:r>
      <w:r>
        <w:rPr>
          <w:rFonts w:ascii="Consolas" w:hAnsi="Consolas"/>
          <w:color w:val="1F4D78"/>
          <w:sz w:val="21"/>
          <w:shd w:fill="EEF1F4"/>
        </w:rPr>
        <w:t>GO</w:t>
      </w:r>
      <w:r>
        <w:rPr>
          <w:rFonts w:ascii="Calibri" w:hAnsi="Calibri"/>
          <w:color w:val="222222"/>
        </w:rPr>
        <w:t xml:space="preserve"> - requirements are verified and the planned action is permitted and scientifically appropriate.</w:t>
      </w:r>
    </w:p>
    <w:p>
      <w:pPr>
        <w:numPr>
          <w:ilvl w:val="0"/>
          <w:numId w:val="95"/>
        </w:numPr>
        <w:spacing w:after="80" w:line="300" w:lineRule="auto"/>
      </w:pPr>
      <w:r>
        <w:rPr>
          <w:rFonts w:ascii="Calibri" w:hAnsi="Calibri"/>
          <w:color w:val="222222"/>
        </w:rPr>
        <w:t xml:space="preserve">[ ] </w:t>
      </w:r>
      <w:r>
        <w:rPr>
          <w:rFonts w:ascii="Consolas" w:hAnsi="Consolas"/>
          <w:color w:val="1F4D78"/>
          <w:sz w:val="21"/>
          <w:shd w:fill="EEF1F4"/>
        </w:rPr>
        <w:t>REVISE</w:t>
      </w:r>
      <w:r>
        <w:rPr>
          <w:rFonts w:ascii="Calibri" w:hAnsi="Calibri"/>
          <w:color w:val="222222"/>
        </w:rPr>
        <w:t xml:space="preserve"> - the goal is possible, but architecture, scope, output, or analysis must change.</w:t>
      </w:r>
    </w:p>
    <w:p>
      <w:pPr>
        <w:numPr>
          <w:ilvl w:val="0"/>
          <w:numId w:val="95"/>
        </w:numPr>
        <w:spacing w:after="80" w:line="300" w:lineRule="auto"/>
      </w:pPr>
      <w:r>
        <w:rPr>
          <w:rFonts w:ascii="Calibri" w:hAnsi="Calibri"/>
          <w:color w:val="222222"/>
        </w:rPr>
        <w:t xml:space="preserve">[ ] </w:t>
      </w:r>
      <w:r>
        <w:rPr>
          <w:rFonts w:ascii="Consolas" w:hAnsi="Consolas"/>
          <w:color w:val="1F4D78"/>
          <w:sz w:val="21"/>
          <w:shd w:fill="EEF1F4"/>
        </w:rPr>
        <w:t>WAIT</w:t>
      </w:r>
      <w:r>
        <w:rPr>
          <w:rFonts w:ascii="Calibri" w:hAnsi="Calibri"/>
          <w:color w:val="222222"/>
        </w:rPr>
        <w:t xml:space="preserve"> - a documented approval, release, or clarification is pending.</w:t>
      </w:r>
    </w:p>
    <w:p>
      <w:pPr>
        <w:numPr>
          <w:ilvl w:val="0"/>
          <w:numId w:val="95"/>
        </w:numPr>
        <w:spacing w:after="80" w:line="300" w:lineRule="auto"/>
      </w:pPr>
      <w:r>
        <w:rPr>
          <w:rFonts w:ascii="Calibri" w:hAnsi="Calibri"/>
          <w:color w:val="222222"/>
        </w:rPr>
        <w:t xml:space="preserve">[ ] </w:t>
      </w:r>
      <w:r>
        <w:rPr>
          <w:rFonts w:ascii="Consolas" w:hAnsi="Consolas"/>
          <w:color w:val="1F4D78"/>
          <w:sz w:val="21"/>
          <w:shd w:fill="EEF1F4"/>
        </w:rPr>
        <w:t>STOP</w:t>
      </w:r>
      <w:r>
        <w:rPr>
          <w:rFonts w:ascii="Calibri" w:hAnsi="Calibri"/>
          <w:color w:val="222222"/>
        </w:rPr>
        <w:t xml:space="preserve"> - the planned action is prohibited or cannot answer the scientific question.</w:t>
      </w:r>
    </w:p>
    <w:p>
      <w:r>
        <w:rPr>
          <w:rFonts w:ascii="Calibri" w:hAnsi="Calibri"/>
          <w:b/>
          <w:color w:val="222222"/>
        </w:rPr>
        <w:t>Decision statement:</w:t>
      </w:r>
      <w:r>
        <w:rPr>
          <w:rFonts w:ascii="Calibri" w:hAnsi="Calibri"/>
          <w:color w:val="222222"/>
        </w:rPr>
        <w:t xml:space="preserve"> ____________________________________________________</w:t>
      </w:r>
    </w:p>
    <w:p>
      <w:r>
        <w:rPr>
          <w:rFonts w:ascii="Calibri" w:hAnsi="Calibri"/>
          <w:b/>
          <w:color w:val="222222"/>
        </w:rPr>
        <w:t>Unresolved items:</w:t>
      </w:r>
      <w:r>
        <w:rPr>
          <w:rFonts w:ascii="Calibri" w:hAnsi="Calibri"/>
          <w:color w:val="222222"/>
        </w:rPr>
        <w:t xml:space="preserve"> ______________________________________________________</w:t>
      </w:r>
    </w:p>
    <w:p>
      <w:r>
        <w:rPr>
          <w:rFonts w:ascii="Calibri" w:hAnsi="Calibri"/>
          <w:b/>
          <w:color w:val="222222"/>
        </w:rPr>
        <w:t>Next evidence check and date:</w:t>
      </w:r>
      <w:r>
        <w:rPr>
          <w:rFonts w:ascii="Calibri" w:hAnsi="Calibri"/>
          <w:color w:val="222222"/>
        </w:rPr>
        <w:t xml:space="preserve"> __________________________________________</w:t>
      </w:r>
    </w:p>
    <w:p>
      <w:pPr>
        <w:pStyle w:val="Heading2"/>
      </w:pPr>
      <w:r>
        <w:rPr>
          <w:rFonts w:ascii="Calibri" w:hAnsi="Calibri"/>
          <w:color w:val="222222"/>
        </w:rPr>
        <w:t>Final safety check</w:t>
      </w:r>
    </w:p>
    <w:p>
      <w:pPr>
        <w:numPr>
          <w:ilvl w:val="0"/>
          <w:numId w:val="96"/>
        </w:numPr>
        <w:spacing w:after="80" w:line="300" w:lineRule="auto"/>
      </w:pPr>
      <w:r>
        <w:rPr>
          <w:rFonts w:ascii="Calibri" w:hAnsi="Calibri"/>
          <w:color w:val="222222"/>
        </w:rPr>
        <w:t>[ ] I evaluated an exact dataset, release, and action.</w:t>
      </w:r>
    </w:p>
    <w:p>
      <w:pPr>
        <w:numPr>
          <w:ilvl w:val="0"/>
          <w:numId w:val="96"/>
        </w:numPr>
        <w:spacing w:after="80" w:line="300" w:lineRule="auto"/>
      </w:pPr>
      <w:r>
        <w:rPr>
          <w:rFonts w:ascii="Calibri" w:hAnsi="Calibri"/>
          <w:color w:val="222222"/>
        </w:rPr>
        <w:t>[ ] I used current first-party evidence and recorded a date.</w:t>
      </w:r>
    </w:p>
    <w:p>
      <w:pPr>
        <w:numPr>
          <w:ilvl w:val="0"/>
          <w:numId w:val="96"/>
        </w:numPr>
        <w:spacing w:after="80" w:line="300" w:lineRule="auto"/>
      </w:pPr>
      <w:r>
        <w:rPr>
          <w:rFonts w:ascii="Calibri" w:hAnsi="Calibri"/>
          <w:color w:val="222222"/>
        </w:rPr>
        <w:t>[ ] I separated policy evidence from my inference.</w:t>
      </w:r>
    </w:p>
    <w:p>
      <w:pPr>
        <w:numPr>
          <w:ilvl w:val="0"/>
          <w:numId w:val="96"/>
        </w:numPr>
        <w:spacing w:after="80" w:line="300" w:lineRule="auto"/>
      </w:pPr>
      <w:r>
        <w:rPr>
          <w:rFonts w:ascii="Calibri" w:hAnsi="Calibri"/>
          <w:color w:val="222222"/>
        </w:rPr>
        <w:t>[ ] I did not copy credentials or governed data into the worksheet.</w:t>
      </w:r>
    </w:p>
    <w:p>
      <w:pPr>
        <w:numPr>
          <w:ilvl w:val="0"/>
          <w:numId w:val="96"/>
        </w:numPr>
        <w:spacing w:after="80" w:line="300" w:lineRule="auto"/>
      </w:pPr>
      <w:r>
        <w:rPr>
          <w:rFonts w:ascii="Calibri" w:hAnsi="Calibri"/>
          <w:color w:val="222222"/>
        </w:rPr>
        <w:t>[ ] I separated access feasibility from scientific comparability.</w:t>
      </w:r>
    </w:p>
    <w:p>
      <w:pPr>
        <w:numPr>
          <w:ilvl w:val="0"/>
          <w:numId w:val="96"/>
        </w:numPr>
        <w:spacing w:after="80" w:line="300" w:lineRule="auto"/>
      </w:pPr>
      <w:r>
        <w:rPr>
          <w:rFonts w:ascii="Calibri" w:hAnsi="Calibri"/>
          <w:color w:val="222222"/>
        </w:rPr>
        <w:t>[ ] I identified where data, code, and outputs may move.</w:t>
      </w:r>
    </w:p>
    <w:p>
      <w:pPr>
        <w:numPr>
          <w:ilvl w:val="0"/>
          <w:numId w:val="96"/>
        </w:numPr>
        <w:spacing w:after="80" w:line="300" w:lineRule="auto"/>
      </w:pPr>
      <w:r>
        <w:rPr>
          <w:rFonts w:ascii="Calibri" w:hAnsi="Calibri"/>
          <w:color w:val="222222"/>
        </w:rPr>
        <w:t>[ ] I identified an official support path for unclear requirements.</w:t>
      </w:r>
    </w:p>
    <w:p>
      <w:pPr>
        <w:numPr>
          <w:ilvl w:val="0"/>
          <w:numId w:val="96"/>
        </w:numPr>
        <w:spacing w:after="80" w:line="300" w:lineRule="auto"/>
      </w:pPr>
      <w:r>
        <w:rPr>
          <w:rFonts w:ascii="Calibri" w:hAnsi="Calibri"/>
          <w:color w:val="222222"/>
        </w:rPr>
        <w:t>[ ] My decision can be revisited when the release or policy changes.</w:t>
      </w:r>
    </w:p>
    <w:p>
      <w:r>
        <w:br w:type="page"/>
      </w:r>
    </w:p>
    <w:p>
      <w:pPr>
        <w:pStyle w:val="Heading1"/>
      </w:pPr>
      <w:r>
        <w:rPr>
          <w:rFonts w:ascii="Calibri" w:hAnsi="Calibri"/>
          <w:color w:val="222222"/>
        </w:rPr>
        <w:t>Metabo-Diet glossary</w:t>
      </w:r>
    </w:p>
    <w:p>
      <w:r>
        <w:rPr>
          <w:rFonts w:ascii="Calibri" w:hAnsi="Calibri"/>
          <w:color w:val="222222"/>
        </w:rPr>
        <w:t>Terms are defined for this module's workflow. A repository or program may use a term more narrowly; prefer the source's current data dictionary when applying the workflow elsewhere.</w:t>
      </w:r>
    </w:p>
    <w:p>
      <w:pPr>
        <w:pStyle w:val="Heading2"/>
      </w:pPr>
      <w:r>
        <w:rPr>
          <w:rFonts w:ascii="Calibri" w:hAnsi="Calibri"/>
          <w:color w:val="222222"/>
        </w:rPr>
        <w:t>A</w:t>
      </w:r>
    </w:p>
    <w:p>
      <w:pPr>
        <w:keepNext/>
        <w:keepLines/>
      </w:pPr>
      <w:r>
        <w:rPr>
          <w:rFonts w:ascii="Calibri" w:hAnsi="Calibri"/>
          <w:b/>
          <w:color w:val="222222"/>
        </w:rPr>
        <w:t>Access pattern</w:t>
      </w:r>
    </w:p>
    <w:p>
      <w:r>
        <w:rPr>
          <w:rFonts w:ascii="Calibri" w:hAnsi="Calibri"/>
          <w:color w:val="222222"/>
        </w:rPr>
        <w:t>The practical combination of identity, agreement, approval, compute, storage, and output rules governing a specific dataset, release, and action. This module uses open, agreement- or approval-gated, and controlled-compute patterns as planning aids rather than universal legal categories.</w:t>
      </w:r>
    </w:p>
    <w:p>
      <w:pPr>
        <w:keepNext/>
        <w:keepLines/>
      </w:pPr>
      <w:r>
        <w:rPr>
          <w:rFonts w:ascii="Calibri" w:hAnsi="Calibri"/>
          <w:b/>
          <w:color w:val="222222"/>
        </w:rPr>
        <w:t>Acute exercise response</w:t>
      </w:r>
    </w:p>
    <w:p>
      <w:r>
        <w:rPr>
          <w:rFonts w:ascii="Calibri" w:hAnsi="Calibri"/>
          <w:color w:val="222222"/>
        </w:rPr>
        <w:t>A physiological or molecular change associated with a single exercise bout. Its interpretation depends on exercise modality, intensity, duration, specimen timing, feeding state, and recovery interval.</w:t>
      </w:r>
    </w:p>
    <w:p>
      <w:pPr>
        <w:keepNext/>
        <w:keepLines/>
      </w:pPr>
      <w:r>
        <w:rPr>
          <w:rFonts w:ascii="Calibri" w:hAnsi="Calibri"/>
          <w:b/>
          <w:color w:val="222222"/>
        </w:rPr>
        <w:t>Adduct</w:t>
      </w:r>
    </w:p>
    <w:p>
      <w:r>
        <w:rPr>
          <w:rFonts w:ascii="Calibri" w:hAnsi="Calibri"/>
          <w:color w:val="222222"/>
        </w:rPr>
        <w:t>An ion formed when a molecule associates with or loses a species during ionization, such as a proton or sodium ion. An adduct label is not automatically a unique metabolite identity.</w:t>
      </w:r>
    </w:p>
    <w:p>
      <w:pPr>
        <w:keepNext/>
        <w:keepLines/>
      </w:pPr>
      <w:r>
        <w:rPr>
          <w:rFonts w:ascii="Calibri" w:hAnsi="Calibri"/>
          <w:b/>
          <w:color w:val="222222"/>
        </w:rPr>
        <w:t>Analysis identifier</w:t>
      </w:r>
    </w:p>
    <w:p>
      <w:r>
        <w:rPr>
          <w:rFonts w:ascii="Calibri" w:hAnsi="Calibri"/>
          <w:color w:val="222222"/>
        </w:rPr>
        <w:t xml:space="preserve">A Metabolomics Workbench </w:t>
      </w:r>
      <w:r>
        <w:rPr>
          <w:rFonts w:ascii="Consolas" w:hAnsi="Consolas"/>
          <w:color w:val="1F4D78"/>
          <w:sz w:val="21"/>
          <w:shd w:fill="EEF1F4"/>
        </w:rPr>
        <w:t>AN...</w:t>
      </w:r>
      <w:r>
        <w:rPr>
          <w:rFonts w:ascii="Calibri" w:hAnsi="Calibri"/>
          <w:color w:val="222222"/>
        </w:rPr>
        <w:t xml:space="preserve"> identifier for a particular assay or analysis within a study. A study accession may contain multiple analyses with different chromatography, ion mode, platform, or data tables.</w:t>
      </w:r>
    </w:p>
    <w:p>
      <w:pPr>
        <w:keepNext/>
        <w:keepLines/>
      </w:pPr>
      <w:r>
        <w:rPr>
          <w:rFonts w:ascii="Calibri" w:hAnsi="Calibri"/>
          <w:b/>
          <w:color w:val="222222"/>
        </w:rPr>
        <w:t>Annotation resolution</w:t>
      </w:r>
    </w:p>
    <w:p>
      <w:r>
        <w:rPr>
          <w:rFonts w:ascii="Calibri" w:hAnsi="Calibri"/>
          <w:color w:val="222222"/>
        </w:rPr>
        <w:t>The structural detail supported for an analyte, such as a discrete structure, lipid molecular species, lipid sum composition, compound class, or unknown feature.</w:t>
      </w:r>
    </w:p>
    <w:p>
      <w:pPr>
        <w:keepNext/>
        <w:keepLines/>
      </w:pPr>
      <w:r>
        <w:rPr>
          <w:rFonts w:ascii="Calibri" w:hAnsi="Calibri"/>
          <w:b/>
          <w:color w:val="222222"/>
        </w:rPr>
        <w:t>API endpoint</w:t>
      </w:r>
    </w:p>
    <w:p>
      <w:r>
        <w:rPr>
          <w:rFonts w:ascii="Calibri" w:hAnsi="Calibri"/>
          <w:color w:val="222222"/>
        </w:rPr>
        <w:t>A specific URL that returns one type of data from a service. This module requests separate Metabolomics Workbench endpoints for the study summary, factors, analyses, metabolites, and measurement data.</w:t>
      </w:r>
    </w:p>
    <w:p>
      <w:pPr>
        <w:pStyle w:val="Heading2"/>
      </w:pPr>
      <w:r>
        <w:rPr>
          <w:rFonts w:ascii="Calibri" w:hAnsi="Calibri"/>
          <w:color w:val="222222"/>
        </w:rPr>
        <w:t>B</w:t>
      </w:r>
    </w:p>
    <w:p>
      <w:pPr>
        <w:keepNext/>
        <w:keepLines/>
      </w:pPr>
      <w:r>
        <w:rPr>
          <w:rFonts w:ascii="Calibri" w:hAnsi="Calibri"/>
          <w:b/>
          <w:color w:val="222222"/>
        </w:rPr>
        <w:t>Batch effect</w:t>
      </w:r>
    </w:p>
    <w:p>
      <w:r>
        <w:rPr>
          <w:rFonts w:ascii="Calibri" w:hAnsi="Calibri"/>
          <w:color w:val="222222"/>
        </w:rPr>
        <w:t>Systematic variation associated with processing order, laboratory conditions, instrument behavior, reagent lot, or another technical grouping rather than the target biology.</w:t>
      </w:r>
    </w:p>
    <w:p>
      <w:pPr>
        <w:keepNext/>
        <w:keepLines/>
      </w:pPr>
      <w:r>
        <w:rPr>
          <w:rFonts w:ascii="Calibri" w:hAnsi="Calibri"/>
          <w:b/>
          <w:color w:val="222222"/>
        </w:rPr>
        <w:t>Biological sample</w:t>
      </w:r>
    </w:p>
    <w:p>
      <w:r>
        <w:rPr>
          <w:rFonts w:ascii="Calibri" w:hAnsi="Calibri"/>
          <w:color w:val="222222"/>
        </w:rPr>
        <w:t>A specimen collected from a participant or experimental unit for biological inference. It is distinct from a pooled QC, blank, or technical standard.</w:t>
      </w:r>
    </w:p>
    <w:p>
      <w:pPr>
        <w:pStyle w:val="Heading2"/>
      </w:pPr>
      <w:r>
        <w:rPr>
          <w:rFonts w:ascii="Calibri" w:hAnsi="Calibri"/>
          <w:color w:val="222222"/>
        </w:rPr>
        <w:t>C</w:t>
      </w:r>
    </w:p>
    <w:p>
      <w:pPr>
        <w:keepNext/>
        <w:keepLines/>
      </w:pPr>
      <w:r>
        <w:rPr>
          <w:rFonts w:ascii="Calibri" w:hAnsi="Calibri"/>
          <w:b/>
          <w:color w:val="222222"/>
        </w:rPr>
        <w:t>Cached fallback</w:t>
      </w:r>
    </w:p>
    <w:p>
      <w:r>
        <w:rPr>
          <w:rFonts w:ascii="Calibri" w:hAnsi="Calibri"/>
          <w:color w:val="222222"/>
        </w:rPr>
        <w:t>A versioned copy of a public API response used when live retrieval is unavailable. It must have a retrieval timestamp and integrity evidence and must be labeled as cached when used.</w:t>
      </w:r>
    </w:p>
    <w:p>
      <w:pPr>
        <w:keepNext/>
        <w:keepLines/>
      </w:pPr>
      <w:r>
        <w:rPr>
          <w:rFonts w:ascii="Calibri" w:hAnsi="Calibri"/>
          <w:b/>
          <w:color w:val="222222"/>
        </w:rPr>
        <w:t>CFDE</w:t>
      </w:r>
    </w:p>
    <w:p>
      <w:r>
        <w:rPr>
          <w:rFonts w:ascii="Calibri" w:hAnsi="Calibri"/>
          <w:color w:val="222222"/>
        </w:rPr>
        <w:t>Common Fund Data Ecosystem, an NIH Common Fund effort supporting discovery, access, interoperability, and reuse across Common Fund data resources.</w:t>
      </w:r>
    </w:p>
    <w:p>
      <w:pPr>
        <w:keepNext/>
        <w:keepLines/>
      </w:pPr>
      <w:r>
        <w:rPr>
          <w:rFonts w:ascii="Calibri" w:hAnsi="Calibri"/>
          <w:b/>
          <w:color w:val="222222"/>
        </w:rPr>
        <w:t>Chemical class</w:t>
      </w:r>
    </w:p>
    <w:p>
      <w:r>
        <w:rPr>
          <w:rFonts w:ascii="Calibri" w:hAnsi="Calibri"/>
          <w:color w:val="222222"/>
        </w:rPr>
        <w:t>A group of compounds sharing a defined chemical relationship. A class-level count of reported metabolites describes dataset coverage, not the total concentration or abundance of that class.</w:t>
      </w:r>
    </w:p>
    <w:p>
      <w:pPr>
        <w:keepNext/>
        <w:keepLines/>
      </w:pPr>
      <w:r>
        <w:rPr>
          <w:rFonts w:ascii="Calibri" w:hAnsi="Calibri"/>
          <w:b/>
          <w:color w:val="222222"/>
        </w:rPr>
        <w:t>Clinical or behavioral phenotype</w:t>
      </w:r>
    </w:p>
    <w:p>
      <w:r>
        <w:rPr>
          <w:rFonts w:ascii="Calibri" w:hAnsi="Calibri"/>
          <w:color w:val="222222"/>
        </w:rPr>
        <w:t>A measured characteristic or exposure such as diet pattern, exercise dose, age, disease status, fitness, or adherence. The protocol and timing define what the field means.</w:t>
      </w:r>
    </w:p>
    <w:p>
      <w:pPr>
        <w:keepNext/>
        <w:keepLines/>
      </w:pPr>
      <w:r>
        <w:rPr>
          <w:rFonts w:ascii="Calibri" w:hAnsi="Calibri"/>
          <w:b/>
          <w:color w:val="222222"/>
        </w:rPr>
        <w:t>Code cell</w:t>
      </w:r>
    </w:p>
    <w:p>
      <w:r>
        <w:rPr>
          <w:rFonts w:ascii="Calibri" w:hAnsi="Calibri"/>
          <w:color w:val="222222"/>
        </w:rPr>
        <w:t xml:space="preserve">A notebook block that contains executable code. In Jupyter, click the cell and press </w:t>
      </w:r>
      <w:r>
        <w:rPr>
          <w:rFonts w:ascii="Calibri" w:hAnsi="Calibri"/>
          <w:b/>
          <w:color w:val="222222"/>
        </w:rPr>
        <w:t>Shift+Enter</w:t>
      </w:r>
      <w:r>
        <w:rPr>
          <w:rFonts w:ascii="Calibri" w:hAnsi="Calibri"/>
          <w:color w:val="222222"/>
        </w:rPr>
        <w:t xml:space="preserve"> to run it. </w:t>
      </w:r>
      <w:r>
        <w:rPr>
          <w:rFonts w:ascii="Consolas" w:hAnsi="Consolas"/>
          <w:color w:val="1F4D78"/>
          <w:sz w:val="21"/>
          <w:shd w:fill="EEF1F4"/>
        </w:rPr>
        <w:t>[*]</w:t>
      </w:r>
      <w:r>
        <w:rPr>
          <w:rFonts w:ascii="Calibri" w:hAnsi="Calibri"/>
          <w:color w:val="222222"/>
        </w:rPr>
        <w:t xml:space="preserve"> means the cell is running and a number means it finished.</w:t>
      </w:r>
    </w:p>
    <w:p>
      <w:pPr>
        <w:keepNext/>
        <w:keepLines/>
      </w:pPr>
      <w:r>
        <w:rPr>
          <w:rFonts w:ascii="Calibri" w:hAnsi="Calibri"/>
          <w:b/>
          <w:color w:val="222222"/>
        </w:rPr>
        <w:t>Controlled-compute environment</w:t>
      </w:r>
    </w:p>
    <w:p>
      <w:r>
        <w:rPr>
          <w:rFonts w:ascii="Calibri" w:hAnsi="Calibri"/>
          <w:color w:val="222222"/>
        </w:rPr>
        <w:t>An approved workspace in which governed data remain and analyses run. Only policy-permitted outputs may leave the environment.</w:t>
      </w:r>
    </w:p>
    <w:p>
      <w:pPr>
        <w:keepNext/>
        <w:keepLines/>
      </w:pPr>
      <w:r>
        <w:rPr>
          <w:rFonts w:ascii="Calibri" w:hAnsi="Calibri"/>
          <w:b/>
          <w:color w:val="222222"/>
        </w:rPr>
        <w:t>Cross-study pooling</w:t>
      </w:r>
    </w:p>
    <w:p>
      <w:r>
        <w:rPr>
          <w:rFonts w:ascii="Calibri" w:hAnsi="Calibri"/>
          <w:color w:val="222222"/>
        </w:rPr>
        <w:t>Combining participant-level or sample-level quantitative values from separate studies into one analysis as though they formed a common measurement process. Name harmonization alone does not justify pooling.</w:t>
      </w:r>
    </w:p>
    <w:p>
      <w:pPr>
        <w:keepNext/>
        <w:keepLines/>
      </w:pPr>
      <w:r>
        <w:rPr>
          <w:rFonts w:ascii="Calibri" w:hAnsi="Calibri"/>
          <w:b/>
          <w:color w:val="222222"/>
        </w:rPr>
        <w:t>Crosswalk</w:t>
      </w:r>
    </w:p>
    <w:p>
      <w:r>
        <w:rPr>
          <w:rFonts w:ascii="Calibri" w:hAnsi="Calibri"/>
          <w:color w:val="222222"/>
        </w:rPr>
        <w:t>A provenance-preserving table linking source fields or analytes to harmonized representations, with transformation rules, evidence, information loss, status, and downstream eligibility.</w:t>
      </w:r>
    </w:p>
    <w:p>
      <w:pPr>
        <w:pStyle w:val="Heading2"/>
      </w:pPr>
      <w:r>
        <w:rPr>
          <w:rFonts w:ascii="Calibri" w:hAnsi="Calibri"/>
          <w:color w:val="222222"/>
        </w:rPr>
        <w:t>D</w:t>
      </w:r>
    </w:p>
    <w:p>
      <w:pPr>
        <w:keepNext/>
        <w:keepLines/>
      </w:pPr>
      <w:r>
        <w:rPr>
          <w:rFonts w:ascii="Calibri" w:hAnsi="Calibri"/>
          <w:b/>
          <w:color w:val="222222"/>
        </w:rPr>
        <w:t>Data provenance</w:t>
      </w:r>
    </w:p>
    <w:p>
      <w:r>
        <w:rPr>
          <w:rFonts w:ascii="Calibri" w:hAnsi="Calibri"/>
          <w:color w:val="222222"/>
        </w:rPr>
        <w:t>Evidence describing where a value came from and how it was retrieved, transformed, reviewed, and used. In this module it includes accession, analysis ID, endpoint, timestamp, source label, mapping query, rule version, and decision.</w:t>
      </w:r>
    </w:p>
    <w:p>
      <w:pPr>
        <w:keepNext/>
        <w:keepLines/>
      </w:pPr>
      <w:r>
        <w:rPr>
          <w:rFonts w:ascii="Calibri" w:hAnsi="Calibri"/>
          <w:b/>
          <w:color w:val="222222"/>
        </w:rPr>
        <w:t>Data-use agreement (DUA)</w:t>
      </w:r>
    </w:p>
    <w:p>
      <w:r>
        <w:rPr>
          <w:rFonts w:ascii="Calibri" w:hAnsi="Calibri"/>
          <w:color w:val="222222"/>
        </w:rPr>
        <w:t>An agreement defining permitted use, security, confidentiality, sharing, publication, and other responsibilities for a dataset. Requirements are resource- and release-specific.</w:t>
      </w:r>
    </w:p>
    <w:p>
      <w:pPr>
        <w:keepNext/>
        <w:keepLines/>
      </w:pPr>
      <w:r>
        <w:rPr>
          <w:rFonts w:ascii="Calibri" w:hAnsi="Calibri"/>
          <w:b/>
          <w:color w:val="222222"/>
        </w:rPr>
        <w:t>Directly comparable</w:t>
      </w:r>
    </w:p>
    <w:p>
      <w:r>
        <w:rPr>
          <w:rFonts w:ascii="Calibri" w:hAnsi="Calibri"/>
          <w:color w:val="222222"/>
        </w:rPr>
        <w:t>Two fields represent the same construct at sufficient granularity for a stated use, with compatible coding or a transparent lossless conversion.</w:t>
      </w:r>
    </w:p>
    <w:p>
      <w:pPr>
        <w:pStyle w:val="Heading2"/>
      </w:pPr>
      <w:r>
        <w:rPr>
          <w:rFonts w:ascii="Calibri" w:hAnsi="Calibri"/>
          <w:color w:val="222222"/>
        </w:rPr>
        <w:t>E</w:t>
      </w:r>
    </w:p>
    <w:p>
      <w:pPr>
        <w:keepNext/>
        <w:keepLines/>
      </w:pPr>
      <w:r>
        <w:rPr>
          <w:rFonts w:ascii="Calibri" w:hAnsi="Calibri"/>
          <w:b/>
          <w:color w:val="222222"/>
        </w:rPr>
        <w:t>EEN</w:t>
      </w:r>
    </w:p>
    <w:p>
      <w:r>
        <w:rPr>
          <w:rFonts w:ascii="Calibri" w:hAnsi="Calibri"/>
          <w:color w:val="222222"/>
        </w:rPr>
        <w:t xml:space="preserve">Exclusive enteral nutrition. In the </w:t>
      </w:r>
      <w:r>
        <w:rPr>
          <w:rFonts w:ascii="Consolas" w:hAnsi="Consolas"/>
          <w:color w:val="1F4D78"/>
          <w:sz w:val="21"/>
          <w:shd w:fill="EEF1F4"/>
        </w:rPr>
        <w:t>ST001521</w:t>
      </w:r>
      <w:r>
        <w:rPr>
          <w:rFonts w:ascii="Calibri" w:hAnsi="Calibri"/>
          <w:color w:val="222222"/>
        </w:rPr>
        <w:t xml:space="preserve"> study summary, an EEN diet is one of the diet conditions. The deposited factor label </w:t>
      </w:r>
      <w:r>
        <w:rPr>
          <w:rFonts w:ascii="Consolas" w:hAnsi="Consolas"/>
          <w:color w:val="1F4D78"/>
          <w:sz w:val="21"/>
          <w:shd w:fill="EEF1F4"/>
        </w:rPr>
        <w:t>Modulen</w:t>
      </w:r>
      <w:r>
        <w:rPr>
          <w:rFonts w:ascii="Calibri" w:hAnsi="Calibri"/>
          <w:color w:val="222222"/>
        </w:rPr>
        <w:t xml:space="preserve"> refers to the named EEN product in the protocol; preserve both the source label and protocol interpretation.</w:t>
      </w:r>
    </w:p>
    <w:p>
      <w:pPr>
        <w:keepNext/>
        <w:keepLines/>
      </w:pPr>
      <w:r>
        <w:rPr>
          <w:rFonts w:ascii="Calibri" w:hAnsi="Calibri"/>
          <w:b/>
          <w:color w:val="222222"/>
        </w:rPr>
        <w:t>Eligibility rule</w:t>
      </w:r>
    </w:p>
    <w:p>
      <w:r>
        <w:rPr>
          <w:rFonts w:ascii="Calibri" w:hAnsi="Calibri"/>
          <w:color w:val="222222"/>
        </w:rPr>
        <w:t>An explicit rule determining whether a sample, feature, or mapping participates in a particular analysis. Eligibility may differ for exact-name overlap, class summaries, QC diagnostics, and quantitative analysis.</w:t>
      </w:r>
    </w:p>
    <w:p>
      <w:pPr>
        <w:keepNext/>
        <w:keepLines/>
      </w:pPr>
      <w:r>
        <w:rPr>
          <w:rFonts w:ascii="Calibri" w:hAnsi="Calibri"/>
          <w:b/>
          <w:color w:val="222222"/>
        </w:rPr>
        <w:t>Estimand</w:t>
      </w:r>
    </w:p>
    <w:p>
      <w:r>
        <w:rPr>
          <w:rFonts w:ascii="Calibri" w:hAnsi="Calibri"/>
          <w:color w:val="222222"/>
        </w:rPr>
        <w:t>A precise description of the quantity a study or analysis aims to estimate, including population, exposure or intervention, outcome, time, and summary measure.</w:t>
      </w:r>
    </w:p>
    <w:p>
      <w:pPr>
        <w:pStyle w:val="Heading2"/>
      </w:pPr>
      <w:r>
        <w:rPr>
          <w:rFonts w:ascii="Calibri" w:hAnsi="Calibri"/>
          <w:color w:val="222222"/>
        </w:rPr>
        <w:t>F</w:t>
      </w:r>
    </w:p>
    <w:p>
      <w:pPr>
        <w:keepNext/>
        <w:keepLines/>
      </w:pPr>
      <w:r>
        <w:rPr>
          <w:rFonts w:ascii="Calibri" w:hAnsi="Calibri"/>
          <w:b/>
          <w:color w:val="222222"/>
        </w:rPr>
        <w:t>FAIR</w:t>
      </w:r>
    </w:p>
    <w:p>
      <w:r>
        <w:rPr>
          <w:rFonts w:ascii="Calibri" w:hAnsi="Calibri"/>
          <w:color w:val="222222"/>
        </w:rPr>
        <w:t>Findable, accessible, interoperable, and reusable. FAIR does not mean unrestricted or free of governance; controlled data can be FAIR when access conditions are clear and machine-actionable.</w:t>
      </w:r>
    </w:p>
    <w:p>
      <w:pPr>
        <w:keepNext/>
        <w:keepLines/>
      </w:pPr>
      <w:r>
        <w:rPr>
          <w:rFonts w:ascii="Calibri" w:hAnsi="Calibri"/>
          <w:b/>
          <w:color w:val="222222"/>
        </w:rPr>
        <w:t>FARMM</w:t>
      </w:r>
    </w:p>
    <w:p>
      <w:r>
        <w:rPr>
          <w:rFonts w:ascii="Calibri" w:hAnsi="Calibri"/>
          <w:color w:val="222222"/>
        </w:rPr>
        <w:t xml:space="preserve">Food And Resulting Microbial Metabolites, the study context represented by </w:t>
      </w:r>
      <w:r>
        <w:rPr>
          <w:rFonts w:ascii="Consolas" w:hAnsi="Consolas"/>
          <w:color w:val="1F4D78"/>
          <w:sz w:val="21"/>
          <w:shd w:fill="EEF1F4"/>
        </w:rPr>
        <w:t>ST001521</w:t>
      </w:r>
      <w:r>
        <w:rPr>
          <w:rFonts w:ascii="Calibri" w:hAnsi="Calibri"/>
          <w:color w:val="222222"/>
        </w:rPr>
        <w:t>. Its longitudinal design includes three diet groups and an antibiotic/polyethylene glycol intervention.</w:t>
      </w:r>
    </w:p>
    <w:p>
      <w:pPr>
        <w:keepNext/>
        <w:keepLines/>
      </w:pPr>
      <w:r>
        <w:rPr>
          <w:rFonts w:ascii="Calibri" w:hAnsi="Calibri"/>
          <w:b/>
          <w:color w:val="222222"/>
        </w:rPr>
        <w:t>Fasting state</w:t>
      </w:r>
    </w:p>
    <w:p>
      <w:r>
        <w:rPr>
          <w:rFonts w:ascii="Calibri" w:hAnsi="Calibri"/>
          <w:color w:val="222222"/>
        </w:rPr>
        <w:t xml:space="preserve">Whether and for how long a participant abstained from caloric intake before collection. A binary </w:t>
      </w:r>
      <w:r>
        <w:rPr>
          <w:rFonts w:ascii="Consolas" w:hAnsi="Consolas"/>
          <w:color w:val="1F4D78"/>
          <w:sz w:val="21"/>
          <w:shd w:fill="EEF1F4"/>
        </w:rPr>
        <w:t>fasted</w:t>
      </w:r>
      <w:r>
        <w:rPr>
          <w:rFonts w:ascii="Calibri" w:hAnsi="Calibri"/>
          <w:color w:val="222222"/>
        </w:rPr>
        <w:t xml:space="preserve"> field and a measured fasting duration are only partially comparable for some purposes.</w:t>
      </w:r>
    </w:p>
    <w:p>
      <w:pPr>
        <w:keepNext/>
        <w:keepLines/>
      </w:pPr>
      <w:r>
        <w:rPr>
          <w:rFonts w:ascii="Calibri" w:hAnsi="Calibri"/>
          <w:b/>
          <w:color w:val="222222"/>
        </w:rPr>
        <w:t>Feature</w:t>
      </w:r>
    </w:p>
    <w:p>
      <w:r>
        <w:rPr>
          <w:rFonts w:ascii="Calibri" w:hAnsi="Calibri"/>
          <w:color w:val="222222"/>
        </w:rPr>
        <w:t>An analytical signal, often defined by mass-to-charge ratio, retention time, and other attributes. An untargeted feature may be unidentified or map ambiguously to compounds.</w:t>
      </w:r>
    </w:p>
    <w:p>
      <w:pPr>
        <w:pStyle w:val="Heading2"/>
      </w:pPr>
      <w:r>
        <w:rPr>
          <w:rFonts w:ascii="Calibri" w:hAnsi="Calibri"/>
          <w:color w:val="222222"/>
        </w:rPr>
        <w:t>H</w:t>
      </w:r>
    </w:p>
    <w:p>
      <w:pPr>
        <w:keepNext/>
        <w:keepLines/>
      </w:pPr>
      <w:r>
        <w:rPr>
          <w:rFonts w:ascii="Calibri" w:hAnsi="Calibri"/>
          <w:b/>
          <w:color w:val="222222"/>
        </w:rPr>
        <w:t>Harmonization</w:t>
      </w:r>
    </w:p>
    <w:p>
      <w:r>
        <w:rPr>
          <w:rFonts w:ascii="Calibri" w:hAnsi="Calibri"/>
          <w:color w:val="222222"/>
        </w:rPr>
        <w:t>The documented alignment of representations while preserving provenance, incompatibility, and information loss. It improves structural comparability; it does not guarantee statistical exchangeability.</w:t>
      </w:r>
    </w:p>
    <w:p>
      <w:pPr>
        <w:keepNext/>
        <w:keepLines/>
      </w:pPr>
      <w:r>
        <w:rPr>
          <w:rFonts w:ascii="Calibri" w:hAnsi="Calibri"/>
          <w:b/>
          <w:color w:val="222222"/>
        </w:rPr>
        <w:t>HMDB ID</w:t>
      </w:r>
    </w:p>
    <w:p>
      <w:r>
        <w:rPr>
          <w:rFonts w:ascii="Calibri" w:hAnsi="Calibri"/>
          <w:color w:val="222222"/>
        </w:rPr>
        <w:t>An identifier in the Human Metabolome Database. It can provide a useful cross-reference but is not interchangeable with a RefMet name or proof of an experimental identification.</w:t>
      </w:r>
    </w:p>
    <w:p>
      <w:pPr>
        <w:pStyle w:val="Heading2"/>
      </w:pPr>
      <w:r>
        <w:rPr>
          <w:rFonts w:ascii="Calibri" w:hAnsi="Calibri"/>
          <w:color w:val="222222"/>
        </w:rPr>
        <w:t>I</w:t>
      </w:r>
    </w:p>
    <w:p>
      <w:pPr>
        <w:keepNext/>
        <w:keepLines/>
      </w:pPr>
      <w:r>
        <w:rPr>
          <w:rFonts w:ascii="Calibri" w:hAnsi="Calibri"/>
          <w:b/>
          <w:color w:val="222222"/>
        </w:rPr>
        <w:t>Identification confidence</w:t>
      </w:r>
    </w:p>
    <w:p>
      <w:r>
        <w:rPr>
          <w:rFonts w:ascii="Calibri" w:hAnsi="Calibri"/>
          <w:color w:val="222222"/>
        </w:rPr>
        <w:t>The evidence supporting a metabolite assignment. A standardized name does not increase the experimental evidence originally reported.</w:t>
      </w:r>
    </w:p>
    <w:p>
      <w:pPr>
        <w:keepNext/>
        <w:keepLines/>
      </w:pPr>
      <w:r>
        <w:rPr>
          <w:rFonts w:ascii="Calibri" w:hAnsi="Calibri"/>
          <w:b/>
          <w:color w:val="222222"/>
        </w:rPr>
        <w:t>InChIKey</w:t>
      </w:r>
    </w:p>
    <w:p>
      <w:r>
        <w:rPr>
          <w:rFonts w:ascii="Calibri" w:hAnsi="Calibri"/>
          <w:color w:val="222222"/>
        </w:rPr>
        <w:t>A fixed-length hash derived from an InChI chemical representation. Its blocks encode different layers of structural and protonation information. Representation differences can yield different keys for related forms.</w:t>
      </w:r>
    </w:p>
    <w:p>
      <w:pPr>
        <w:keepNext/>
        <w:keepLines/>
      </w:pPr>
      <w:r>
        <w:rPr>
          <w:rFonts w:ascii="Calibri" w:hAnsi="Calibri"/>
          <w:b/>
          <w:color w:val="222222"/>
        </w:rPr>
        <w:t>Information loss</w:t>
      </w:r>
    </w:p>
    <w:p>
      <w:r>
        <w:rPr>
          <w:rFonts w:ascii="Calibri" w:hAnsi="Calibri"/>
          <w:color w:val="222222"/>
        </w:rPr>
        <w:t>Detail removed or collapsed during harmonization, such as reducing fasting hours to a binary flag or combining plasma and serum under a broad blood-derived-fluid category.</w:t>
      </w:r>
    </w:p>
    <w:p>
      <w:pPr>
        <w:keepNext/>
        <w:keepLines/>
      </w:pPr>
      <w:r>
        <w:rPr>
          <w:rFonts w:ascii="Calibri" w:hAnsi="Calibri"/>
          <w:b/>
          <w:color w:val="222222"/>
        </w:rPr>
        <w:t>Ion mode</w:t>
      </w:r>
    </w:p>
    <w:p>
      <w:r>
        <w:rPr>
          <w:rFonts w:ascii="Calibri" w:hAnsi="Calibri"/>
          <w:color w:val="222222"/>
        </w:rPr>
        <w:t>Positive or negative ionization mode in mass spectrometry. Different modes can detect different subsets of metabolites and can create analysis-specific duplicates.</w:t>
      </w:r>
    </w:p>
    <w:p>
      <w:pPr>
        <w:pStyle w:val="Heading2"/>
      </w:pPr>
      <w:r>
        <w:rPr>
          <w:rFonts w:ascii="Calibri" w:hAnsi="Calibri"/>
          <w:color w:val="222222"/>
        </w:rPr>
        <w:t>J</w:t>
      </w:r>
    </w:p>
    <w:p>
      <w:pPr>
        <w:keepNext/>
        <w:keepLines/>
      </w:pPr>
      <w:r>
        <w:rPr>
          <w:rFonts w:ascii="Calibri" w:hAnsi="Calibri"/>
          <w:b/>
          <w:color w:val="222222"/>
        </w:rPr>
        <w:t>JupyterLab</w:t>
      </w:r>
    </w:p>
    <w:p>
      <w:r>
        <w:rPr>
          <w:rFonts w:ascii="Calibri" w:hAnsi="Calibri"/>
          <w:color w:val="222222"/>
        </w:rPr>
        <w:t>The browser-based interface used to read and run the Python notebook. A Jupyter notebook mixes instructions, code cells, and saved outputs in one file.</w:t>
      </w:r>
    </w:p>
    <w:p>
      <w:pPr>
        <w:keepNext/>
        <w:keepLines/>
      </w:pPr>
      <w:r>
        <w:rPr>
          <w:rFonts w:ascii="Calibri" w:hAnsi="Calibri"/>
          <w:b/>
          <w:color w:val="222222"/>
        </w:rPr>
        <w:t>Join cardinality</w:t>
      </w:r>
    </w:p>
    <w:p>
      <w:r>
        <w:rPr>
          <w:rFonts w:ascii="Calibri" w:hAnsi="Calibri"/>
          <w:color w:val="222222"/>
        </w:rPr>
        <w:t>The relationship between keys in two tables: one-to-one, one-to-many, many-to-one, or many-to-many. An unexpected many-to-many join can duplicate measurements and must be resolved before analysis.</w:t>
      </w:r>
    </w:p>
    <w:p>
      <w:pPr>
        <w:pStyle w:val="Heading2"/>
      </w:pPr>
      <w:r>
        <w:rPr>
          <w:rFonts w:ascii="Calibri" w:hAnsi="Calibri"/>
          <w:color w:val="222222"/>
        </w:rPr>
        <w:t>K</w:t>
      </w:r>
    </w:p>
    <w:p>
      <w:pPr>
        <w:keepNext/>
        <w:keepLines/>
      </w:pPr>
      <w:r>
        <w:rPr>
          <w:rFonts w:ascii="Calibri" w:hAnsi="Calibri"/>
          <w:b/>
          <w:color w:val="222222"/>
        </w:rPr>
        <w:t>Kernel</w:t>
      </w:r>
    </w:p>
    <w:p>
      <w:r>
        <w:rPr>
          <w:rFonts w:ascii="Calibri" w:hAnsi="Calibri"/>
          <w:color w:val="222222"/>
        </w:rPr>
        <w:t>The Python process that runs notebook code and stores objects created by earlier cells. Restarting the kernel clears that memory, which is why the module asks learners to run cells from top to bottom.</w:t>
      </w:r>
    </w:p>
    <w:p>
      <w:pPr>
        <w:keepNext/>
        <w:keepLines/>
      </w:pPr>
      <w:r>
        <w:rPr>
          <w:rFonts w:ascii="Calibri" w:hAnsi="Calibri"/>
          <w:b/>
          <w:color w:val="222222"/>
        </w:rPr>
        <w:t>KEGG compound ID</w:t>
      </w:r>
    </w:p>
    <w:p>
      <w:r>
        <w:rPr>
          <w:rFonts w:ascii="Calibri" w:hAnsi="Calibri"/>
          <w:color w:val="222222"/>
        </w:rPr>
        <w:t>An identifier used in the KEGG compound resource and pathway ecosystem. It is useful for pathway linking but is not a universal identity key.</w:t>
      </w:r>
    </w:p>
    <w:p>
      <w:pPr>
        <w:pStyle w:val="Heading2"/>
      </w:pPr>
      <w:r>
        <w:rPr>
          <w:rFonts w:ascii="Calibri" w:hAnsi="Calibri"/>
          <w:color w:val="222222"/>
        </w:rPr>
        <w:t>L</w:t>
      </w:r>
    </w:p>
    <w:p>
      <w:pPr>
        <w:keepNext/>
        <w:keepLines/>
      </w:pPr>
      <w:r>
        <w:rPr>
          <w:rFonts w:ascii="Calibri" w:hAnsi="Calibri"/>
          <w:b/>
          <w:color w:val="222222"/>
        </w:rPr>
        <w:t>LC-MS</w:t>
      </w:r>
    </w:p>
    <w:p>
      <w:r>
        <w:rPr>
          <w:rFonts w:ascii="Calibri" w:hAnsi="Calibri"/>
          <w:color w:val="222222"/>
        </w:rPr>
        <w:t>Liquid chromatography coupled with mass spectrometry. Chromatography, ionization, instrument, acquisition, and preprocessing choices influence coverage and measurement values.</w:t>
      </w:r>
    </w:p>
    <w:p>
      <w:pPr>
        <w:keepNext/>
        <w:keepLines/>
      </w:pPr>
      <w:r>
        <w:rPr>
          <w:rFonts w:ascii="Calibri" w:hAnsi="Calibri"/>
          <w:b/>
          <w:color w:val="222222"/>
        </w:rPr>
        <w:t>Longitudinal design</w:t>
      </w:r>
    </w:p>
    <w:p>
      <w:r>
        <w:rPr>
          <w:rFonts w:ascii="Calibri" w:hAnsi="Calibri"/>
          <w:color w:val="222222"/>
        </w:rPr>
        <w:t>A design with repeated observations over time. Samples from the same participant are correlated and must not be treated as independent people.</w:t>
      </w:r>
    </w:p>
    <w:p>
      <w:pPr>
        <w:pStyle w:val="Heading2"/>
      </w:pPr>
      <w:r>
        <w:rPr>
          <w:rFonts w:ascii="Calibri" w:hAnsi="Calibri"/>
          <w:color w:val="222222"/>
        </w:rPr>
        <w:t>M</w:t>
      </w:r>
    </w:p>
    <w:p>
      <w:pPr>
        <w:keepNext/>
        <w:keepLines/>
      </w:pPr>
      <w:r>
        <w:rPr>
          <w:rFonts w:ascii="Calibri" w:hAnsi="Calibri"/>
          <w:b/>
          <w:color w:val="222222"/>
        </w:rPr>
        <w:t>Mapping status</w:t>
      </w:r>
    </w:p>
    <w:p>
      <w:r>
        <w:rPr>
          <w:rFonts w:ascii="Calibri" w:hAnsi="Calibri"/>
          <w:color w:val="222222"/>
        </w:rPr>
        <w:t>The reviewed state of a crosswalk row, such as accepted exact, accepted broader, review required, unmapped, excluded nonbiological, or not evaluated.</w:t>
      </w:r>
    </w:p>
    <w:p>
      <w:pPr>
        <w:keepNext/>
        <w:keepLines/>
      </w:pPr>
      <w:r>
        <w:rPr>
          <w:rFonts w:ascii="Calibri" w:hAnsi="Calibri"/>
          <w:b/>
          <w:color w:val="222222"/>
        </w:rPr>
        <w:t>Matrix</w:t>
      </w:r>
    </w:p>
    <w:p>
      <w:r>
        <w:rPr>
          <w:rFonts w:ascii="Calibri" w:hAnsi="Calibri"/>
          <w:color w:val="222222"/>
        </w:rPr>
        <w:t>The biological material measured, such as plasma or serum. Plasma and serum are both blood-derived but differ in collection and composition and remain distinct in this module.</w:t>
      </w:r>
    </w:p>
    <w:p>
      <w:pPr>
        <w:keepNext/>
        <w:keepLines/>
      </w:pPr>
      <w:r>
        <w:rPr>
          <w:rFonts w:ascii="Calibri" w:hAnsi="Calibri"/>
          <w:b/>
          <w:color w:val="222222"/>
        </w:rPr>
        <w:t>Metabolite overlap</w:t>
      </w:r>
    </w:p>
    <w:p>
      <w:r>
        <w:rPr>
          <w:rFonts w:ascii="Calibri" w:hAnsi="Calibri"/>
          <w:color w:val="222222"/>
        </w:rPr>
        <w:t>The intersection of two explicitly defined analyte sets. The result depends on mapping status, annotation resolution, artifact exclusions, duplicate collapse, and denominator.</w:t>
      </w:r>
    </w:p>
    <w:p>
      <w:pPr>
        <w:keepNext/>
        <w:keepLines/>
      </w:pPr>
      <w:r>
        <w:rPr>
          <w:rFonts w:ascii="Calibri" w:hAnsi="Calibri"/>
          <w:b/>
          <w:color w:val="222222"/>
        </w:rPr>
        <w:t>Metabolomics Workbench</w:t>
      </w:r>
    </w:p>
    <w:p>
      <w:r>
        <w:rPr>
          <w:rFonts w:ascii="Calibri" w:hAnsi="Calibri"/>
          <w:color w:val="222222"/>
        </w:rPr>
        <w:t>The platform hosting the National Metabolomics Data Repository and tools including the REST service and RefMet.</w:t>
      </w:r>
    </w:p>
    <w:p>
      <w:pPr>
        <w:keepNext/>
        <w:keepLines/>
      </w:pPr>
      <w:r>
        <w:rPr>
          <w:rFonts w:ascii="Calibri" w:hAnsi="Calibri"/>
          <w:b/>
          <w:color w:val="222222"/>
        </w:rPr>
        <w:t>MetENP</w:t>
      </w:r>
    </w:p>
    <w:p>
      <w:r>
        <w:rPr>
          <w:rFonts w:ascii="Calibri" w:hAnsi="Calibri"/>
          <w:color w:val="222222"/>
        </w:rPr>
        <w:t>A CFDE-supported resource for metabolite enrichment and network/pathway interpretation. Its output inherits the identification, background-universe, and coverage limits of its inputs.</w:t>
      </w:r>
    </w:p>
    <w:p>
      <w:pPr>
        <w:keepNext/>
        <w:keepLines/>
      </w:pPr>
      <w:r>
        <w:rPr>
          <w:rFonts w:ascii="Calibri" w:hAnsi="Calibri"/>
          <w:b/>
          <w:color w:val="222222"/>
        </w:rPr>
        <w:t>MoTrPAC</w:t>
      </w:r>
    </w:p>
    <w:p>
      <w:r>
        <w:rPr>
          <w:rFonts w:ascii="Calibri" w:hAnsi="Calibri"/>
          <w:color w:val="222222"/>
        </w:rPr>
        <w:t>Molecular Transducers of Physical Activity Consortium. It develops molecular maps of physical activity and provides public and restricted data pathways depending on the specific release.</w:t>
      </w:r>
    </w:p>
    <w:p>
      <w:pPr>
        <w:keepNext/>
        <w:keepLines/>
      </w:pPr>
      <w:r>
        <w:rPr>
          <w:rFonts w:ascii="Calibri" w:hAnsi="Calibri"/>
          <w:b/>
          <w:color w:val="222222"/>
        </w:rPr>
        <w:t>mwTab</w:t>
      </w:r>
    </w:p>
    <w:p>
      <w:r>
        <w:rPr>
          <w:rFonts w:ascii="Calibri" w:hAnsi="Calibri"/>
          <w:color w:val="222222"/>
        </w:rPr>
        <w:t>The sectioned data and metadata format used by Metabolomics Workbench. Blocks can describe study, subject, factors, collection, sample preparation, analytical methods, and metabolite measurements.</w:t>
      </w:r>
    </w:p>
    <w:p>
      <w:pPr>
        <w:pStyle w:val="Heading2"/>
      </w:pPr>
      <w:r>
        <w:rPr>
          <w:rFonts w:ascii="Calibri" w:hAnsi="Calibri"/>
          <w:color w:val="222222"/>
        </w:rPr>
        <w:t>N</w:t>
      </w:r>
    </w:p>
    <w:p>
      <w:pPr>
        <w:keepNext/>
        <w:keepLines/>
      </w:pPr>
      <w:r>
        <w:rPr>
          <w:rFonts w:ascii="Calibri" w:hAnsi="Calibri"/>
          <w:b/>
          <w:color w:val="222222"/>
        </w:rPr>
        <w:t>NMDR</w:t>
      </w:r>
    </w:p>
    <w:p>
      <w:r>
        <w:rPr>
          <w:rFonts w:ascii="Calibri" w:hAnsi="Calibri"/>
          <w:color w:val="222222"/>
        </w:rPr>
        <w:t>National Metabolomics Data Repository, hosted through Metabolomics Workbench.</w:t>
      </w:r>
    </w:p>
    <w:p>
      <w:pPr>
        <w:keepNext/>
        <w:keepLines/>
      </w:pPr>
      <w:r>
        <w:rPr>
          <w:rFonts w:ascii="Calibri" w:hAnsi="Calibri"/>
          <w:b/>
          <w:color w:val="222222"/>
        </w:rPr>
        <w:t>NPH</w:t>
      </w:r>
    </w:p>
    <w:p>
      <w:r>
        <w:rPr>
          <w:rFonts w:ascii="Calibri" w:hAnsi="Calibri"/>
          <w:color w:val="222222"/>
        </w:rPr>
        <w:t>Nutrition for Precision Health, powered by the All of Us Research Program. Public NIH documentation describes a modular precision nutrition study whose data are stored and analyzed in the All of Us Researcher Workbench.</w:t>
      </w:r>
    </w:p>
    <w:p>
      <w:pPr>
        <w:keepNext/>
        <w:keepLines/>
      </w:pPr>
      <w:r>
        <w:rPr>
          <w:rFonts w:ascii="Calibri" w:hAnsi="Calibri"/>
          <w:b/>
          <w:color w:val="222222"/>
        </w:rPr>
        <w:t>Not yet assessable</w:t>
      </w:r>
    </w:p>
    <w:p>
      <w:r>
        <w:rPr>
          <w:rFonts w:ascii="Calibri" w:hAnsi="Calibri"/>
          <w:color w:val="222222"/>
        </w:rPr>
        <w:t>A compatibility status used when essential evidence is missing or unresolved. It must not be silently converted to comparable or not comparable.</w:t>
      </w:r>
    </w:p>
    <w:p>
      <w:pPr>
        <w:keepNext/>
        <w:keepLines/>
      </w:pPr>
      <w:r>
        <w:rPr>
          <w:rFonts w:ascii="Calibri" w:hAnsi="Calibri"/>
          <w:b/>
          <w:color w:val="222222"/>
        </w:rPr>
        <w:t>Notebook</w:t>
      </w:r>
    </w:p>
    <w:p>
      <w:r>
        <w:rPr>
          <w:rFonts w:ascii="Calibri" w:hAnsi="Calibri"/>
          <w:color w:val="222222"/>
        </w:rPr>
        <w:t xml:space="preserve">An </w:t>
      </w:r>
      <w:r>
        <w:rPr>
          <w:rFonts w:ascii="Consolas" w:hAnsi="Consolas"/>
          <w:color w:val="1F4D78"/>
          <w:sz w:val="21"/>
          <w:shd w:fill="EEF1F4"/>
        </w:rPr>
        <w:t>.ipynb</w:t>
      </w:r>
      <w:r>
        <w:rPr>
          <w:rFonts w:ascii="Calibri" w:hAnsi="Calibri"/>
          <w:color w:val="222222"/>
        </w:rPr>
        <w:t xml:space="preserve"> file containing instructions, code, and outputs. The primary notebook for this module is </w:t>
      </w:r>
      <w:r>
        <w:rPr>
          <w:rFonts w:ascii="Consolas" w:hAnsi="Consolas"/>
          <w:color w:val="1F4D78"/>
          <w:sz w:val="21"/>
          <w:shd w:fill="EEF1F4"/>
        </w:rPr>
        <w:t>metabo_diet_harmonization.ipynb</w:t>
      </w:r>
      <w:r>
        <w:rPr>
          <w:rFonts w:ascii="Calibri" w:hAnsi="Calibri"/>
          <w:color w:val="222222"/>
        </w:rPr>
        <w:t>.</w:t>
      </w:r>
    </w:p>
    <w:p>
      <w:pPr>
        <w:pStyle w:val="Heading2"/>
      </w:pPr>
      <w:r>
        <w:rPr>
          <w:rFonts w:ascii="Calibri" w:hAnsi="Calibri"/>
          <w:color w:val="222222"/>
        </w:rPr>
        <w:t>P</w:t>
      </w:r>
    </w:p>
    <w:p>
      <w:pPr>
        <w:keepNext/>
        <w:keepLines/>
      </w:pPr>
      <w:r>
        <w:rPr>
          <w:rFonts w:ascii="Calibri" w:hAnsi="Calibri"/>
          <w:b/>
          <w:color w:val="222222"/>
        </w:rPr>
        <w:t>Partially comparable</w:t>
      </w:r>
    </w:p>
    <w:p>
      <w:r>
        <w:rPr>
          <w:rFonts w:ascii="Calibri" w:hAnsi="Calibri"/>
          <w:color w:val="222222"/>
        </w:rPr>
        <w:t>Two fields share a broader construct but differ in granularity, timing, protocol, matrix, or measurement. They may support a coarser or stratified use if the difference remains visible.</w:t>
      </w:r>
    </w:p>
    <w:p>
      <w:pPr>
        <w:keepNext/>
        <w:keepLines/>
      </w:pPr>
      <w:r>
        <w:rPr>
          <w:rFonts w:ascii="Calibri" w:hAnsi="Calibri"/>
          <w:b/>
          <w:color w:val="222222"/>
        </w:rPr>
        <w:t>PCA</w:t>
      </w:r>
    </w:p>
    <w:p>
      <w:r>
        <w:rPr>
          <w:rFonts w:ascii="Calibri" w:hAnsi="Calibri"/>
          <w:color w:val="222222"/>
        </w:rPr>
        <w:t>Principal component analysis, an unsupervised linear method that summarizes major directions of variance. PCA is sensitive to preprocessing and does not identify causal mechanisms.</w:t>
      </w:r>
    </w:p>
    <w:p>
      <w:pPr>
        <w:keepNext/>
        <w:keepLines/>
      </w:pPr>
      <w:r>
        <w:rPr>
          <w:rFonts w:ascii="Calibri" w:hAnsi="Calibri"/>
          <w:b/>
          <w:color w:val="222222"/>
        </w:rPr>
        <w:t>Peak area</w:t>
      </w:r>
    </w:p>
    <w:p>
      <w:r>
        <w:rPr>
          <w:rFonts w:ascii="Calibri" w:hAnsi="Calibri"/>
          <w:color w:val="222222"/>
        </w:rPr>
        <w:t>An integrated analytical signal. Peak areas from different assays are not made directly comparable merely by scaling or using the same metabolite name.</w:t>
      </w:r>
    </w:p>
    <w:p>
      <w:pPr>
        <w:keepNext/>
        <w:keepLines/>
      </w:pPr>
      <w:r>
        <w:rPr>
          <w:rFonts w:ascii="Calibri" w:hAnsi="Calibri"/>
          <w:b/>
          <w:color w:val="222222"/>
        </w:rPr>
        <w:t>Phenotype anchor</w:t>
      </w:r>
    </w:p>
    <w:p>
      <w:r>
        <w:rPr>
          <w:rFonts w:ascii="Calibri" w:hAnsi="Calibri"/>
          <w:color w:val="222222"/>
        </w:rPr>
        <w:t>The exposure or intervention context around which a study is organized, such as controlled feeding or an acute endurance exercise bout.</w:t>
      </w:r>
    </w:p>
    <w:p>
      <w:pPr>
        <w:keepNext/>
        <w:keepLines/>
      </w:pPr>
      <w:r>
        <w:rPr>
          <w:rFonts w:ascii="Calibri" w:hAnsi="Calibri"/>
          <w:b/>
          <w:color w:val="222222"/>
        </w:rPr>
        <w:t>Physiological timepoint</w:t>
      </w:r>
    </w:p>
    <w:p>
      <w:r>
        <w:rPr>
          <w:rFonts w:ascii="Calibri" w:hAnsi="Calibri"/>
          <w:color w:val="222222"/>
        </w:rPr>
        <w:t xml:space="preserve">A time label defined by an anchor event, offset, unit, and biological state, rather than only a code such as </w:t>
      </w:r>
      <w:r>
        <w:rPr>
          <w:rFonts w:ascii="Consolas" w:hAnsi="Consolas"/>
          <w:color w:val="1F4D78"/>
          <w:sz w:val="21"/>
          <w:shd w:fill="EEF1F4"/>
        </w:rPr>
        <w:t>post</w:t>
      </w:r>
      <w:r>
        <w:rPr>
          <w:rFonts w:ascii="Calibri" w:hAnsi="Calibri"/>
          <w:color w:val="222222"/>
        </w:rPr>
        <w:t xml:space="preserve"> or </w:t>
      </w:r>
      <w:r>
        <w:rPr>
          <w:rFonts w:ascii="Consolas" w:hAnsi="Consolas"/>
          <w:color w:val="1F4D78"/>
          <w:sz w:val="21"/>
          <w:shd w:fill="EEF1F4"/>
        </w:rPr>
        <w:t>T2</w:t>
      </w:r>
      <w:r>
        <w:rPr>
          <w:rFonts w:ascii="Calibri" w:hAnsi="Calibri"/>
          <w:color w:val="222222"/>
        </w:rPr>
        <w:t>.</w:t>
      </w:r>
    </w:p>
    <w:p>
      <w:pPr>
        <w:keepNext/>
        <w:keepLines/>
      </w:pPr>
      <w:r>
        <w:rPr>
          <w:rFonts w:ascii="Calibri" w:hAnsi="Calibri"/>
          <w:b/>
          <w:color w:val="222222"/>
        </w:rPr>
        <w:t>Pooled QC</w:t>
      </w:r>
    </w:p>
    <w:p>
      <w:r>
        <w:rPr>
          <w:rFonts w:ascii="Calibri" w:hAnsi="Calibri"/>
          <w:color w:val="222222"/>
        </w:rPr>
        <w:t xml:space="preserve">A quality-control sample created by combining aliquots, often used to monitor analytical stability. In </w:t>
      </w:r>
      <w:r>
        <w:rPr>
          <w:rFonts w:ascii="Consolas" w:hAnsi="Consolas"/>
          <w:color w:val="1F4D78"/>
          <w:sz w:val="21"/>
          <w:shd w:fill="EEF1F4"/>
        </w:rPr>
        <w:t>ST001521</w:t>
      </w:r>
      <w:r>
        <w:rPr>
          <w:rFonts w:ascii="Calibri" w:hAnsi="Calibri"/>
          <w:color w:val="222222"/>
        </w:rPr>
        <w:t xml:space="preserve">, </w:t>
      </w:r>
      <w:r>
        <w:rPr>
          <w:rFonts w:ascii="Consolas" w:hAnsi="Consolas"/>
          <w:color w:val="1F4D78"/>
          <w:sz w:val="21"/>
          <w:shd w:fill="EEF1F4"/>
        </w:rPr>
        <w:t>QPP...</w:t>
      </w:r>
      <w:r>
        <w:rPr>
          <w:rFonts w:ascii="Calibri" w:hAnsi="Calibri"/>
          <w:color w:val="222222"/>
        </w:rPr>
        <w:t xml:space="preserve"> rows are pooled QC candidates and are excluded from biological participant counts.</w:t>
      </w:r>
    </w:p>
    <w:p>
      <w:pPr>
        <w:keepNext/>
        <w:keepLines/>
      </w:pPr>
      <w:r>
        <w:rPr>
          <w:rFonts w:ascii="Calibri" w:hAnsi="Calibri"/>
          <w:b/>
          <w:color w:val="222222"/>
        </w:rPr>
        <w:t>PubChem CID</w:t>
      </w:r>
    </w:p>
    <w:p>
      <w:r>
        <w:rPr>
          <w:rFonts w:ascii="Calibri" w:hAnsi="Calibri"/>
          <w:color w:val="222222"/>
        </w:rPr>
        <w:t>A record identifier in PubChem. Record form and structural specificity must be reviewed when using it as a cross-reference.</w:t>
      </w:r>
    </w:p>
    <w:p>
      <w:pPr>
        <w:pStyle w:val="Heading2"/>
      </w:pPr>
      <w:r>
        <w:rPr>
          <w:rFonts w:ascii="Calibri" w:hAnsi="Calibri"/>
          <w:color w:val="222222"/>
        </w:rPr>
        <w:t>R</w:t>
      </w:r>
    </w:p>
    <w:p>
      <w:pPr>
        <w:keepNext/>
        <w:keepLines/>
      </w:pPr>
      <w:r>
        <w:rPr>
          <w:rFonts w:ascii="Calibri" w:hAnsi="Calibri"/>
          <w:b/>
          <w:color w:val="222222"/>
        </w:rPr>
        <w:t>REC3 and REC22</w:t>
      </w:r>
    </w:p>
    <w:p>
      <w:r>
        <w:rPr>
          <w:rFonts w:ascii="Calibri" w:hAnsi="Calibri"/>
          <w:color w:val="222222"/>
        </w:rPr>
        <w:t xml:space="preserve">In </w:t>
      </w:r>
      <w:r>
        <w:rPr>
          <w:rFonts w:ascii="Consolas" w:hAnsi="Consolas"/>
          <w:color w:val="1F4D78"/>
          <w:sz w:val="21"/>
          <w:shd w:fill="EEF1F4"/>
        </w:rPr>
        <w:t>ST003348</w:t>
      </w:r>
      <w:r>
        <w:rPr>
          <w:rFonts w:ascii="Calibri" w:hAnsi="Calibri"/>
          <w:color w:val="222222"/>
        </w:rPr>
        <w:t>, collection labels for 3 hours and 22 hours after exercise, respectively.</w:t>
      </w:r>
    </w:p>
    <w:p>
      <w:pPr>
        <w:keepNext/>
        <w:keepLines/>
      </w:pPr>
      <w:r>
        <w:rPr>
          <w:rFonts w:ascii="Calibri" w:hAnsi="Calibri"/>
          <w:b/>
          <w:color w:val="222222"/>
        </w:rPr>
        <w:t>RefMet</w:t>
      </w:r>
    </w:p>
    <w:p>
      <w:r>
        <w:rPr>
          <w:rFonts w:ascii="Calibri" w:hAnsi="Calibri"/>
          <w:color w:val="222222"/>
        </w:rPr>
        <w:t>A reference nomenclature for metabolomics designed to standardize names for discrete structures and analytically reported metabolite species. A RefMet mapping is a naming result, not proof of identification or quantitative equivalence.</w:t>
      </w:r>
    </w:p>
    <w:p>
      <w:pPr>
        <w:keepNext/>
        <w:keepLines/>
      </w:pPr>
      <w:r>
        <w:rPr>
          <w:rFonts w:ascii="Calibri" w:hAnsi="Calibri"/>
          <w:b/>
          <w:color w:val="222222"/>
        </w:rPr>
        <w:t>REST</w:t>
      </w:r>
    </w:p>
    <w:p>
      <w:r>
        <w:rPr>
          <w:rFonts w:ascii="Calibri" w:hAnsi="Calibri"/>
          <w:color w:val="222222"/>
        </w:rPr>
        <w:t xml:space="preserve">Representational State Transfer. In this module, </w:t>
      </w:r>
      <w:r>
        <w:rPr>
          <w:rFonts w:ascii="Consolas" w:hAnsi="Consolas"/>
          <w:color w:val="1F4D78"/>
          <w:sz w:val="21"/>
          <w:shd w:fill="EEF1F4"/>
        </w:rPr>
        <w:t>REST</w:t>
      </w:r>
      <w:r>
        <w:rPr>
          <w:rFonts w:ascii="Calibri" w:hAnsi="Calibri"/>
          <w:color w:val="222222"/>
        </w:rPr>
        <w:t xml:space="preserve"> can also appear as the </w:t>
      </w:r>
      <w:r>
        <w:rPr>
          <w:rFonts w:ascii="Consolas" w:hAnsi="Consolas"/>
          <w:color w:val="1F4D78"/>
          <w:sz w:val="21"/>
          <w:shd w:fill="EEF1F4"/>
        </w:rPr>
        <w:t>ST003348</w:t>
      </w:r>
      <w:r>
        <w:rPr>
          <w:rFonts w:ascii="Calibri" w:hAnsi="Calibri"/>
          <w:color w:val="222222"/>
        </w:rPr>
        <w:t xml:space="preserve"> pre-exercise timepoint label. Context distinguishes the MW REST API from the exercise collection label.</w:t>
      </w:r>
    </w:p>
    <w:p>
      <w:pPr>
        <w:keepNext/>
        <w:keepLines/>
      </w:pPr>
      <w:r>
        <w:rPr>
          <w:rFonts w:ascii="Calibri" w:hAnsi="Calibri"/>
          <w:b/>
          <w:color w:val="222222"/>
        </w:rPr>
        <w:t>REST API</w:t>
      </w:r>
    </w:p>
    <w:p>
      <w:r>
        <w:rPr>
          <w:rFonts w:ascii="Calibri" w:hAnsi="Calibri"/>
          <w:color w:val="222222"/>
        </w:rPr>
        <w:t>Metabolomics Workbench's URL-based service for programmatic access to study, compound, RefMet, and other contexts.</w:t>
      </w:r>
    </w:p>
    <w:p>
      <w:pPr>
        <w:pStyle w:val="Heading2"/>
      </w:pPr>
      <w:r>
        <w:rPr>
          <w:rFonts w:ascii="Calibri" w:hAnsi="Calibri"/>
          <w:color w:val="222222"/>
        </w:rPr>
        <w:t>S</w:t>
      </w:r>
    </w:p>
    <w:p>
      <w:pPr>
        <w:keepNext/>
        <w:keepLines/>
      </w:pPr>
      <w:r>
        <w:rPr>
          <w:rFonts w:ascii="Calibri" w:hAnsi="Calibri"/>
          <w:b/>
          <w:color w:val="222222"/>
        </w:rPr>
        <w:t>Sample role</w:t>
      </w:r>
    </w:p>
    <w:p>
      <w:r>
        <w:rPr>
          <w:rFonts w:ascii="Calibri" w:hAnsi="Calibri"/>
          <w:color w:val="222222"/>
        </w:rPr>
        <w:t>The analytical purpose of a row, such as biological, pooled QC, blank, technical standard, or unknown.</w:t>
      </w:r>
    </w:p>
    <w:p>
      <w:pPr>
        <w:keepNext/>
        <w:keepLines/>
      </w:pPr>
      <w:r>
        <w:rPr>
          <w:rFonts w:ascii="Calibri" w:hAnsi="Calibri"/>
          <w:b/>
          <w:color w:val="222222"/>
        </w:rPr>
        <w:t>Serum</w:t>
      </w:r>
    </w:p>
    <w:p>
      <w:r>
        <w:rPr>
          <w:rFonts w:ascii="Calibri" w:hAnsi="Calibri"/>
          <w:color w:val="222222"/>
        </w:rPr>
        <w:t xml:space="preserve">The liquid fraction obtained after blood clotting. The </w:t>
      </w:r>
      <w:r>
        <w:rPr>
          <w:rFonts w:ascii="Consolas" w:hAnsi="Consolas"/>
          <w:color w:val="1F4D78"/>
          <w:sz w:val="21"/>
          <w:shd w:fill="EEF1F4"/>
        </w:rPr>
        <w:t>ST003348</w:t>
      </w:r>
      <w:r>
        <w:rPr>
          <w:rFonts w:ascii="Calibri" w:hAnsi="Calibri"/>
          <w:color w:val="222222"/>
        </w:rPr>
        <w:t xml:space="preserve"> factors endpoint says </w:t>
      </w:r>
      <w:r>
        <w:rPr>
          <w:rFonts w:ascii="Consolas" w:hAnsi="Consolas"/>
          <w:color w:val="1F4D78"/>
          <w:sz w:val="21"/>
          <w:shd w:fill="EEF1F4"/>
        </w:rPr>
        <w:t>blood</w:t>
      </w:r>
      <w:r>
        <w:rPr>
          <w:rFonts w:ascii="Calibri" w:hAnsi="Calibri"/>
          <w:color w:val="222222"/>
        </w:rPr>
        <w:t>, while its collection metadata specifies serum; the module preserves both and uses serum as the supported specific matrix.</w:t>
      </w:r>
    </w:p>
    <w:p>
      <w:pPr>
        <w:keepNext/>
        <w:keepLines/>
      </w:pPr>
      <w:r>
        <w:rPr>
          <w:rFonts w:ascii="Calibri" w:hAnsi="Calibri"/>
          <w:b/>
          <w:color w:val="222222"/>
        </w:rPr>
        <w:t>Specimen context</w:t>
      </w:r>
    </w:p>
    <w:p>
      <w:r>
        <w:rPr>
          <w:rFonts w:ascii="Calibri" w:hAnsi="Calibri"/>
          <w:color w:val="222222"/>
        </w:rPr>
        <w:t>Matrix, anatomical source, collection conditions, processing, storage, fasting state, and related evidence needed to interpret a measurement.</w:t>
      </w:r>
    </w:p>
    <w:p>
      <w:pPr>
        <w:keepNext/>
        <w:keepLines/>
      </w:pPr>
      <w:r>
        <w:rPr>
          <w:rFonts w:ascii="Calibri" w:hAnsi="Calibri"/>
          <w:b/>
          <w:color w:val="222222"/>
        </w:rPr>
        <w:t>STAT</w:t>
      </w:r>
    </w:p>
    <w:p>
      <w:r>
        <w:rPr>
          <w:rFonts w:ascii="Calibri" w:hAnsi="Calibri"/>
          <w:color w:val="222222"/>
        </w:rPr>
        <w:t xml:space="preserve">In </w:t>
      </w:r>
      <w:r>
        <w:rPr>
          <w:rFonts w:ascii="Consolas" w:hAnsi="Consolas"/>
          <w:color w:val="1F4D78"/>
          <w:sz w:val="21"/>
          <w:shd w:fill="EEF1F4"/>
        </w:rPr>
        <w:t>ST003348</w:t>
      </w:r>
      <w:r>
        <w:rPr>
          <w:rFonts w:ascii="Calibri" w:hAnsi="Calibri"/>
          <w:color w:val="222222"/>
        </w:rPr>
        <w:t>, the immediately post-exercise collection label. It does not mean a generic post-intervention timepoint.</w:t>
      </w:r>
    </w:p>
    <w:p>
      <w:pPr>
        <w:keepNext/>
        <w:keepLines/>
      </w:pPr>
      <w:r>
        <w:rPr>
          <w:rFonts w:ascii="Calibri" w:hAnsi="Calibri"/>
          <w:b/>
          <w:color w:val="222222"/>
        </w:rPr>
        <w:t>Structural harmonization</w:t>
      </w:r>
    </w:p>
    <w:p>
      <w:r>
        <w:rPr>
          <w:rFonts w:ascii="Calibri" w:hAnsi="Calibri"/>
          <w:color w:val="222222"/>
        </w:rPr>
        <w:t>Alignment of names, fields, categories, and relationships. It does not by itself justify combining quantitative observations.</w:t>
      </w:r>
    </w:p>
    <w:p>
      <w:pPr>
        <w:keepNext/>
        <w:keepLines/>
      </w:pPr>
      <w:r>
        <w:rPr>
          <w:rFonts w:ascii="Calibri" w:hAnsi="Calibri"/>
          <w:b/>
          <w:color w:val="222222"/>
        </w:rPr>
        <w:t>Study accession</w:t>
      </w:r>
    </w:p>
    <w:p>
      <w:r>
        <w:rPr>
          <w:rFonts w:ascii="Calibri" w:hAnsi="Calibri"/>
          <w:color w:val="222222"/>
        </w:rPr>
        <w:t xml:space="preserve">A Metabolomics Workbench </w:t>
      </w:r>
      <w:r>
        <w:rPr>
          <w:rFonts w:ascii="Consolas" w:hAnsi="Consolas"/>
          <w:color w:val="1F4D78"/>
          <w:sz w:val="21"/>
          <w:shd w:fill="EEF1F4"/>
        </w:rPr>
        <w:t>ST...</w:t>
      </w:r>
      <w:r>
        <w:rPr>
          <w:rFonts w:ascii="Calibri" w:hAnsi="Calibri"/>
          <w:color w:val="222222"/>
        </w:rPr>
        <w:t xml:space="preserve"> identifier. The locked case studies are </w:t>
      </w:r>
      <w:r>
        <w:rPr>
          <w:rFonts w:ascii="Consolas" w:hAnsi="Consolas"/>
          <w:color w:val="1F4D78"/>
          <w:sz w:val="21"/>
          <w:shd w:fill="EEF1F4"/>
        </w:rPr>
        <w:t>ST001521</w:t>
      </w:r>
      <w:r>
        <w:rPr>
          <w:rFonts w:ascii="Calibri" w:hAnsi="Calibri"/>
          <w:color w:val="222222"/>
        </w:rPr>
        <w:t xml:space="preserve"> and </w:t>
      </w:r>
      <w:r>
        <w:rPr>
          <w:rFonts w:ascii="Consolas" w:hAnsi="Consolas"/>
          <w:color w:val="1F4D78"/>
          <w:sz w:val="21"/>
          <w:shd w:fill="EEF1F4"/>
        </w:rPr>
        <w:t>ST003348</w:t>
      </w:r>
      <w:r>
        <w:rPr>
          <w:rFonts w:ascii="Calibri" w:hAnsi="Calibri"/>
          <w:color w:val="222222"/>
        </w:rPr>
        <w:t>.</w:t>
      </w:r>
    </w:p>
    <w:p>
      <w:pPr>
        <w:pStyle w:val="Heading2"/>
      </w:pPr>
      <w:r>
        <w:rPr>
          <w:rFonts w:ascii="Calibri" w:hAnsi="Calibri"/>
          <w:color w:val="222222"/>
        </w:rPr>
        <w:t>T</w:t>
      </w:r>
    </w:p>
    <w:p>
      <w:pPr>
        <w:keepNext/>
        <w:keepLines/>
      </w:pPr>
      <w:r>
        <w:rPr>
          <w:rFonts w:ascii="Calibri" w:hAnsi="Calibri"/>
          <w:b/>
          <w:color w:val="222222"/>
        </w:rPr>
        <w:t>Targeted metabolomics</w:t>
      </w:r>
    </w:p>
    <w:p>
      <w:r>
        <w:rPr>
          <w:rFonts w:ascii="Calibri" w:hAnsi="Calibri"/>
          <w:color w:val="222222"/>
        </w:rPr>
        <w:t>Measurement focused on a defined analyte panel, often with method-specific quantitative or semiquantitative procedures. It differs from untargeted coverage and must not be assumed to share scale or detection properties.</w:t>
      </w:r>
    </w:p>
    <w:p>
      <w:pPr>
        <w:keepNext/>
        <w:keepLines/>
      </w:pPr>
      <w:r>
        <w:rPr>
          <w:rFonts w:ascii="Calibri" w:hAnsi="Calibri"/>
          <w:b/>
          <w:color w:val="222222"/>
        </w:rPr>
        <w:t>Time semantics</w:t>
      </w:r>
    </w:p>
    <w:p>
      <w:r>
        <w:rPr>
          <w:rFonts w:ascii="Calibri" w:hAnsi="Calibri"/>
          <w:color w:val="222222"/>
        </w:rPr>
        <w:t>The biological meaning of a time label, including anchor event, offset, unit, state, visit or period, and repeated-measures order.</w:t>
      </w:r>
    </w:p>
    <w:p>
      <w:pPr>
        <w:keepNext/>
        <w:keepLines/>
      </w:pPr>
      <w:r>
        <w:rPr>
          <w:rFonts w:ascii="Calibri" w:hAnsi="Calibri"/>
          <w:b/>
          <w:color w:val="222222"/>
        </w:rPr>
        <w:t>Terminal</w:t>
      </w:r>
    </w:p>
    <w:p>
      <w:r>
        <w:rPr>
          <w:rFonts w:ascii="Calibri" w:hAnsi="Calibri"/>
          <w:color w:val="222222"/>
        </w:rPr>
        <w:t>A text-based application used to enter commands. On macOS it is commonly called Terminal; on Windows this module uses PowerShell.</w:t>
      </w:r>
    </w:p>
    <w:p>
      <w:pPr>
        <w:keepNext/>
        <w:keepLines/>
      </w:pPr>
      <w:r>
        <w:rPr>
          <w:rFonts w:ascii="Calibri" w:hAnsi="Calibri"/>
          <w:b/>
          <w:color w:val="222222"/>
        </w:rPr>
        <w:t>Traceback</w:t>
      </w:r>
    </w:p>
    <w:p>
      <w:r>
        <w:rPr>
          <w:rFonts w:ascii="Calibri" w:hAnsi="Calibri"/>
          <w:color w:val="222222"/>
        </w:rPr>
        <w:t>The red error report shown when a Python cell fails. Keep the message and stop at the failed cell; it identifies where to begin troubleshooting.</w:t>
      </w:r>
    </w:p>
    <w:p>
      <w:pPr>
        <w:pStyle w:val="Heading2"/>
      </w:pPr>
      <w:r>
        <w:rPr>
          <w:rFonts w:ascii="Calibri" w:hAnsi="Calibri"/>
          <w:color w:val="222222"/>
        </w:rPr>
        <w:t>U</w:t>
      </w:r>
    </w:p>
    <w:p>
      <w:pPr>
        <w:keepNext/>
        <w:keepLines/>
      </w:pPr>
      <w:r>
        <w:rPr>
          <w:rFonts w:ascii="Calibri" w:hAnsi="Calibri"/>
          <w:b/>
          <w:color w:val="222222"/>
        </w:rPr>
        <w:t>Unit reconciliation</w:t>
      </w:r>
    </w:p>
    <w:p>
      <w:r>
        <w:rPr>
          <w:rFonts w:ascii="Calibri" w:hAnsi="Calibri"/>
          <w:color w:val="222222"/>
        </w:rPr>
        <w:t>A documented conversion performed only when the same quantity, compatible matrix and denominator, quantification basis, and conversion relationship are established.</w:t>
      </w:r>
    </w:p>
    <w:p>
      <w:pPr>
        <w:keepNext/>
        <w:keepLines/>
      </w:pPr>
      <w:r>
        <w:rPr>
          <w:rFonts w:ascii="Calibri" w:hAnsi="Calibri"/>
          <w:b/>
          <w:color w:val="222222"/>
        </w:rPr>
        <w:t>Untargeted metabolomics</w:t>
      </w:r>
    </w:p>
    <w:p>
      <w:r>
        <w:rPr>
          <w:rFonts w:ascii="Calibri" w:hAnsi="Calibri"/>
          <w:color w:val="222222"/>
        </w:rPr>
        <w:t>Broad profiling of analytical features without limiting measurement to a small predefined panel. Feature annotation and missingness require careful interpretation.</w:t>
      </w:r>
    </w:p>
    <w:p>
      <w:pPr>
        <w:pStyle w:val="Heading2"/>
      </w:pPr>
      <w:r>
        <w:rPr>
          <w:rFonts w:ascii="Calibri" w:hAnsi="Calibri"/>
          <w:color w:val="222222"/>
        </w:rPr>
        <w:t>V</w:t>
      </w:r>
    </w:p>
    <w:p>
      <w:pPr>
        <w:keepNext/>
        <w:keepLines/>
      </w:pPr>
      <w:r>
        <w:rPr>
          <w:rFonts w:ascii="Calibri" w:hAnsi="Calibri"/>
          <w:b/>
          <w:color w:val="222222"/>
        </w:rPr>
        <w:t>Virtual environment</w:t>
      </w:r>
    </w:p>
    <w:p>
      <w:r>
        <w:rPr>
          <w:rFonts w:ascii="Calibri" w:hAnsi="Calibri"/>
          <w:color w:val="222222"/>
        </w:rPr>
        <w:t xml:space="preserve">A project-specific Python installation directory, named </w:t>
      </w:r>
      <w:r>
        <w:rPr>
          <w:rFonts w:ascii="Consolas" w:hAnsi="Consolas"/>
          <w:color w:val="1F4D78"/>
          <w:sz w:val="21"/>
          <w:shd w:fill="EEF1F4"/>
        </w:rPr>
        <w:t>.venv</w:t>
      </w:r>
      <w:r>
        <w:rPr>
          <w:rFonts w:ascii="Calibri" w:hAnsi="Calibri"/>
          <w:color w:val="222222"/>
        </w:rPr>
        <w:t xml:space="preserve"> in this module. It keeps the course packages separate from other Python projects and lets Jupyter use the tested versions.</w:t>
      </w:r>
    </w:p>
    <w:p>
      <w:pPr>
        <w:pStyle w:val="Heading2"/>
      </w:pPr>
      <w:r>
        <w:rPr>
          <w:rFonts w:ascii="Calibri" w:hAnsi="Calibri"/>
          <w:color w:val="222222"/>
        </w:rPr>
        <w:t>W</w:t>
      </w:r>
    </w:p>
    <w:p>
      <w:pPr>
        <w:keepNext/>
        <w:keepLines/>
      </w:pPr>
      <w:r>
        <w:rPr>
          <w:rFonts w:ascii="Calibri" w:hAnsi="Calibri"/>
          <w:b/>
          <w:color w:val="222222"/>
        </w:rPr>
        <w:t>Within-study analysis</w:t>
      </w:r>
    </w:p>
    <w:p>
      <w:r>
        <w:rPr>
          <w:rFonts w:ascii="Calibri" w:hAnsi="Calibri"/>
          <w:color w:val="222222"/>
        </w:rPr>
        <w:t>An analysis fit separately inside one study using its own design, repeated measures, scale, and preprocessing. It is the default quantitative strategy in this module.</w:t>
      </w:r>
    </w:p>
    <w:p>
      <w:pPr>
        <w:pStyle w:val="Heading2"/>
      </w:pPr>
      <w:r>
        <w:rPr>
          <w:rFonts w:ascii="Calibri" w:hAnsi="Calibri"/>
          <w:color w:val="222222"/>
        </w:rPr>
        <w:t>Primary sources</w:t>
      </w:r>
    </w:p>
    <w:p>
      <w:pPr>
        <w:numPr>
          <w:ilvl w:val="0"/>
          <w:numId w:val="97"/>
        </w:numPr>
        <w:spacing w:after="80" w:line="300" w:lineRule="auto"/>
      </w:pPr>
      <w:r>
        <w:rPr>
          <w:rFonts w:ascii="Calibri" w:hAnsi="Calibri"/>
          <w:color w:val="222222"/>
        </w:rPr>
        <w:t xml:space="preserve">Fahy E, Subramaniam S. </w:t>
      </w:r>
      <w:hyperlink r:id="rId19">
        <w:r>
          <w:rPr>
            <w:rFonts w:ascii="Calibri" w:hAnsi="Calibri"/>
            <w:color w:val="2E74B5"/>
            <w:u w:val="single"/>
            <w:sz w:val="22"/>
          </w:rPr>
          <w:t>RefMet: a reference nomenclature for metabolomics</w:t>
        </w:r>
      </w:hyperlink>
      <w:r>
        <w:rPr>
          <w:rFonts w:ascii="Calibri" w:hAnsi="Calibri"/>
          <w:color w:val="222222"/>
        </w:rPr>
        <w:t xml:space="preserve">. </w:t>
      </w:r>
      <w:r>
        <w:rPr>
          <w:rFonts w:ascii="Calibri" w:hAnsi="Calibri"/>
          <w:i/>
          <w:color w:val="222222"/>
        </w:rPr>
        <w:t>Nature Methods</w:t>
      </w:r>
      <w:r>
        <w:rPr>
          <w:rFonts w:ascii="Calibri" w:hAnsi="Calibri"/>
          <w:color w:val="222222"/>
        </w:rPr>
        <w:t>. 2020;17:1173-1174.</w:t>
      </w:r>
    </w:p>
    <w:p>
      <w:pPr>
        <w:numPr>
          <w:ilvl w:val="0"/>
          <w:numId w:val="97"/>
        </w:numPr>
        <w:spacing w:after="80" w:line="300" w:lineRule="auto"/>
      </w:pPr>
      <w:r>
        <w:rPr>
          <w:rFonts w:ascii="Calibri" w:hAnsi="Calibri"/>
          <w:color w:val="222222"/>
        </w:rPr>
        <w:t xml:space="preserve">Metabolomics Workbench. </w:t>
      </w:r>
      <w:hyperlink r:id="rId16">
        <w:r>
          <w:rPr>
            <w:rFonts w:ascii="Calibri" w:hAnsi="Calibri"/>
            <w:color w:val="2E74B5"/>
            <w:u w:val="single"/>
            <w:sz w:val="22"/>
          </w:rPr>
          <w:t>REST Service</w:t>
        </w:r>
      </w:hyperlink>
      <w:r>
        <w:rPr>
          <w:rFonts w:ascii="Calibri" w:hAnsi="Calibri"/>
          <w:color w:val="222222"/>
        </w:rPr>
        <w:t xml:space="preserve">, </w:t>
      </w:r>
      <w:hyperlink r:id="rId28">
        <w:r>
          <w:rPr>
            <w:rFonts w:ascii="Calibri" w:hAnsi="Calibri"/>
            <w:color w:val="2E74B5"/>
            <w:u w:val="single"/>
            <w:sz w:val="22"/>
          </w:rPr>
          <w:t>RefMet</w:t>
        </w:r>
      </w:hyperlink>
      <w:r>
        <w:rPr>
          <w:rFonts w:ascii="Calibri" w:hAnsi="Calibri"/>
          <w:color w:val="222222"/>
        </w:rPr>
        <w:t xml:space="preserve">, and </w:t>
      </w:r>
      <w:hyperlink r:id="rId17">
        <w:r>
          <w:rPr>
            <w:rFonts w:ascii="Calibri" w:hAnsi="Calibri"/>
            <w:color w:val="2E74B5"/>
            <w:u w:val="single"/>
            <w:sz w:val="22"/>
          </w:rPr>
          <w:t>mwTab documentation</w:t>
        </w:r>
      </w:hyperlink>
      <w:r>
        <w:rPr>
          <w:rFonts w:ascii="Calibri" w:hAnsi="Calibri"/>
          <w:color w:val="222222"/>
        </w:rPr>
        <w:t>. Accessed August 10, 2026.</w:t>
      </w:r>
    </w:p>
    <w:p>
      <w:pPr>
        <w:numPr>
          <w:ilvl w:val="0"/>
          <w:numId w:val="97"/>
        </w:numPr>
        <w:spacing w:after="80" w:line="300" w:lineRule="auto"/>
      </w:pPr>
      <w:r>
        <w:rPr>
          <w:rFonts w:ascii="Calibri" w:hAnsi="Calibri"/>
          <w:color w:val="222222"/>
        </w:rPr>
        <w:t xml:space="preserve">Wilkinson MD, Dumontier M, Aalbersberg IJ, et al. </w:t>
      </w:r>
      <w:hyperlink r:id="rId23">
        <w:r>
          <w:rPr>
            <w:rFonts w:ascii="Calibri" w:hAnsi="Calibri"/>
            <w:color w:val="2E74B5"/>
            <w:u w:val="single"/>
            <w:sz w:val="22"/>
          </w:rPr>
          <w:t>The FAIR Guiding Principles for scientific data management and stewardship</w:t>
        </w:r>
      </w:hyperlink>
      <w:r>
        <w:rPr>
          <w:rFonts w:ascii="Calibri" w:hAnsi="Calibri"/>
          <w:color w:val="222222"/>
        </w:rPr>
        <w:t xml:space="preserve">. </w:t>
      </w:r>
      <w:r>
        <w:rPr>
          <w:rFonts w:ascii="Calibri" w:hAnsi="Calibri"/>
          <w:i/>
          <w:color w:val="222222"/>
        </w:rPr>
        <w:t>Scientific Data</w:t>
      </w:r>
      <w:r>
        <w:rPr>
          <w:rFonts w:ascii="Calibri" w:hAnsi="Calibri"/>
          <w:color w:val="222222"/>
        </w:rPr>
        <w:t>. 2016;3:160018.</w:t>
      </w:r>
    </w:p>
    <w:p>
      <w:pPr>
        <w:numPr>
          <w:ilvl w:val="0"/>
          <w:numId w:val="97"/>
        </w:numPr>
        <w:spacing w:after="80" w:line="300" w:lineRule="auto"/>
      </w:pPr>
      <w:r>
        <w:rPr>
          <w:rFonts w:ascii="Calibri" w:hAnsi="Calibri"/>
          <w:color w:val="222222"/>
        </w:rPr>
        <w:t xml:space="preserve">Sumner LW, Amberg A, Barrett D, et al. </w:t>
      </w:r>
      <w:hyperlink r:id="rId31">
        <w:r>
          <w:rPr>
            <w:rFonts w:ascii="Calibri" w:hAnsi="Calibri"/>
            <w:color w:val="2E74B5"/>
            <w:u w:val="single"/>
            <w:sz w:val="22"/>
          </w:rPr>
          <w:t>Proposed minimum reporting standards for chemical analysis</w:t>
        </w:r>
      </w:hyperlink>
      <w:r>
        <w:rPr>
          <w:rFonts w:ascii="Calibri" w:hAnsi="Calibri"/>
          <w:color w:val="222222"/>
        </w:rPr>
        <w:t xml:space="preserve">. </w:t>
      </w:r>
      <w:r>
        <w:rPr>
          <w:rFonts w:ascii="Calibri" w:hAnsi="Calibri"/>
          <w:i/>
          <w:color w:val="222222"/>
        </w:rPr>
        <w:t>Metabolomics</w:t>
      </w:r>
      <w:r>
        <w:rPr>
          <w:rFonts w:ascii="Calibri" w:hAnsi="Calibri"/>
          <w:color w:val="222222"/>
        </w:rPr>
        <w:t>. 2007;3:211-221.</w:t>
      </w:r>
    </w:p>
    <w:p>
      <w:r>
        <w:br w:type="page"/>
      </w:r>
    </w:p>
    <w:p>
      <w:pPr>
        <w:pStyle w:val="Heading1"/>
      </w:pPr>
      <w:r>
        <w:t>Appendix - PCA worked examples</w:t>
      </w:r>
    </w:p>
    <w:p>
      <w:r>
        <w:rPr>
          <w:rFonts w:ascii="Calibri" w:hAnsi="Calibri"/>
          <w:color w:val="222222"/>
        </w:rPr>
        <w:t>These figures are the exact worked examples generated by notebook Lesson 4. Find the corresponding code at NB-L4-PCA-DIET and NB-L4-PCA-EXERCISE in module/notebooks/metabo_diet_harmonization.ipynb. Each model has its own coordinate system; do not compare point positions or axis values across figures.</w:t>
      </w:r>
    </w:p>
    <w:p>
      <w:pPr>
        <w:pStyle w:val="Heading2"/>
        <w:keepNext/>
      </w:pPr>
      <w:r>
        <w:t>Figure A1 - Diet-study plasma PCA</w:t>
      </w:r>
    </w:p>
    <w:p>
      <w:pPr>
        <w:keepNext/>
        <w:spacing w:after="80"/>
        <w:jc w:val="center"/>
      </w:pPr>
      <w:r>
        <w:drawing>
          <wp:inline xmlns:a="http://schemas.openxmlformats.org/drawingml/2006/main" xmlns:pic="http://schemas.openxmlformats.org/drawingml/2006/picture">
            <wp:extent cx="5715000" cy="4246865"/>
            <wp:docPr id="1" name="Figure A1 - Diet-study plasma PCA" title="Figure A1 - Diet-study plasma PCA" descr="Scatterplot of 150 ST001521 plasma samples in a PCA fit only to analysis AN002534. Color identifies Western, Vegan, or Modulen diet labels and marker shape identifies Baseline, Day 5, Day 9, Day 12, or Day 15. PC1 explains 34.4 percent and PC2 explains 11.6 percent of variance."/>
            <wp:cNvGraphicFramePr>
              <a:graphicFrameLocks noChangeAspect="1"/>
            </wp:cNvGraphicFramePr>
            <a:graphic>
              <a:graphicData uri="http://schemas.openxmlformats.org/drawingml/2006/picture">
                <pic:pic>
                  <pic:nvPicPr>
                    <pic:cNvPr id="0" name="ST001521_AN002534_pca.png"/>
                    <pic:cNvPicPr/>
                  </pic:nvPicPr>
                  <pic:blipFill>
                    <a:blip r:embed="rId39"/>
                    <a:stretch>
                      <a:fillRect/>
                    </a:stretch>
                  </pic:blipFill>
                  <pic:spPr>
                    <a:xfrm>
                      <a:off x="0" y="0"/>
                      <a:ext cx="5715000" cy="4246865"/>
                    </a:xfrm>
                    <a:prstGeom prst="rect"/>
                  </pic:spPr>
                </pic:pic>
              </a:graphicData>
            </a:graphic>
          </wp:inline>
        </w:drawing>
      </w:r>
    </w:p>
    <w:p>
      <w:pPr>
        <w:pStyle w:val="Caption"/>
        <w:spacing w:before="0" w:after="120"/>
        <w:jc w:val="center"/>
      </w:pPr>
      <w:r>
        <w:rPr>
          <w:rFonts w:ascii="Calibri" w:hAnsi="Calibri"/>
          <w:color w:val="5A6570"/>
          <w:sz w:val="19"/>
        </w:rPr>
        <w:t>Figure A1. ST001521 / AN002534 within-study PCA of 150 biological plasma samples. The 10 pooled QPP samples are excluded.</w:t>
      </w:r>
    </w:p>
    <w:p>
      <w:pPr>
        <w:shd w:fill="F4F6F9"/>
        <w:pBdr>
          <w:left w:val="single" w:sz="16" w:space="8" w:color="9A6B12"/>
        </w:pBdr>
      </w:pPr>
      <w:r>
        <w:rPr>
          <w:rFonts w:ascii="Calibri" w:hAnsi="Calibri"/>
          <w:color w:val="1F4D78"/>
        </w:rPr>
        <w:t>How to read it: describe clustering or overlap as exploratory structure. The plot does not isolate a diet effect because setting, prior diet, antibiotics, PEG, time, and other design features can contribute.</w:t>
      </w:r>
    </w:p>
    <w:p>
      <w:r>
        <w:br w:type="page"/>
      </w:r>
    </w:p>
    <w:p>
      <w:pPr>
        <w:pStyle w:val="Heading2"/>
        <w:keepNext/>
      </w:pPr>
      <w:r>
        <w:t>Figure A2 - Exercise-study serum PCA</w:t>
      </w:r>
    </w:p>
    <w:p>
      <w:pPr>
        <w:keepNext/>
        <w:spacing w:after="80"/>
        <w:jc w:val="center"/>
      </w:pPr>
      <w:r>
        <w:drawing>
          <wp:inline xmlns:a="http://schemas.openxmlformats.org/drawingml/2006/main" xmlns:pic="http://schemas.openxmlformats.org/drawingml/2006/picture">
            <wp:extent cx="5715000" cy="4212277"/>
            <wp:docPr id="2" name="Figure A2 - Exercise-study serum PCA" title="Figure A2 - Exercise-study serum PCA" descr="Scatterplot of 76 ST003348 serum samples in a PCA fit only to analysis AN005483. Color identifies rest, immediate post-exercise, 3-hour recovery, or 22-hour recovery. PC1 explains 16.1 percent and PC2 explains 8.4 percent of variance."/>
            <wp:cNvGraphicFramePr>
              <a:graphicFrameLocks noChangeAspect="1"/>
            </wp:cNvGraphicFramePr>
            <a:graphic>
              <a:graphicData uri="http://schemas.openxmlformats.org/drawingml/2006/picture">
                <pic:pic>
                  <pic:nvPicPr>
                    <pic:cNvPr id="0" name="ST003348_AN005483_pca.png"/>
                    <pic:cNvPicPr/>
                  </pic:nvPicPr>
                  <pic:blipFill>
                    <a:blip r:embed="rId40"/>
                    <a:stretch>
                      <a:fillRect/>
                    </a:stretch>
                  </pic:blipFill>
                  <pic:spPr>
                    <a:xfrm>
                      <a:off x="0" y="0"/>
                      <a:ext cx="5715000" cy="4212277"/>
                    </a:xfrm>
                    <a:prstGeom prst="rect"/>
                  </pic:spPr>
                </pic:pic>
              </a:graphicData>
            </a:graphic>
          </wp:inline>
        </w:drawing>
      </w:r>
    </w:p>
    <w:p>
      <w:pPr>
        <w:pStyle w:val="Caption"/>
        <w:spacing w:before="0" w:after="120"/>
        <w:jc w:val="center"/>
      </w:pPr>
      <w:r>
        <w:rPr>
          <w:rFonts w:ascii="Calibri" w:hAnsi="Calibri"/>
          <w:color w:val="5A6570"/>
          <w:sz w:val="19"/>
        </w:rPr>
        <w:t>Figure A2. ST003348 / AN005483 within-study PCA of 76 serum samples after excluding explicit isotope-labeled/internal-standard rows.</w:t>
      </w:r>
    </w:p>
    <w:p>
      <w:pPr>
        <w:shd w:fill="F4F6F9"/>
        <w:pBdr>
          <w:left w:val="single" w:sz="16" w:space="8" w:color="9A6B12"/>
        </w:pBdr>
      </w:pPr>
      <w:r>
        <w:rPr>
          <w:rFonts w:ascii="Calibri" w:hAnsi="Calibri"/>
          <w:color w:val="1F4D78"/>
        </w:rPr>
        <w:t>How to read it: the timepoint pattern is exploratory and can also reflect fasting, clock time, repeated measures, or analytical structure. PCA alone is not a repeated-measures test and does not prove causation.</w:t>
      </w:r>
    </w:p>
    <w:p>
      <w:r>
        <w:br w:type="page"/>
      </w:r>
    </w:p>
    <w:p>
      <w:pPr>
        <w:pStyle w:val="Heading1"/>
      </w:pPr>
      <w:r>
        <w:t>Appendix - Data provenance</w:t>
      </w:r>
    </w:p>
    <w:p>
      <w:r>
        <w:rPr>
          <w:rFonts w:ascii="Calibri" w:hAnsi="Calibri"/>
          <w:color w:val="222222"/>
        </w:rPr>
        <w:t>This appendix summarizes the versioned evidence trail used by the release. The machine-readable source is module/data/provenance.json.</w:t>
      </w:r>
    </w:p>
    <w:tbl>
      <w:tblPr>
        <w:tblStyle w:val="TableGrid"/>
        <w:tblW w:type="dxa" w:w="9360"/>
        <w:jc w:val="left"/>
        <w:tblLayout w:type="fixed"/>
        <w:tblLook w:firstColumn="1" w:firstRow="1" w:lastColumn="0" w:lastRow="0" w:noHBand="0" w:noVBand="1" w:val="04A0"/>
        <w:tblInd w:w="120" w:type="dxa"/>
      </w:tblPr>
      <w:tblGrid>
        <w:gridCol w:w="3356"/>
        <w:gridCol w:w="6004"/>
      </w:tblGrid>
      <w:tr>
        <w:trPr>
          <w:cantSplit w:val="true"/>
          <w:tblHeader w:val="true"/>
        </w:trPr>
        <w:tc>
          <w:tcPr>
            <w:tcW w:type="dxa" w:w="3356"/>
            <w:tcMar>
              <w:top w:w="80" w:type="dxa"/>
              <w:bottom w:w="80" w:type="dxa"/>
              <w:start w:w="120" w:type="dxa"/>
              <w:end w:w="120" w:type="dxa"/>
            </w:tcMar>
            <w:vAlign w:val="center"/>
            <w:shd w:fill="E8EEF5"/>
          </w:tcPr>
          <w:p>
            <w:pPr>
              <w:spacing w:before="0" w:after="0" w:line="269" w:lineRule="auto"/>
              <w:jc w:val="left"/>
            </w:pPr>
            <w:r>
              <w:rPr>
                <w:b/>
                <w:color w:val="203748"/>
              </w:rPr>
            </w:r>
            <w:r>
              <w:rPr>
                <w:rFonts w:ascii="Calibri" w:hAnsi="Calibri"/>
                <w:b/>
                <w:color w:val="203748"/>
                <w:sz w:val="18"/>
              </w:rPr>
              <w:t>Provenance field</w:t>
            </w:r>
          </w:p>
        </w:tc>
        <w:tc>
          <w:tcPr>
            <w:tcW w:type="dxa" w:w="6004"/>
            <w:tcMar>
              <w:top w:w="80" w:type="dxa"/>
              <w:bottom w:w="80" w:type="dxa"/>
              <w:start w:w="120" w:type="dxa"/>
              <w:end w:w="120" w:type="dxa"/>
            </w:tcMar>
            <w:vAlign w:val="center"/>
            <w:shd w:fill="E8EEF5"/>
          </w:tcPr>
          <w:p>
            <w:pPr>
              <w:spacing w:before="0" w:after="0" w:line="269" w:lineRule="auto"/>
              <w:jc w:val="center"/>
            </w:pPr>
            <w:r>
              <w:rPr>
                <w:b/>
                <w:color w:val="203748"/>
              </w:rPr>
            </w:r>
            <w:r>
              <w:rPr>
                <w:rFonts w:ascii="Calibri" w:hAnsi="Calibri"/>
                <w:b/>
                <w:color w:val="203748"/>
                <w:sz w:val="18"/>
              </w:rPr>
              <w:t>Release value</w:t>
            </w:r>
          </w:p>
        </w:tc>
      </w:tr>
      <w:tr>
        <w:trPr>
          <w:cantSplit w:val="true"/>
        </w:trPr>
        <w:tc>
          <w:tcPr>
            <w:tcW w:type="dxa" w:w="3356"/>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Repository</w:t>
            </w:r>
          </w:p>
        </w:tc>
        <w:tc>
          <w:tcPr>
            <w:tcW w:type="dxa" w:w="6004"/>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Metabolomics Workbench / National Metabolomics Data Repository</w:t>
            </w:r>
          </w:p>
        </w:tc>
      </w:tr>
      <w:tr>
        <w:trPr>
          <w:cantSplit w:val="true"/>
        </w:trPr>
        <w:tc>
          <w:tcPr>
            <w:tcW w:type="dxa" w:w="3356"/>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Retrieval time (UTC)</w:t>
            </w:r>
          </w:p>
        </w:tc>
        <w:tc>
          <w:tcPr>
            <w:tcW w:type="dxa" w:w="6004"/>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2026-08-10T11:44:11Z</w:t>
            </w:r>
          </w:p>
        </w:tc>
      </w:tr>
      <w:tr>
        <w:trPr>
          <w:cantSplit w:val="true"/>
        </w:trPr>
        <w:tc>
          <w:tcPr>
            <w:tcW w:type="dxa" w:w="3356"/>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Access model</w:t>
            </w:r>
          </w:p>
        </w:tc>
        <w:tc>
          <w:tcPr>
            <w:tcW w:type="dxa" w:w="6004"/>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open; no login, registration, credential, or data-use agreement required for the selected public REST records</w:t>
            </w:r>
          </w:p>
        </w:tc>
      </w:tr>
      <w:tr>
        <w:trPr>
          <w:cantSplit w:val="true"/>
        </w:trPr>
        <w:tc>
          <w:tcPr>
            <w:tcW w:type="dxa" w:w="3356"/>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Selection status</w:t>
            </w:r>
          </w:p>
        </w:tc>
        <w:tc>
          <w:tcPr>
            <w:tcW w:type="dxa" w:w="6004"/>
            <w:tcMar>
              <w:top w:w="80" w:type="dxa"/>
              <w:bottom w:w="80" w:type="dxa"/>
              <w:start w:w="120" w:type="dxa"/>
              <w:end w:w="120" w:type="dxa"/>
            </w:tcMar>
            <w:vAlign w:val="center"/>
          </w:tcPr>
          <w:p>
            <w:pPr>
              <w:spacing w:before="0" w:after="0" w:line="269" w:lineRule="auto"/>
              <w:jc w:val="center"/>
            </w:pPr>
            <w:r/>
            <w:r>
              <w:rPr>
                <w:rFonts w:ascii="Calibri" w:hAnsi="Calibri"/>
                <w:color w:val="222222"/>
                <w:sz w:val="18"/>
              </w:rPr>
              <w:t>locked</w:t>
            </w:r>
          </w:p>
        </w:tc>
      </w:tr>
      <w:tr>
        <w:trPr>
          <w:cantSplit w:val="true"/>
        </w:trPr>
        <w:tc>
          <w:tcPr>
            <w:tcW w:type="dxa" w:w="3356"/>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Manifest schema</w:t>
            </w:r>
          </w:p>
        </w:tc>
        <w:tc>
          <w:tcPr>
            <w:tcW w:type="dxa" w:w="6004"/>
            <w:tcMar>
              <w:top w:w="80" w:type="dxa"/>
              <w:bottom w:w="80" w:type="dxa"/>
              <w:start w:w="120" w:type="dxa"/>
              <w:end w:w="120" w:type="dxa"/>
            </w:tcMar>
            <w:vAlign w:val="center"/>
          </w:tcPr>
          <w:p>
            <w:pPr>
              <w:spacing w:before="0" w:after="0" w:line="269" w:lineRule="auto"/>
              <w:jc w:val="center"/>
            </w:pPr>
            <w:r/>
            <w:r>
              <w:rPr>
                <w:rFonts w:ascii="Calibri" w:hAnsi="Calibri"/>
                <w:color w:val="222222"/>
                <w:sz w:val="18"/>
              </w:rPr>
              <w:t>1.0.0</w:t>
            </w:r>
          </w:p>
        </w:tc>
      </w:tr>
    </w:tbl>
    <w:p>
      <w:pPr>
        <w:spacing w:before="0" w:after="40"/>
      </w:pPr>
    </w:p>
    <w:p>
      <w:pPr>
        <w:pStyle w:val="Heading2"/>
      </w:pPr>
      <w:r>
        <w:t>Locked study pair</w:t>
      </w:r>
    </w:p>
    <w:tbl>
      <w:tblPr>
        <w:tblStyle w:val="TableGrid"/>
        <w:tblW w:type="dxa" w:w="9360"/>
        <w:jc w:val="left"/>
        <w:tblLayout w:type="fixed"/>
        <w:tblLook w:firstColumn="1" w:firstRow="1" w:lastColumn="0" w:lastRow="0" w:noHBand="0" w:noVBand="1" w:val="04A0"/>
        <w:tblInd w:w="120" w:type="dxa"/>
      </w:tblPr>
      <w:tblGrid>
        <w:gridCol w:w="1313"/>
        <w:gridCol w:w="1365"/>
        <w:gridCol w:w="1623"/>
        <w:gridCol w:w="3691"/>
        <w:gridCol w:w="1368"/>
      </w:tblGrid>
      <w:tr>
        <w:trPr>
          <w:cantSplit w:val="true"/>
          <w:tblHeader w:val="true"/>
        </w:trPr>
        <w:tc>
          <w:tcPr>
            <w:tcW w:type="dxa" w:w="1313"/>
            <w:tcMar>
              <w:top w:w="80" w:type="dxa"/>
              <w:bottom w:w="80" w:type="dxa"/>
              <w:start w:w="120" w:type="dxa"/>
              <w:end w:w="120" w:type="dxa"/>
            </w:tcMar>
            <w:vAlign w:val="center"/>
            <w:shd w:fill="E8EEF5"/>
          </w:tcPr>
          <w:p>
            <w:pPr>
              <w:spacing w:before="0" w:after="0" w:line="269" w:lineRule="auto"/>
              <w:jc w:val="left"/>
            </w:pPr>
            <w:r>
              <w:rPr>
                <w:b/>
                <w:color w:val="203748"/>
              </w:rPr>
            </w:r>
            <w:r>
              <w:rPr>
                <w:rFonts w:ascii="Calibri" w:hAnsi="Calibri"/>
                <w:b/>
                <w:color w:val="203748"/>
                <w:sz w:val="16"/>
              </w:rPr>
              <w:t>Role</w:t>
            </w:r>
          </w:p>
        </w:tc>
        <w:tc>
          <w:tcPr>
            <w:tcW w:type="dxa" w:w="1365"/>
            <w:tcMar>
              <w:top w:w="80" w:type="dxa"/>
              <w:bottom w:w="80" w:type="dxa"/>
              <w:start w:w="120" w:type="dxa"/>
              <w:end w:w="120" w:type="dxa"/>
            </w:tcMar>
            <w:vAlign w:val="center"/>
            <w:shd w:fill="E8EEF5"/>
          </w:tcPr>
          <w:p>
            <w:pPr>
              <w:spacing w:before="0" w:after="0" w:line="269" w:lineRule="auto"/>
              <w:jc w:val="center"/>
            </w:pPr>
            <w:r>
              <w:rPr>
                <w:b/>
                <w:color w:val="203748"/>
              </w:rPr>
            </w:r>
            <w:r>
              <w:rPr>
                <w:rFonts w:ascii="Calibri" w:hAnsi="Calibri"/>
                <w:b/>
                <w:color w:val="203748"/>
                <w:sz w:val="16"/>
              </w:rPr>
              <w:t>Accession</w:t>
            </w:r>
          </w:p>
        </w:tc>
        <w:tc>
          <w:tcPr>
            <w:tcW w:type="dxa" w:w="1623"/>
            <w:tcMar>
              <w:top w:w="80" w:type="dxa"/>
              <w:bottom w:w="80" w:type="dxa"/>
              <w:start w:w="120" w:type="dxa"/>
              <w:end w:w="120" w:type="dxa"/>
            </w:tcMar>
            <w:vAlign w:val="center"/>
            <w:shd w:fill="E8EEF5"/>
          </w:tcPr>
          <w:p>
            <w:pPr>
              <w:spacing w:before="0" w:after="0" w:line="269" w:lineRule="auto"/>
              <w:jc w:val="center"/>
            </w:pPr>
            <w:r>
              <w:rPr>
                <w:b/>
                <w:color w:val="203748"/>
              </w:rPr>
            </w:r>
            <w:r>
              <w:rPr>
                <w:rFonts w:ascii="Calibri" w:hAnsi="Calibri"/>
                <w:b/>
                <w:color w:val="203748"/>
                <w:sz w:val="16"/>
              </w:rPr>
              <w:t>Specimen</w:t>
            </w:r>
          </w:p>
        </w:tc>
        <w:tc>
          <w:tcPr>
            <w:tcW w:type="dxa" w:w="3691"/>
            <w:tcMar>
              <w:top w:w="80" w:type="dxa"/>
              <w:bottom w:w="80" w:type="dxa"/>
              <w:start w:w="120" w:type="dxa"/>
              <w:end w:w="120" w:type="dxa"/>
            </w:tcMar>
            <w:vAlign w:val="center"/>
            <w:shd w:fill="E8EEF5"/>
          </w:tcPr>
          <w:p>
            <w:pPr>
              <w:spacing w:before="0" w:after="0" w:line="269" w:lineRule="auto"/>
              <w:jc w:val="center"/>
            </w:pPr>
            <w:r>
              <w:rPr>
                <w:b/>
                <w:color w:val="203748"/>
              </w:rPr>
            </w:r>
            <w:r>
              <w:rPr>
                <w:rFonts w:ascii="Calibri" w:hAnsi="Calibri"/>
                <w:b/>
                <w:color w:val="203748"/>
                <w:sz w:val="16"/>
              </w:rPr>
              <w:t>Design summary</w:t>
            </w:r>
          </w:p>
        </w:tc>
        <w:tc>
          <w:tcPr>
            <w:tcW w:type="dxa" w:w="1368"/>
            <w:tcMar>
              <w:top w:w="80" w:type="dxa"/>
              <w:bottom w:w="80" w:type="dxa"/>
              <w:start w:w="120" w:type="dxa"/>
              <w:end w:w="120" w:type="dxa"/>
            </w:tcMar>
            <w:vAlign w:val="center"/>
            <w:shd w:fill="E8EEF5"/>
          </w:tcPr>
          <w:p>
            <w:pPr>
              <w:spacing w:before="0" w:after="0" w:line="269" w:lineRule="auto"/>
              <w:jc w:val="center"/>
            </w:pPr>
            <w:r>
              <w:rPr>
                <w:b/>
                <w:color w:val="203748"/>
              </w:rPr>
            </w:r>
            <w:r>
              <w:rPr>
                <w:rFonts w:ascii="Calibri" w:hAnsi="Calibri"/>
                <w:b/>
                <w:color w:val="203748"/>
                <w:sz w:val="16"/>
              </w:rPr>
              <w:t>License</w:t>
            </w:r>
          </w:p>
        </w:tc>
      </w:tr>
      <w:tr>
        <w:trPr>
          <w:cantSplit w:val="true"/>
        </w:trPr>
        <w:tc>
          <w:tcPr>
            <w:tcW w:type="dxa" w:w="1313"/>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Diet</w:t>
            </w:r>
          </w:p>
        </w:tc>
        <w:tc>
          <w:tcPr>
            <w:tcW w:type="dxa" w:w="1365"/>
            <w:tcMar>
              <w:top w:w="80" w:type="dxa"/>
              <w:bottom w:w="80" w:type="dxa"/>
              <w:start w:w="120" w:type="dxa"/>
              <w:end w:w="120" w:type="dxa"/>
            </w:tcMar>
            <w:vAlign w:val="center"/>
          </w:tcPr>
          <w:p>
            <w:pPr>
              <w:spacing w:before="0" w:after="0" w:line="269" w:lineRule="auto"/>
              <w:jc w:val="center"/>
            </w:pPr>
            <w:r/>
            <w:r>
              <w:rPr>
                <w:rFonts w:ascii="Calibri" w:hAnsi="Calibri"/>
                <w:color w:val="222222"/>
                <w:sz w:val="16"/>
              </w:rPr>
              <w:t>ST001521</w:t>
            </w:r>
          </w:p>
        </w:tc>
        <w:tc>
          <w:tcPr>
            <w:tcW w:type="dxa" w:w="1623"/>
            <w:tcMar>
              <w:top w:w="80" w:type="dxa"/>
              <w:bottom w:w="80" w:type="dxa"/>
              <w:start w:w="120" w:type="dxa"/>
              <w:end w:w="120" w:type="dxa"/>
            </w:tcMar>
            <w:vAlign w:val="center"/>
          </w:tcPr>
          <w:p>
            <w:pPr>
              <w:spacing w:before="0" w:after="0" w:line="269" w:lineRule="auto"/>
              <w:jc w:val="center"/>
            </w:pPr>
            <w:r/>
            <w:r>
              <w:rPr>
                <w:rFonts w:ascii="Calibri" w:hAnsi="Calibri"/>
                <w:color w:val="222222"/>
                <w:sz w:val="16"/>
              </w:rPr>
              <w:t>Blood (plasma)</w:t>
            </w:r>
          </w:p>
        </w:tc>
        <w:tc>
          <w:tcPr>
            <w:tcW w:type="dxa" w:w="3691"/>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FARMM longitudinal diet study. Twenty omnivores were randomized to inpatient Western/omnivore or exclusive enteral nutrition (Modulen) feeding; ten established vegans continued their usual diet as outpatients. Plasma was collected at baseline and days 5, 9, 12, and 15.</w:t>
            </w:r>
          </w:p>
        </w:tc>
        <w:tc>
          <w:tcPr>
            <w:tcW w:type="dxa" w:w="1368"/>
            <w:tcMar>
              <w:top w:w="80" w:type="dxa"/>
              <w:bottom w:w="80" w:type="dxa"/>
              <w:start w:w="120" w:type="dxa"/>
              <w:end w:w="120" w:type="dxa"/>
            </w:tcMar>
            <w:vAlign w:val="center"/>
          </w:tcPr>
          <w:p>
            <w:pPr>
              <w:spacing w:before="0" w:after="0" w:line="269" w:lineRule="auto"/>
              <w:jc w:val="center"/>
            </w:pPr>
            <w:r/>
            <w:r>
              <w:rPr>
                <w:rFonts w:ascii="Calibri" w:hAnsi="Calibri"/>
                <w:color w:val="222222"/>
                <w:sz w:val="16"/>
              </w:rPr>
              <w:t>CC BY 4.0</w:t>
            </w:r>
          </w:p>
        </w:tc>
      </w:tr>
      <w:tr>
        <w:trPr>
          <w:cantSplit w:val="true"/>
        </w:trPr>
        <w:tc>
          <w:tcPr>
            <w:tcW w:type="dxa" w:w="1313"/>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Exercise</w:t>
            </w:r>
          </w:p>
        </w:tc>
        <w:tc>
          <w:tcPr>
            <w:tcW w:type="dxa" w:w="1365"/>
            <w:tcMar>
              <w:top w:w="80" w:type="dxa"/>
              <w:bottom w:w="80" w:type="dxa"/>
              <w:start w:w="120" w:type="dxa"/>
              <w:end w:w="120" w:type="dxa"/>
            </w:tcMar>
            <w:vAlign w:val="center"/>
          </w:tcPr>
          <w:p>
            <w:pPr>
              <w:spacing w:before="0" w:after="0" w:line="269" w:lineRule="auto"/>
              <w:jc w:val="center"/>
            </w:pPr>
            <w:r/>
            <w:r>
              <w:rPr>
                <w:rFonts w:ascii="Calibri" w:hAnsi="Calibri"/>
                <w:color w:val="222222"/>
                <w:sz w:val="16"/>
              </w:rPr>
              <w:t>ST003348</w:t>
            </w:r>
          </w:p>
        </w:tc>
        <w:tc>
          <w:tcPr>
            <w:tcW w:type="dxa" w:w="1623"/>
            <w:tcMar>
              <w:top w:w="80" w:type="dxa"/>
              <w:bottom w:w="80" w:type="dxa"/>
              <w:start w:w="120" w:type="dxa"/>
              <w:end w:w="120" w:type="dxa"/>
            </w:tcMar>
            <w:vAlign w:val="center"/>
          </w:tcPr>
          <w:p>
            <w:pPr>
              <w:spacing w:before="0" w:after="0" w:line="269" w:lineRule="auto"/>
              <w:jc w:val="center"/>
            </w:pPr>
            <w:r/>
            <w:r>
              <w:rPr>
                <w:rFonts w:ascii="Calibri" w:hAnsi="Calibri"/>
                <w:color w:val="222222"/>
                <w:sz w:val="16"/>
              </w:rPr>
              <w:t>Blood (serum)</w:t>
            </w:r>
          </w:p>
        </w:tc>
        <w:tc>
          <w:tcPr>
            <w:tcW w:type="dxa" w:w="3691"/>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Acute endurance race-walking study with fasting pre-exercise REST, immediate post-exercise STAT, 3-hour recovery REC3, and fasting 22-hour recovery REC22 serum samples.</w:t>
            </w:r>
          </w:p>
        </w:tc>
        <w:tc>
          <w:tcPr>
            <w:tcW w:type="dxa" w:w="1368"/>
            <w:tcMar>
              <w:top w:w="80" w:type="dxa"/>
              <w:bottom w:w="80" w:type="dxa"/>
              <w:start w:w="120" w:type="dxa"/>
              <w:end w:w="120" w:type="dxa"/>
            </w:tcMar>
            <w:vAlign w:val="center"/>
          </w:tcPr>
          <w:p>
            <w:pPr>
              <w:spacing w:before="0" w:after="0" w:line="269" w:lineRule="auto"/>
              <w:jc w:val="center"/>
            </w:pPr>
            <w:r/>
            <w:r>
              <w:rPr>
                <w:rFonts w:ascii="Calibri" w:hAnsi="Calibri"/>
                <w:color w:val="222222"/>
                <w:sz w:val="16"/>
              </w:rPr>
              <w:t>CC BY 4.0</w:t>
            </w:r>
          </w:p>
        </w:tc>
      </w:tr>
    </w:tbl>
    <w:p>
      <w:pPr>
        <w:spacing w:before="0" w:after="40"/>
      </w:pPr>
    </w:p>
    <w:p>
      <w:pPr>
        <w:pStyle w:val="Heading2"/>
      </w:pPr>
      <w:r>
        <w:t>RefMet overlap audit</w:t>
      </w:r>
    </w:p>
    <w:tbl>
      <w:tblPr>
        <w:tblStyle w:val="TableGrid"/>
        <w:tblW w:type="dxa" w:w="9360"/>
        <w:jc w:val="left"/>
        <w:tblLayout w:type="fixed"/>
        <w:tblLook w:firstColumn="1" w:firstRow="1" w:lastColumn="0" w:lastRow="0" w:noHBand="0" w:noVBand="1" w:val="04A0"/>
        <w:tblInd w:w="120" w:type="dxa"/>
      </w:tblPr>
      <w:tblGrid>
        <w:gridCol w:w="6840"/>
        <w:gridCol w:w="2520"/>
      </w:tblGrid>
      <w:tr>
        <w:trPr>
          <w:cantSplit w:val="true"/>
          <w:tblHeader w:val="true"/>
        </w:trPr>
        <w:tc>
          <w:tcPr>
            <w:tcW w:type="dxa" w:w="6840"/>
            <w:tcMar>
              <w:top w:w="80" w:type="dxa"/>
              <w:bottom w:w="80" w:type="dxa"/>
              <w:start w:w="120" w:type="dxa"/>
              <w:end w:w="120" w:type="dxa"/>
            </w:tcMar>
            <w:vAlign w:val="center"/>
            <w:shd w:fill="E8EEF5"/>
          </w:tcPr>
          <w:p>
            <w:pPr>
              <w:spacing w:before="0" w:after="0" w:line="269" w:lineRule="auto"/>
              <w:jc w:val="left"/>
            </w:pPr>
            <w:r>
              <w:rPr>
                <w:b/>
                <w:color w:val="203748"/>
              </w:rPr>
            </w:r>
            <w:r>
              <w:rPr>
                <w:rFonts w:ascii="Calibri" w:hAnsi="Calibri"/>
                <w:b/>
                <w:color w:val="203748"/>
                <w:sz w:val="18"/>
              </w:rPr>
              <w:t>Measure</w:t>
            </w:r>
          </w:p>
        </w:tc>
        <w:tc>
          <w:tcPr>
            <w:tcW w:type="dxa" w:w="2520"/>
            <w:tcMar>
              <w:top w:w="80" w:type="dxa"/>
              <w:bottom w:w="80" w:type="dxa"/>
              <w:start w:w="120" w:type="dxa"/>
              <w:end w:w="120" w:type="dxa"/>
            </w:tcMar>
            <w:vAlign w:val="center"/>
            <w:shd w:fill="E8EEF5"/>
          </w:tcPr>
          <w:p>
            <w:pPr>
              <w:spacing w:before="0" w:after="0" w:line="269" w:lineRule="auto"/>
              <w:jc w:val="center"/>
            </w:pPr>
            <w:r>
              <w:rPr>
                <w:b/>
                <w:color w:val="203748"/>
              </w:rPr>
            </w:r>
            <w:r>
              <w:rPr>
                <w:rFonts w:ascii="Calibri" w:hAnsi="Calibri"/>
                <w:b/>
                <w:color w:val="203748"/>
                <w:sz w:val="18"/>
              </w:rPr>
              <w:t>Value</w:t>
            </w:r>
          </w:p>
        </w:tc>
      </w:tr>
      <w:tr>
        <w:trPr>
          <w:cantSplit w:val="true"/>
        </w:trPr>
        <w:tc>
          <w:tcPr>
            <w:tcW w:type="dxa" w:w="6840"/>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Diet unique nonblank RefMet names</w:t>
            </w:r>
          </w:p>
        </w:tc>
        <w:tc>
          <w:tcPr>
            <w:tcW w:type="dxa" w:w="2520"/>
            <w:tcMar>
              <w:top w:w="80" w:type="dxa"/>
              <w:bottom w:w="80" w:type="dxa"/>
              <w:start w:w="120" w:type="dxa"/>
              <w:end w:w="120" w:type="dxa"/>
            </w:tcMar>
            <w:vAlign w:val="center"/>
          </w:tcPr>
          <w:p>
            <w:pPr>
              <w:spacing w:before="0" w:after="0" w:line="269" w:lineRule="auto"/>
              <w:jc w:val="center"/>
            </w:pPr>
            <w:r/>
            <w:r>
              <w:rPr>
                <w:rFonts w:ascii="Calibri" w:hAnsi="Calibri"/>
                <w:color w:val="222222"/>
                <w:sz w:val="18"/>
              </w:rPr>
              <w:t>510</w:t>
            </w:r>
          </w:p>
        </w:tc>
      </w:tr>
      <w:tr>
        <w:trPr>
          <w:cantSplit w:val="true"/>
        </w:trPr>
        <w:tc>
          <w:tcPr>
            <w:tcW w:type="dxa" w:w="6840"/>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Exercise unique nonblank RefMet names</w:t>
            </w:r>
          </w:p>
        </w:tc>
        <w:tc>
          <w:tcPr>
            <w:tcW w:type="dxa" w:w="2520"/>
            <w:tcMar>
              <w:top w:w="80" w:type="dxa"/>
              <w:bottom w:w="80" w:type="dxa"/>
              <w:start w:w="120" w:type="dxa"/>
              <w:end w:w="120" w:type="dxa"/>
            </w:tcMar>
            <w:vAlign w:val="center"/>
          </w:tcPr>
          <w:p>
            <w:pPr>
              <w:spacing w:before="0" w:after="0" w:line="269" w:lineRule="auto"/>
              <w:jc w:val="center"/>
            </w:pPr>
            <w:r/>
            <w:r>
              <w:rPr>
                <w:rFonts w:ascii="Calibri" w:hAnsi="Calibri"/>
                <w:color w:val="222222"/>
                <w:sz w:val="18"/>
              </w:rPr>
              <w:t>475</w:t>
            </w:r>
          </w:p>
        </w:tc>
      </w:tr>
      <w:tr>
        <w:trPr>
          <w:cantSplit w:val="true"/>
        </w:trPr>
        <w:tc>
          <w:tcPr>
            <w:tcW w:type="dxa" w:w="6840"/>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Raw exact overlap</w:t>
            </w:r>
          </w:p>
        </w:tc>
        <w:tc>
          <w:tcPr>
            <w:tcW w:type="dxa" w:w="2520"/>
            <w:tcMar>
              <w:top w:w="80" w:type="dxa"/>
              <w:bottom w:w="80" w:type="dxa"/>
              <w:start w:w="120" w:type="dxa"/>
              <w:end w:w="120" w:type="dxa"/>
            </w:tcMar>
            <w:vAlign w:val="center"/>
          </w:tcPr>
          <w:p>
            <w:pPr>
              <w:spacing w:before="0" w:after="0" w:line="269" w:lineRule="auto"/>
              <w:jc w:val="center"/>
            </w:pPr>
            <w:r/>
            <w:r>
              <w:rPr>
                <w:rFonts w:ascii="Calibri" w:hAnsi="Calibri"/>
                <w:color w:val="222222"/>
                <w:sz w:val="18"/>
              </w:rPr>
              <w:t>153</w:t>
            </w:r>
          </w:p>
        </w:tc>
      </w:tr>
      <w:tr>
        <w:trPr>
          <w:cantSplit w:val="true"/>
        </w:trPr>
        <w:tc>
          <w:tcPr>
            <w:tcW w:type="dxa" w:w="6840"/>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Known isotope/internal-standard exclusions</w:t>
            </w:r>
          </w:p>
        </w:tc>
        <w:tc>
          <w:tcPr>
            <w:tcW w:type="dxa" w:w="2520"/>
            <w:tcMar>
              <w:top w:w="80" w:type="dxa"/>
              <w:bottom w:w="80" w:type="dxa"/>
              <w:start w:w="120" w:type="dxa"/>
              <w:end w:w="120" w:type="dxa"/>
            </w:tcMar>
            <w:vAlign w:val="center"/>
          </w:tcPr>
          <w:p>
            <w:pPr>
              <w:spacing w:before="0" w:after="0" w:line="269" w:lineRule="auto"/>
              <w:jc w:val="center"/>
            </w:pPr>
            <w:r/>
            <w:r>
              <w:rPr>
                <w:rFonts w:ascii="Calibri" w:hAnsi="Calibri"/>
                <w:color w:val="222222"/>
                <w:sz w:val="18"/>
              </w:rPr>
              <w:t>8</w:t>
            </w:r>
          </w:p>
        </w:tc>
      </w:tr>
      <w:tr>
        <w:trPr>
          <w:cantSplit w:val="true"/>
        </w:trPr>
        <w:tc>
          <w:tcPr>
            <w:tcW w:type="dxa" w:w="6840"/>
            <w:tcMar>
              <w:top w:w="80" w:type="dxa"/>
              <w:bottom w:w="80" w:type="dxa"/>
              <w:start w:w="120" w:type="dxa"/>
              <w:end w:w="120" w:type="dxa"/>
            </w:tcMar>
            <w:vAlign w:val="center"/>
          </w:tcPr>
          <w:p>
            <w:pPr>
              <w:spacing w:before="0" w:after="0" w:line="269" w:lineRule="auto"/>
              <w:jc w:val="left"/>
            </w:pPr>
            <w:r/>
            <w:r>
              <w:rPr>
                <w:rFonts w:ascii="Calibri" w:hAnsi="Calibri"/>
                <w:color w:val="222222"/>
                <w:sz w:val="18"/>
              </w:rPr>
              <w:t>Conservative biological overlap</w:t>
            </w:r>
          </w:p>
        </w:tc>
        <w:tc>
          <w:tcPr>
            <w:tcW w:type="dxa" w:w="2520"/>
            <w:tcMar>
              <w:top w:w="80" w:type="dxa"/>
              <w:bottom w:w="80" w:type="dxa"/>
              <w:start w:w="120" w:type="dxa"/>
              <w:end w:w="120" w:type="dxa"/>
            </w:tcMar>
            <w:vAlign w:val="center"/>
          </w:tcPr>
          <w:p>
            <w:pPr>
              <w:spacing w:before="0" w:after="0" w:line="269" w:lineRule="auto"/>
              <w:jc w:val="center"/>
            </w:pPr>
            <w:r/>
            <w:r>
              <w:rPr>
                <w:rFonts w:ascii="Calibri" w:hAnsi="Calibri"/>
                <w:color w:val="222222"/>
                <w:sz w:val="18"/>
              </w:rPr>
              <w:t>145</w:t>
            </w:r>
          </w:p>
        </w:tc>
      </w:tr>
    </w:tbl>
    <w:p>
      <w:pPr>
        <w:spacing w:before="0" w:after="40"/>
      </w:pPr>
    </w:p>
    <w:p>
      <w:r>
        <w:rPr>
          <w:rFonts w:ascii="Calibri" w:hAnsi="Calibri"/>
          <w:color w:val="222222"/>
        </w:rPr>
        <w:t>The 145-name count excludes eight known labeled/internal-standard mappings and is the operational biological crosswalk count. Further annotation curation may reduce it. Overlap supports identifier-crosswalk and class-summary exercises; it does not make raw peak areas quantitatively comparable across studies.</w:t>
      </w:r>
    </w:p>
    <w:p>
      <w:pPr>
        <w:pStyle w:val="Heading2"/>
      </w:pPr>
      <w:r>
        <w:t>Sanitization and claim boundaries</w:t>
      </w:r>
    </w:p>
    <w:p>
      <w:r>
        <w:rPr>
          <w:rFonts w:ascii="Calibri" w:hAnsi="Calibri"/>
          <w:color w:val="222222"/>
        </w:rPr>
        <w:t>Files in module/data/raw are exact source snapshots and must not be edited in place. Sanitized/derived tables must retain source IDs and record these transformations.</w:t>
      </w:r>
    </w:p>
    <w:p>
      <w:pPr>
        <w:pStyle w:val="Heading3"/>
      </w:pPr>
      <w:r>
        <w:rPr>
          <w:rFonts w:ascii="Calibri" w:hAnsi="Calibri"/>
          <w:color w:val="222222"/>
        </w:rPr>
        <w:t>ST001521 Factors</w:t>
      </w:r>
    </w:p>
    <w:p>
      <w:pPr>
        <w:numPr>
          <w:ilvl w:val="0"/>
          <w:numId w:val="98"/>
        </w:numPr>
        <w:spacing w:after="80" w:line="300" w:lineRule="auto"/>
      </w:pPr>
      <w:r>
        <w:rPr>
          <w:rFonts w:ascii="Calibri" w:hAnsi="Calibri"/>
          <w:color w:val="222222"/>
        </w:rPr>
        <w:t>Trim factor-field whitespace without changing repository labels.</w:t>
      </w:r>
    </w:p>
    <w:p>
      <w:pPr>
        <w:numPr>
          <w:ilvl w:val="0"/>
          <w:numId w:val="98"/>
        </w:numPr>
        <w:spacing w:after="80" w:line="300" w:lineRule="auto"/>
      </w:pPr>
      <w:r>
        <w:rPr>
          <w:rFonts w:ascii="Calibri" w:hAnsi="Calibri"/>
          <w:color w:val="222222"/>
        </w:rPr>
        <w:t>Exclude QPP01 through QPP10 and rows whose Study_Diet, Sex, and Time factors are NA from biological analyses; retain them only as pooled-QC records.</w:t>
      </w:r>
    </w:p>
    <w:p>
      <w:pPr>
        <w:numPr>
          <w:ilvl w:val="0"/>
          <w:numId w:val="98"/>
        </w:numPr>
        <w:spacing w:after="80" w:line="300" w:lineRule="auto"/>
      </w:pPr>
      <w:r>
        <w:rPr>
          <w:rFonts w:ascii="Calibri" w:hAnsi="Calibri"/>
          <w:color w:val="222222"/>
        </w:rPr>
        <w:t>Derive biological participant_id from the leading four digits of local_sample_id and verify observed visits rather than forcing a balanced panel.</w:t>
      </w:r>
    </w:p>
    <w:p>
      <w:pPr>
        <w:numPr>
          <w:ilvl w:val="0"/>
          <w:numId w:val="98"/>
        </w:numPr>
        <w:spacing w:after="80" w:line="300" w:lineRule="auto"/>
      </w:pPr>
      <w:r>
        <w:rPr>
          <w:rFonts w:ascii="Calibri" w:hAnsi="Calibri"/>
          <w:color w:val="222222"/>
        </w:rPr>
        <w:t>Preserve Western as the factor label and document that the narrative calls this arm omnivore.</w:t>
      </w:r>
    </w:p>
    <w:p>
      <w:pPr>
        <w:numPr>
          <w:ilvl w:val="0"/>
          <w:numId w:val="98"/>
        </w:numPr>
        <w:spacing w:after="80" w:line="300" w:lineRule="auto"/>
      </w:pPr>
      <w:r>
        <w:rPr>
          <w:rFonts w:ascii="Calibri" w:hAnsi="Calibri"/>
          <w:color w:val="222222"/>
        </w:rPr>
        <w:t>Use the valid split study REST endpoints; do not ingest malformed AN002533, AN002535, or AN002536 mwTab JSON.</w:t>
      </w:r>
    </w:p>
    <w:p>
      <w:pPr>
        <w:pStyle w:val="Heading3"/>
      </w:pPr>
      <w:r>
        <w:rPr>
          <w:rFonts w:ascii="Calibri" w:hAnsi="Calibri"/>
          <w:color w:val="222222"/>
        </w:rPr>
        <w:t>ST003348 Factors</w:t>
      </w:r>
    </w:p>
    <w:p>
      <w:pPr>
        <w:numPr>
          <w:ilvl w:val="0"/>
          <w:numId w:val="99"/>
        </w:numPr>
        <w:spacing w:after="80" w:line="300" w:lineRule="auto"/>
      </w:pPr>
      <w:r>
        <w:rPr>
          <w:rFonts w:ascii="Calibri" w:hAnsi="Calibri"/>
          <w:color w:val="222222"/>
        </w:rPr>
        <w:t>Derive participant_id from the integer before the underscore in local_sample_id.</w:t>
      </w:r>
    </w:p>
    <w:p>
      <w:pPr>
        <w:numPr>
          <w:ilvl w:val="0"/>
          <w:numId w:val="99"/>
        </w:numPr>
        <w:spacing w:after="80" w:line="300" w:lineRule="auto"/>
      </w:pPr>
      <w:r>
        <w:rPr>
          <w:rFonts w:ascii="Calibri" w:hAnsi="Calibri"/>
          <w:color w:val="222222"/>
        </w:rPr>
        <w:t>Validate suffixes 1, 2, 3, and 4 against rest, stat, rec3, and rec22, respectively.</w:t>
      </w:r>
    </w:p>
    <w:p>
      <w:pPr>
        <w:numPr>
          <w:ilvl w:val="0"/>
          <w:numId w:val="99"/>
        </w:numPr>
        <w:spacing w:after="80" w:line="300" w:lineRule="auto"/>
      </w:pPr>
      <w:r>
        <w:rPr>
          <w:rFonts w:ascii="Calibri" w:hAnsi="Calibri"/>
          <w:color w:val="222222"/>
        </w:rPr>
        <w:t>Retain source sample_source=blood while setting harmonized specimen to serum from the collection block.</w:t>
      </w:r>
    </w:p>
    <w:p>
      <w:pPr>
        <w:numPr>
          <w:ilvl w:val="0"/>
          <w:numId w:val="99"/>
        </w:numPr>
        <w:spacing w:after="80" w:line="300" w:lineRule="auto"/>
      </w:pPr>
      <w:r>
        <w:rPr>
          <w:rFonts w:ascii="Calibri" w:hAnsi="Calibri"/>
          <w:color w:val="222222"/>
        </w:rPr>
        <w:t>Treat the treatment-block value no treatment as a metadata defect; define the exercise contrast from the documented protocol, collection, and time factors.</w:t>
      </w:r>
    </w:p>
    <w:p>
      <w:pPr>
        <w:pStyle w:val="Heading3"/>
      </w:pPr>
      <w:r>
        <w:rPr>
          <w:rFonts w:ascii="Calibri" w:hAnsi="Calibri"/>
          <w:color w:val="222222"/>
        </w:rPr>
        <w:t>Cross Study Metabolites</w:t>
      </w:r>
    </w:p>
    <w:p>
      <w:pPr>
        <w:numPr>
          <w:ilvl w:val="0"/>
          <w:numId w:val="100"/>
        </w:numPr>
        <w:spacing w:after="80" w:line="300" w:lineRule="auto"/>
      </w:pPr>
      <w:r>
        <w:rPr>
          <w:rFonts w:ascii="Calibri" w:hAnsi="Calibri"/>
          <w:color w:val="222222"/>
        </w:rPr>
        <w:t>Remove the eight explicit isotope-labeled/internal-standard mappings listed in primary_pair.overlap before constructing the biological RefMet crosswalk.</w:t>
      </w:r>
    </w:p>
    <w:p>
      <w:pPr>
        <w:numPr>
          <w:ilvl w:val="0"/>
          <w:numId w:val="100"/>
        </w:numPr>
        <w:spacing w:after="80" w:line="300" w:lineRule="auto"/>
      </w:pPr>
      <w:r>
        <w:rPr>
          <w:rFonts w:ascii="Calibri" w:hAnsi="Calibri"/>
          <w:color w:val="222222"/>
        </w:rPr>
        <w:t>Keep analysis_id attached to duplicated RefMet names unless a documented within-study collapse rule is applied.</w:t>
      </w:r>
    </w:p>
    <w:p>
      <w:pPr>
        <w:numPr>
          <w:ilvl w:val="0"/>
          <w:numId w:val="100"/>
        </w:numPr>
        <w:spacing w:after="80" w:line="300" w:lineRule="auto"/>
      </w:pPr>
      <w:r>
        <w:rPr>
          <w:rFonts w:ascii="Calibri" w:hAnsi="Calibri"/>
          <w:color w:val="222222"/>
        </w:rPr>
        <w:t>Never concatenate uncalibrated peak areas across the plasma and serum studies.</w:t>
      </w:r>
    </w:p>
    <w:p>
      <w:pPr>
        <w:pStyle w:val="Heading2"/>
      </w:pPr>
      <w:r>
        <w:t>Cached-source integrity</w:t>
      </w:r>
    </w:p>
    <w:tbl>
      <w:tblPr>
        <w:tblStyle w:val="TableGrid"/>
        <w:tblW w:type="dxa" w:w="9360"/>
        <w:jc w:val="left"/>
        <w:tblLayout w:type="fixed"/>
        <w:tblLook w:firstColumn="1" w:firstRow="1" w:lastColumn="0" w:lastRow="0" w:noHBand="0" w:noVBand="1" w:val="04A0"/>
        <w:tblInd w:w="120" w:type="dxa"/>
      </w:tblPr>
      <w:tblGrid>
        <w:gridCol w:w="1621"/>
        <w:gridCol w:w="2445"/>
        <w:gridCol w:w="1721"/>
        <w:gridCol w:w="3573"/>
      </w:tblGrid>
      <w:tr>
        <w:trPr>
          <w:cantSplit w:val="true"/>
          <w:tblHeader w:val="true"/>
        </w:trPr>
        <w:tc>
          <w:tcPr>
            <w:tcW w:type="dxa" w:w="1621"/>
            <w:tcMar>
              <w:top w:w="80" w:type="dxa"/>
              <w:bottom w:w="80" w:type="dxa"/>
              <w:start w:w="120" w:type="dxa"/>
              <w:end w:w="120" w:type="dxa"/>
            </w:tcMar>
            <w:vAlign w:val="center"/>
            <w:shd w:fill="E8EEF5"/>
          </w:tcPr>
          <w:p>
            <w:pPr>
              <w:spacing w:before="0" w:after="0" w:line="269" w:lineRule="auto"/>
              <w:jc w:val="left"/>
            </w:pPr>
            <w:r>
              <w:rPr>
                <w:b/>
                <w:color w:val="203748"/>
              </w:rPr>
            </w:r>
            <w:r>
              <w:rPr>
                <w:rFonts w:ascii="Calibri" w:hAnsi="Calibri"/>
                <w:b/>
                <w:color w:val="203748"/>
                <w:sz w:val="16"/>
              </w:rPr>
              <w:t>Study</w:t>
            </w:r>
          </w:p>
        </w:tc>
        <w:tc>
          <w:tcPr>
            <w:tcW w:type="dxa" w:w="2445"/>
            <w:tcMar>
              <w:top w:w="80" w:type="dxa"/>
              <w:bottom w:w="80" w:type="dxa"/>
              <w:start w:w="120" w:type="dxa"/>
              <w:end w:w="120" w:type="dxa"/>
            </w:tcMar>
            <w:vAlign w:val="center"/>
            <w:shd w:fill="E8EEF5"/>
          </w:tcPr>
          <w:p>
            <w:pPr>
              <w:spacing w:before="0" w:after="0" w:line="269" w:lineRule="auto"/>
              <w:jc w:val="center"/>
            </w:pPr>
            <w:r>
              <w:rPr>
                <w:b/>
                <w:color w:val="203748"/>
              </w:rPr>
            </w:r>
            <w:r>
              <w:rPr>
                <w:rFonts w:ascii="Calibri" w:hAnsi="Calibri"/>
                <w:b/>
                <w:color w:val="203748"/>
                <w:sz w:val="16"/>
              </w:rPr>
              <w:t>Cached file</w:t>
            </w:r>
          </w:p>
        </w:tc>
        <w:tc>
          <w:tcPr>
            <w:tcW w:type="dxa" w:w="1721"/>
            <w:tcMar>
              <w:top w:w="80" w:type="dxa"/>
              <w:bottom w:w="80" w:type="dxa"/>
              <w:start w:w="120" w:type="dxa"/>
              <w:end w:w="120" w:type="dxa"/>
            </w:tcMar>
            <w:vAlign w:val="center"/>
            <w:shd w:fill="E8EEF5"/>
          </w:tcPr>
          <w:p>
            <w:pPr>
              <w:spacing w:before="0" w:after="0" w:line="269" w:lineRule="auto"/>
              <w:jc w:val="center"/>
            </w:pPr>
            <w:r>
              <w:rPr>
                <w:b/>
                <w:color w:val="203748"/>
              </w:rPr>
            </w:r>
            <w:r>
              <w:rPr>
                <w:rFonts w:ascii="Calibri" w:hAnsi="Calibri"/>
                <w:b/>
                <w:color w:val="203748"/>
                <w:sz w:val="16"/>
              </w:rPr>
              <w:t>Bytes</w:t>
            </w:r>
          </w:p>
        </w:tc>
        <w:tc>
          <w:tcPr>
            <w:tcW w:type="dxa" w:w="3573"/>
            <w:tcMar>
              <w:top w:w="80" w:type="dxa"/>
              <w:bottom w:w="80" w:type="dxa"/>
              <w:start w:w="120" w:type="dxa"/>
              <w:end w:w="120" w:type="dxa"/>
            </w:tcMar>
            <w:vAlign w:val="center"/>
            <w:shd w:fill="E8EEF5"/>
          </w:tcPr>
          <w:p>
            <w:pPr>
              <w:spacing w:before="0" w:after="0" w:line="269" w:lineRule="auto"/>
              <w:jc w:val="center"/>
            </w:pPr>
            <w:r>
              <w:rPr>
                <w:b/>
                <w:color w:val="203748"/>
              </w:rPr>
            </w:r>
            <w:r>
              <w:rPr>
                <w:rFonts w:ascii="Calibri" w:hAnsi="Calibri"/>
                <w:b/>
                <w:color w:val="203748"/>
                <w:sz w:val="16"/>
              </w:rPr>
              <w:t>SHA-256</w:t>
            </w:r>
          </w:p>
        </w:tc>
      </w:tr>
      <w:tr>
        <w:trPr>
          <w:cantSplit w:val="true"/>
        </w:trPr>
        <w:tc>
          <w:tcPr>
            <w:tcW w:type="dxa" w:w="1621"/>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ST001521</w:t>
            </w:r>
          </w:p>
        </w:tc>
        <w:tc>
          <w:tcPr>
            <w:tcW w:type="dxa" w:w="2445"/>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ST001521_summary.json</w:t>
            </w:r>
          </w:p>
        </w:tc>
        <w:tc>
          <w:tcPr>
            <w:tcW w:type="dxa" w:w="1721"/>
            <w:tcMar>
              <w:top w:w="80" w:type="dxa"/>
              <w:bottom w:w="80" w:type="dxa"/>
              <w:start w:w="120" w:type="dxa"/>
              <w:end w:w="120" w:type="dxa"/>
            </w:tcMar>
            <w:vAlign w:val="center"/>
          </w:tcPr>
          <w:p>
            <w:pPr>
              <w:spacing w:before="0" w:after="0" w:line="269" w:lineRule="auto"/>
              <w:jc w:val="center"/>
            </w:pPr>
            <w:r/>
            <w:r>
              <w:rPr>
                <w:rFonts w:ascii="Calibri" w:hAnsi="Calibri"/>
                <w:color w:val="222222"/>
                <w:sz w:val="16"/>
              </w:rPr>
              <w:t>575</w:t>
            </w:r>
          </w:p>
        </w:tc>
        <w:tc>
          <w:tcPr>
            <w:tcW w:type="dxa" w:w="3573"/>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d2199dc631f33c09b9d9cb13f64a9c5233e1b6b7fe3f372e4cb8e947817541d9</w:t>
            </w:r>
          </w:p>
        </w:tc>
      </w:tr>
      <w:tr>
        <w:trPr>
          <w:cantSplit w:val="true"/>
        </w:trPr>
        <w:tc>
          <w:tcPr>
            <w:tcW w:type="dxa" w:w="1621"/>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ST001521</w:t>
            </w:r>
          </w:p>
        </w:tc>
        <w:tc>
          <w:tcPr>
            <w:tcW w:type="dxa" w:w="2445"/>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ST001521_factors.json</w:t>
            </w:r>
          </w:p>
        </w:tc>
        <w:tc>
          <w:tcPr>
            <w:tcW w:type="dxa" w:w="1721"/>
            <w:tcMar>
              <w:top w:w="80" w:type="dxa"/>
              <w:bottom w:w="80" w:type="dxa"/>
              <w:start w:w="120" w:type="dxa"/>
              <w:end w:w="120" w:type="dxa"/>
            </w:tcMar>
            <w:vAlign w:val="center"/>
          </w:tcPr>
          <w:p>
            <w:pPr>
              <w:spacing w:before="0" w:after="0" w:line="269" w:lineRule="auto"/>
              <w:jc w:val="center"/>
            </w:pPr>
            <w:r/>
            <w:r>
              <w:rPr>
                <w:rFonts w:ascii="Calibri" w:hAnsi="Calibri"/>
                <w:color w:val="222222"/>
                <w:sz w:val="16"/>
              </w:rPr>
              <w:t>49194</w:t>
            </w:r>
          </w:p>
        </w:tc>
        <w:tc>
          <w:tcPr>
            <w:tcW w:type="dxa" w:w="3573"/>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7b88427c7434f20538aff398f8ddac7e88d666696f4e19992c85d6017fe0372f</w:t>
            </w:r>
          </w:p>
        </w:tc>
      </w:tr>
      <w:tr>
        <w:trPr>
          <w:cantSplit w:val="true"/>
        </w:trPr>
        <w:tc>
          <w:tcPr>
            <w:tcW w:type="dxa" w:w="1621"/>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ST001521</w:t>
            </w:r>
          </w:p>
        </w:tc>
        <w:tc>
          <w:tcPr>
            <w:tcW w:type="dxa" w:w="2445"/>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ST001521_analysis.json</w:t>
            </w:r>
          </w:p>
        </w:tc>
        <w:tc>
          <w:tcPr>
            <w:tcW w:type="dxa" w:w="1721"/>
            <w:tcMar>
              <w:top w:w="80" w:type="dxa"/>
              <w:bottom w:w="80" w:type="dxa"/>
              <w:start w:w="120" w:type="dxa"/>
              <w:end w:w="120" w:type="dxa"/>
            </w:tcMar>
            <w:vAlign w:val="center"/>
          </w:tcPr>
          <w:p>
            <w:pPr>
              <w:spacing w:before="0" w:after="0" w:line="269" w:lineRule="auto"/>
              <w:jc w:val="center"/>
            </w:pPr>
            <w:r/>
            <w:r>
              <w:rPr>
                <w:rFonts w:ascii="Calibri" w:hAnsi="Calibri"/>
                <w:color w:val="222222"/>
                <w:sz w:val="16"/>
              </w:rPr>
              <w:t>2025</w:t>
            </w:r>
          </w:p>
        </w:tc>
        <w:tc>
          <w:tcPr>
            <w:tcW w:type="dxa" w:w="3573"/>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72d60232e8a0f39eb24c790cabe7bd1585a1e852eb58f4b0288703273a0c70ac</w:t>
            </w:r>
          </w:p>
        </w:tc>
      </w:tr>
      <w:tr>
        <w:trPr>
          <w:cantSplit w:val="true"/>
        </w:trPr>
        <w:tc>
          <w:tcPr>
            <w:tcW w:type="dxa" w:w="1621"/>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ST001521</w:t>
            </w:r>
          </w:p>
        </w:tc>
        <w:tc>
          <w:tcPr>
            <w:tcW w:type="dxa" w:w="2445"/>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ST001521_metabolites.json</w:t>
            </w:r>
          </w:p>
        </w:tc>
        <w:tc>
          <w:tcPr>
            <w:tcW w:type="dxa" w:w="1721"/>
            <w:tcMar>
              <w:top w:w="80" w:type="dxa"/>
              <w:bottom w:w="80" w:type="dxa"/>
              <w:start w:w="120" w:type="dxa"/>
              <w:end w:w="120" w:type="dxa"/>
            </w:tcMar>
            <w:vAlign w:val="center"/>
          </w:tcPr>
          <w:p>
            <w:pPr>
              <w:spacing w:before="0" w:after="0" w:line="269" w:lineRule="auto"/>
              <w:jc w:val="center"/>
            </w:pPr>
            <w:r/>
            <w:r>
              <w:rPr>
                <w:rFonts w:ascii="Calibri" w:hAnsi="Calibri"/>
                <w:color w:val="222222"/>
                <w:sz w:val="16"/>
              </w:rPr>
              <w:t>95806</w:t>
            </w:r>
          </w:p>
        </w:tc>
        <w:tc>
          <w:tcPr>
            <w:tcW w:type="dxa" w:w="3573"/>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7686f09d81f632d3996d5a5eceaedf31632a3c160d291f21cfa574d680251a53</w:t>
            </w:r>
          </w:p>
        </w:tc>
      </w:tr>
      <w:tr>
        <w:trPr>
          <w:cantSplit w:val="true"/>
        </w:trPr>
        <w:tc>
          <w:tcPr>
            <w:tcW w:type="dxa" w:w="1621"/>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ST001521</w:t>
            </w:r>
          </w:p>
        </w:tc>
        <w:tc>
          <w:tcPr>
            <w:tcW w:type="dxa" w:w="2445"/>
            <w:tcMar>
              <w:top w:w="80" w:type="dxa"/>
              <w:bottom w:w="80" w:type="dxa"/>
              <w:start w:w="120" w:type="dxa"/>
              <w:end w:w="120" w:type="dxa"/>
            </w:tcMar>
            <w:vAlign w:val="center"/>
          </w:tcPr>
          <w:p>
            <w:pPr>
              <w:spacing w:before="0" w:after="0" w:line="269" w:lineRule="auto"/>
              <w:jc w:val="center"/>
            </w:pPr>
            <w:r/>
            <w:r>
              <w:rPr>
                <w:rFonts w:ascii="Calibri" w:hAnsi="Calibri"/>
                <w:color w:val="222222"/>
                <w:sz w:val="16"/>
              </w:rPr>
              <w:t>ST001521_data.json</w:t>
            </w:r>
          </w:p>
        </w:tc>
        <w:tc>
          <w:tcPr>
            <w:tcW w:type="dxa" w:w="1721"/>
            <w:tcMar>
              <w:top w:w="80" w:type="dxa"/>
              <w:bottom w:w="80" w:type="dxa"/>
              <w:start w:w="120" w:type="dxa"/>
              <w:end w:w="120" w:type="dxa"/>
            </w:tcMar>
            <w:vAlign w:val="center"/>
          </w:tcPr>
          <w:p>
            <w:pPr>
              <w:spacing w:before="0" w:after="0" w:line="269" w:lineRule="auto"/>
              <w:jc w:val="center"/>
            </w:pPr>
            <w:r/>
            <w:r>
              <w:rPr>
                <w:rFonts w:ascii="Calibri" w:hAnsi="Calibri"/>
                <w:color w:val="222222"/>
                <w:sz w:val="16"/>
              </w:rPr>
              <w:t>1997104</w:t>
            </w:r>
          </w:p>
        </w:tc>
        <w:tc>
          <w:tcPr>
            <w:tcW w:type="dxa" w:w="3573"/>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5528f4a721189f45de65d65b325727177bc5355181f571827f6030a7e7676c06</w:t>
            </w:r>
          </w:p>
        </w:tc>
      </w:tr>
      <w:tr>
        <w:trPr>
          <w:cantSplit w:val="true"/>
        </w:trPr>
        <w:tc>
          <w:tcPr>
            <w:tcW w:type="dxa" w:w="1621"/>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ST003348</w:t>
            </w:r>
          </w:p>
        </w:tc>
        <w:tc>
          <w:tcPr>
            <w:tcW w:type="dxa" w:w="2445"/>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ST003348_summary.json</w:t>
            </w:r>
          </w:p>
        </w:tc>
        <w:tc>
          <w:tcPr>
            <w:tcW w:type="dxa" w:w="1721"/>
            <w:tcMar>
              <w:top w:w="80" w:type="dxa"/>
              <w:bottom w:w="80" w:type="dxa"/>
              <w:start w:w="120" w:type="dxa"/>
              <w:end w:w="120" w:type="dxa"/>
            </w:tcMar>
            <w:vAlign w:val="center"/>
          </w:tcPr>
          <w:p>
            <w:pPr>
              <w:spacing w:before="0" w:after="0" w:line="269" w:lineRule="auto"/>
              <w:jc w:val="center"/>
            </w:pPr>
            <w:r/>
            <w:r>
              <w:rPr>
                <w:rFonts w:ascii="Calibri" w:hAnsi="Calibri"/>
                <w:color w:val="222222"/>
                <w:sz w:val="16"/>
              </w:rPr>
              <w:t>621</w:t>
            </w:r>
          </w:p>
        </w:tc>
        <w:tc>
          <w:tcPr>
            <w:tcW w:type="dxa" w:w="3573"/>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3766073c903b8975c2959fbb9c562b4cee531cddc02e749f380915354b193bee</w:t>
            </w:r>
          </w:p>
        </w:tc>
      </w:tr>
      <w:tr>
        <w:trPr>
          <w:cantSplit w:val="true"/>
        </w:trPr>
        <w:tc>
          <w:tcPr>
            <w:tcW w:type="dxa" w:w="1621"/>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ST003348</w:t>
            </w:r>
          </w:p>
        </w:tc>
        <w:tc>
          <w:tcPr>
            <w:tcW w:type="dxa" w:w="2445"/>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ST003348_factors.json</w:t>
            </w:r>
          </w:p>
        </w:tc>
        <w:tc>
          <w:tcPr>
            <w:tcW w:type="dxa" w:w="1721"/>
            <w:tcMar>
              <w:top w:w="80" w:type="dxa"/>
              <w:bottom w:w="80" w:type="dxa"/>
              <w:start w:w="120" w:type="dxa"/>
              <w:end w:w="120" w:type="dxa"/>
            </w:tcMar>
            <w:vAlign w:val="center"/>
          </w:tcPr>
          <w:p>
            <w:pPr>
              <w:spacing w:before="0" w:after="0" w:line="269" w:lineRule="auto"/>
              <w:jc w:val="center"/>
            </w:pPr>
            <w:r/>
            <w:r>
              <w:rPr>
                <w:rFonts w:ascii="Calibri" w:hAnsi="Calibri"/>
                <w:color w:val="222222"/>
                <w:sz w:val="16"/>
              </w:rPr>
              <w:t>11791</w:t>
            </w:r>
          </w:p>
        </w:tc>
        <w:tc>
          <w:tcPr>
            <w:tcW w:type="dxa" w:w="3573"/>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e31bb851873fee1d185a2d91d8b5553637145d799793d416ecf2be6c3f8c3329</w:t>
            </w:r>
          </w:p>
        </w:tc>
      </w:tr>
      <w:tr>
        <w:trPr>
          <w:cantSplit w:val="true"/>
        </w:trPr>
        <w:tc>
          <w:tcPr>
            <w:tcW w:type="dxa" w:w="1621"/>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ST003348</w:t>
            </w:r>
          </w:p>
        </w:tc>
        <w:tc>
          <w:tcPr>
            <w:tcW w:type="dxa" w:w="2445"/>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ST003348_analysis.json</w:t>
            </w:r>
          </w:p>
        </w:tc>
        <w:tc>
          <w:tcPr>
            <w:tcW w:type="dxa" w:w="1721"/>
            <w:tcMar>
              <w:top w:w="80" w:type="dxa"/>
              <w:bottom w:w="80" w:type="dxa"/>
              <w:start w:w="120" w:type="dxa"/>
              <w:end w:w="120" w:type="dxa"/>
            </w:tcMar>
            <w:vAlign w:val="center"/>
          </w:tcPr>
          <w:p>
            <w:pPr>
              <w:spacing w:before="0" w:after="0" w:line="269" w:lineRule="auto"/>
              <w:jc w:val="center"/>
            </w:pPr>
            <w:r/>
            <w:r>
              <w:rPr>
                <w:rFonts w:ascii="Calibri" w:hAnsi="Calibri"/>
                <w:color w:val="222222"/>
                <w:sz w:val="16"/>
              </w:rPr>
              <w:t>1051</w:t>
            </w:r>
          </w:p>
        </w:tc>
        <w:tc>
          <w:tcPr>
            <w:tcW w:type="dxa" w:w="3573"/>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27f654c3cee086b2310ebe4aeee64f5a835949e99c8b0da4736e6316652c4a19</w:t>
            </w:r>
          </w:p>
        </w:tc>
      </w:tr>
      <w:tr>
        <w:trPr>
          <w:cantSplit w:val="true"/>
        </w:trPr>
        <w:tc>
          <w:tcPr>
            <w:tcW w:type="dxa" w:w="1621"/>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ST003348</w:t>
            </w:r>
          </w:p>
        </w:tc>
        <w:tc>
          <w:tcPr>
            <w:tcW w:type="dxa" w:w="2445"/>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ST003348_metabolites.json</w:t>
            </w:r>
          </w:p>
        </w:tc>
        <w:tc>
          <w:tcPr>
            <w:tcW w:type="dxa" w:w="1721"/>
            <w:tcMar>
              <w:top w:w="80" w:type="dxa"/>
              <w:bottom w:w="80" w:type="dxa"/>
              <w:start w:w="120" w:type="dxa"/>
              <w:end w:w="120" w:type="dxa"/>
            </w:tcMar>
            <w:vAlign w:val="center"/>
          </w:tcPr>
          <w:p>
            <w:pPr>
              <w:spacing w:before="0" w:after="0" w:line="269" w:lineRule="auto"/>
              <w:jc w:val="center"/>
            </w:pPr>
            <w:r/>
            <w:r>
              <w:rPr>
                <w:rFonts w:ascii="Calibri" w:hAnsi="Calibri"/>
                <w:color w:val="222222"/>
                <w:sz w:val="16"/>
              </w:rPr>
              <w:t>106651</w:t>
            </w:r>
          </w:p>
        </w:tc>
        <w:tc>
          <w:tcPr>
            <w:tcW w:type="dxa" w:w="3573"/>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492be3dd45c6bd741b64634249e4acc89a3d0c9750f98f816215305cff5ef566</w:t>
            </w:r>
          </w:p>
        </w:tc>
      </w:tr>
      <w:tr>
        <w:trPr>
          <w:cantSplit w:val="true"/>
        </w:trPr>
        <w:tc>
          <w:tcPr>
            <w:tcW w:type="dxa" w:w="1621"/>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ST003348</w:t>
            </w:r>
          </w:p>
        </w:tc>
        <w:tc>
          <w:tcPr>
            <w:tcW w:type="dxa" w:w="2445"/>
            <w:tcMar>
              <w:top w:w="80" w:type="dxa"/>
              <w:bottom w:w="80" w:type="dxa"/>
              <w:start w:w="120" w:type="dxa"/>
              <w:end w:w="120" w:type="dxa"/>
            </w:tcMar>
            <w:vAlign w:val="center"/>
          </w:tcPr>
          <w:p>
            <w:pPr>
              <w:spacing w:before="0" w:after="0" w:line="269" w:lineRule="auto"/>
              <w:jc w:val="center"/>
            </w:pPr>
            <w:r/>
            <w:r>
              <w:rPr>
                <w:rFonts w:ascii="Calibri" w:hAnsi="Calibri"/>
                <w:color w:val="222222"/>
                <w:sz w:val="16"/>
              </w:rPr>
              <w:t>ST003348_data.json</w:t>
            </w:r>
          </w:p>
        </w:tc>
        <w:tc>
          <w:tcPr>
            <w:tcW w:type="dxa" w:w="1721"/>
            <w:tcMar>
              <w:top w:w="80" w:type="dxa"/>
              <w:bottom w:w="80" w:type="dxa"/>
              <w:start w:w="120" w:type="dxa"/>
              <w:end w:w="120" w:type="dxa"/>
            </w:tcMar>
            <w:vAlign w:val="center"/>
          </w:tcPr>
          <w:p>
            <w:pPr>
              <w:spacing w:before="0" w:after="0" w:line="269" w:lineRule="auto"/>
              <w:jc w:val="center"/>
            </w:pPr>
            <w:r/>
            <w:r>
              <w:rPr>
                <w:rFonts w:ascii="Calibri" w:hAnsi="Calibri"/>
                <w:color w:val="222222"/>
                <w:sz w:val="16"/>
              </w:rPr>
              <w:t>1076605</w:t>
            </w:r>
          </w:p>
        </w:tc>
        <w:tc>
          <w:tcPr>
            <w:tcW w:type="dxa" w:w="3573"/>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0610a28e0e858524adefee5ee2d0dca46cf75c9a5bab1ebcb659e2573715adfb</w:t>
            </w:r>
          </w:p>
        </w:tc>
      </w:tr>
      <w:tr>
        <w:trPr>
          <w:cantSplit w:val="true"/>
        </w:trPr>
        <w:tc>
          <w:tcPr>
            <w:tcW w:type="dxa" w:w="1621"/>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RefMet</w:t>
            </w:r>
          </w:p>
        </w:tc>
        <w:tc>
          <w:tcPr>
            <w:tcW w:type="dxa" w:w="2445"/>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refmet_classification.json</w:t>
            </w:r>
          </w:p>
        </w:tc>
        <w:tc>
          <w:tcPr>
            <w:tcW w:type="dxa" w:w="1721"/>
            <w:tcMar>
              <w:top w:w="80" w:type="dxa"/>
              <w:bottom w:w="80" w:type="dxa"/>
              <w:start w:w="120" w:type="dxa"/>
              <w:end w:w="120" w:type="dxa"/>
            </w:tcMar>
            <w:vAlign w:val="center"/>
          </w:tcPr>
          <w:p>
            <w:pPr>
              <w:spacing w:before="0" w:after="0" w:line="269" w:lineRule="auto"/>
              <w:jc w:val="center"/>
            </w:pPr>
            <w:r/>
            <w:r>
              <w:rPr>
                <w:rFonts w:ascii="Calibri" w:hAnsi="Calibri"/>
                <w:color w:val="222222"/>
                <w:sz w:val="16"/>
              </w:rPr>
              <w:t>31375639</w:t>
            </w:r>
          </w:p>
        </w:tc>
        <w:tc>
          <w:tcPr>
            <w:tcW w:type="dxa" w:w="3573"/>
            <w:tcMar>
              <w:top w:w="80" w:type="dxa"/>
              <w:bottom w:w="80" w:type="dxa"/>
              <w:start w:w="120" w:type="dxa"/>
              <w:end w:w="120" w:type="dxa"/>
            </w:tcMar>
            <w:vAlign w:val="center"/>
          </w:tcPr>
          <w:p>
            <w:pPr>
              <w:spacing w:before="0" w:after="0" w:line="269" w:lineRule="auto"/>
              <w:jc w:val="left"/>
            </w:pPr>
            <w:r/>
            <w:r>
              <w:rPr>
                <w:rFonts w:ascii="Calibri" w:hAnsi="Calibri"/>
                <w:color w:val="222222"/>
                <w:sz w:val="16"/>
              </w:rPr>
              <w:t>b11b6f09c5f068226ac440b815c693af0255e506a2cb33736a265004a95cb50d</w:t>
            </w:r>
          </w:p>
        </w:tc>
      </w:tr>
    </w:tbl>
    <w:p>
      <w:pPr>
        <w:spacing w:before="0" w:after="40"/>
      </w:pPr>
    </w:p>
    <w:p>
      <w:pPr>
        <w:pStyle w:val="Heading1"/>
      </w:pPr>
      <w:r>
        <w:t>Data attribution and reuse</w:t>
      </w:r>
    </w:p>
    <w:p>
      <w:pPr>
        <w:keepNext/>
        <w:spacing w:before="0" w:after="20"/>
      </w:pPr>
    </w:p>
    <w:p>
      <w:pPr>
        <w:pStyle w:val="Heading2"/>
      </w:pPr>
      <w:r>
        <w:rPr>
          <w:rFonts w:ascii="Calibri" w:hAnsi="Calibri"/>
          <w:color w:val="222222"/>
        </w:rPr>
        <w:t>Primary public datasets</w:t>
      </w:r>
    </w:p>
    <w:p>
      <w:r>
        <w:rPr>
          <w:rFonts w:ascii="Calibri" w:hAnsi="Calibri"/>
          <w:color w:val="222222"/>
        </w:rPr>
        <w:t>This training package includes cached copies and derived educational artifacts from two public Metabolomics Workbench/NMDR studies. Each study's public summary endpoint reports a Creative Commons Attribution 4.0 International license.</w:t>
      </w:r>
    </w:p>
    <w:p>
      <w:pPr>
        <w:keepNext/>
        <w:spacing w:before="0" w:after="20"/>
      </w:pPr>
    </w:p>
    <w:p>
      <w:pPr>
        <w:pStyle w:val="Heading3"/>
      </w:pPr>
      <w:r>
        <w:rPr>
          <w:rFonts w:ascii="Calibri" w:hAnsi="Calibri"/>
          <w:color w:val="222222"/>
        </w:rPr>
        <w:t>Diet-anchored case study</w:t>
      </w:r>
    </w:p>
    <w:p>
      <w:pPr>
        <w:numPr>
          <w:ilvl w:val="0"/>
          <w:numId w:val="101"/>
        </w:numPr>
        <w:spacing w:after="40" w:line="264" w:lineRule="auto"/>
      </w:pPr>
      <w:r>
        <w:rPr>
          <w:rFonts w:ascii="Calibri" w:hAnsi="Calibri"/>
          <w:color w:val="222222"/>
        </w:rPr>
        <w:t xml:space="preserve">Metabolomics Workbench study: </w:t>
      </w:r>
      <w:r>
        <w:rPr>
          <w:rFonts w:ascii="Consolas" w:hAnsi="Consolas"/>
          <w:color w:val="1F4D78"/>
          <w:sz w:val="21"/>
          <w:shd w:fill="EEF1F4"/>
        </w:rPr>
        <w:t>ST001521</w:t>
      </w:r>
    </w:p>
    <w:p>
      <w:pPr>
        <w:numPr>
          <w:ilvl w:val="0"/>
          <w:numId w:val="101"/>
        </w:numPr>
        <w:spacing w:after="40" w:line="264" w:lineRule="auto"/>
      </w:pPr>
      <w:r>
        <w:rPr>
          <w:rFonts w:ascii="Calibri" w:hAnsi="Calibri"/>
          <w:color w:val="222222"/>
        </w:rPr>
        <w:t xml:space="preserve">Project: </w:t>
      </w:r>
      <w:r>
        <w:rPr>
          <w:rFonts w:ascii="Consolas" w:hAnsi="Consolas"/>
          <w:color w:val="1F4D78"/>
          <w:sz w:val="21"/>
          <w:shd w:fill="EEF1F4"/>
        </w:rPr>
        <w:t>PR001024</w:t>
      </w:r>
    </w:p>
    <w:p>
      <w:pPr>
        <w:numPr>
          <w:ilvl w:val="0"/>
          <w:numId w:val="101"/>
        </w:numPr>
        <w:spacing w:after="40" w:line="264" w:lineRule="auto"/>
      </w:pPr>
      <w:r>
        <w:rPr>
          <w:rFonts w:ascii="Calibri" w:hAnsi="Calibri"/>
          <w:color w:val="222222"/>
        </w:rPr>
        <w:t xml:space="preserve">Project DOI: </w:t>
      </w:r>
      <w:hyperlink r:id="rId41">
        <w:r>
          <w:rPr>
            <w:rFonts w:ascii="Calibri" w:hAnsi="Calibri"/>
            <w:color w:val="2E74B5"/>
            <w:u w:val="single"/>
            <w:sz w:val="22"/>
          </w:rPr>
          <w:t>10.21228/M8B984</w:t>
        </w:r>
      </w:hyperlink>
    </w:p>
    <w:p>
      <w:pPr>
        <w:numPr>
          <w:ilvl w:val="0"/>
          <w:numId w:val="101"/>
        </w:numPr>
        <w:spacing w:after="40" w:line="264" w:lineRule="auto"/>
      </w:pPr>
      <w:r>
        <w:rPr>
          <w:rFonts w:ascii="Calibri" w:hAnsi="Calibri"/>
          <w:color w:val="222222"/>
        </w:rPr>
        <w:t xml:space="preserve">Repository record: </w:t>
      </w:r>
      <w:hyperlink r:id="rId12">
        <w:r>
          <w:rPr>
            <w:rFonts w:ascii="Calibri" w:hAnsi="Calibri"/>
            <w:color w:val="2E74B5"/>
            <w:u w:val="single"/>
            <w:sz w:val="22"/>
          </w:rPr>
          <w:t>Metabolomics Workbench ST001521</w:t>
        </w:r>
      </w:hyperlink>
    </w:p>
    <w:p>
      <w:pPr>
        <w:numPr>
          <w:ilvl w:val="0"/>
          <w:numId w:val="101"/>
        </w:numPr>
        <w:spacing w:after="40" w:line="264" w:lineRule="auto"/>
      </w:pPr>
      <w:r>
        <w:rPr>
          <w:rFonts w:ascii="Calibri" w:hAnsi="Calibri"/>
          <w:color w:val="222222"/>
        </w:rPr>
        <w:t xml:space="preserve">License: </w:t>
      </w:r>
      <w:hyperlink r:id="rId42">
        <w:r>
          <w:rPr>
            <w:rFonts w:ascii="Calibri" w:hAnsi="Calibri"/>
            <w:color w:val="2E74B5"/>
            <w:u w:val="single"/>
            <w:sz w:val="22"/>
          </w:rPr>
          <w:t>CC BY 4.0</w:t>
        </w:r>
      </w:hyperlink>
    </w:p>
    <w:p>
      <w:pPr>
        <w:keepNext/>
        <w:spacing w:before="0" w:after="20"/>
      </w:pPr>
    </w:p>
    <w:p>
      <w:pPr>
        <w:pStyle w:val="Heading3"/>
      </w:pPr>
      <w:r>
        <w:rPr>
          <w:rFonts w:ascii="Calibri" w:hAnsi="Calibri"/>
          <w:color w:val="222222"/>
        </w:rPr>
        <w:t>Exercise-anchored case study</w:t>
      </w:r>
    </w:p>
    <w:p>
      <w:pPr>
        <w:numPr>
          <w:ilvl w:val="0"/>
          <w:numId w:val="102"/>
        </w:numPr>
        <w:spacing w:after="40" w:line="264" w:lineRule="auto"/>
      </w:pPr>
      <w:r>
        <w:rPr>
          <w:rFonts w:ascii="Calibri" w:hAnsi="Calibri"/>
          <w:color w:val="222222"/>
        </w:rPr>
        <w:t xml:space="preserve">Metabolomics Workbench study: </w:t>
      </w:r>
      <w:r>
        <w:rPr>
          <w:rFonts w:ascii="Consolas" w:hAnsi="Consolas"/>
          <w:color w:val="1F4D78"/>
          <w:sz w:val="21"/>
          <w:shd w:fill="EEF1F4"/>
        </w:rPr>
        <w:t>ST003348</w:t>
      </w:r>
    </w:p>
    <w:p>
      <w:pPr>
        <w:numPr>
          <w:ilvl w:val="0"/>
          <w:numId w:val="102"/>
        </w:numPr>
        <w:spacing w:after="40" w:line="264" w:lineRule="auto"/>
      </w:pPr>
      <w:r>
        <w:rPr>
          <w:rFonts w:ascii="Calibri" w:hAnsi="Calibri"/>
          <w:color w:val="222222"/>
        </w:rPr>
        <w:t xml:space="preserve">Project: </w:t>
      </w:r>
      <w:r>
        <w:rPr>
          <w:rFonts w:ascii="Consolas" w:hAnsi="Consolas"/>
          <w:color w:val="1F4D78"/>
          <w:sz w:val="21"/>
          <w:shd w:fill="EEF1F4"/>
        </w:rPr>
        <w:t>PR002083</w:t>
      </w:r>
    </w:p>
    <w:p>
      <w:pPr>
        <w:numPr>
          <w:ilvl w:val="0"/>
          <w:numId w:val="102"/>
        </w:numPr>
        <w:spacing w:after="40" w:line="264" w:lineRule="auto"/>
      </w:pPr>
      <w:r>
        <w:rPr>
          <w:rFonts w:ascii="Calibri" w:hAnsi="Calibri"/>
          <w:color w:val="222222"/>
        </w:rPr>
        <w:t xml:space="preserve">Project DOI: </w:t>
      </w:r>
      <w:hyperlink r:id="rId43">
        <w:r>
          <w:rPr>
            <w:rFonts w:ascii="Calibri" w:hAnsi="Calibri"/>
            <w:color w:val="2E74B5"/>
            <w:u w:val="single"/>
            <w:sz w:val="22"/>
          </w:rPr>
          <w:t>10.21228/M8C802</w:t>
        </w:r>
      </w:hyperlink>
    </w:p>
    <w:p>
      <w:pPr>
        <w:numPr>
          <w:ilvl w:val="0"/>
          <w:numId w:val="102"/>
        </w:numPr>
        <w:spacing w:after="40" w:line="264" w:lineRule="auto"/>
      </w:pPr>
      <w:r>
        <w:rPr>
          <w:rFonts w:ascii="Calibri" w:hAnsi="Calibri"/>
          <w:color w:val="222222"/>
        </w:rPr>
        <w:t xml:space="preserve">Repository record: </w:t>
      </w:r>
      <w:hyperlink r:id="rId14">
        <w:r>
          <w:rPr>
            <w:rFonts w:ascii="Calibri" w:hAnsi="Calibri"/>
            <w:color w:val="2E74B5"/>
            <w:u w:val="single"/>
            <w:sz w:val="22"/>
          </w:rPr>
          <w:t>Metabolomics Workbench ST003348</w:t>
        </w:r>
      </w:hyperlink>
    </w:p>
    <w:p>
      <w:pPr>
        <w:numPr>
          <w:ilvl w:val="0"/>
          <w:numId w:val="102"/>
        </w:numPr>
        <w:spacing w:after="40" w:line="264" w:lineRule="auto"/>
      </w:pPr>
      <w:r>
        <w:rPr>
          <w:rFonts w:ascii="Calibri" w:hAnsi="Calibri"/>
          <w:color w:val="222222"/>
        </w:rPr>
        <w:t xml:space="preserve">License: </w:t>
      </w:r>
      <w:hyperlink r:id="rId42">
        <w:r>
          <w:rPr>
            <w:rFonts w:ascii="Calibri" w:hAnsi="Calibri"/>
            <w:color w:val="2E74B5"/>
            <w:u w:val="single"/>
            <w:sz w:val="22"/>
          </w:rPr>
          <w:t>CC BY 4.0</w:t>
        </w:r>
      </w:hyperlink>
    </w:p>
    <w:p>
      <w:pPr>
        <w:keepNext/>
        <w:spacing w:before="0" w:after="20"/>
      </w:pPr>
    </w:p>
    <w:p>
      <w:pPr>
        <w:pStyle w:val="Heading3"/>
      </w:pPr>
      <w:r>
        <w:rPr>
          <w:rFonts w:ascii="Calibri" w:hAnsi="Calibri"/>
          <w:color w:val="222222"/>
        </w:rPr>
        <w:t>RefMet classification</w:t>
      </w:r>
    </w:p>
    <w:p>
      <w:pPr>
        <w:numPr>
          <w:ilvl w:val="0"/>
          <w:numId w:val="103"/>
        </w:numPr>
        <w:spacing w:after="40" w:line="264" w:lineRule="auto"/>
      </w:pPr>
      <w:r>
        <w:rPr>
          <w:rFonts w:ascii="Calibri" w:hAnsi="Calibri"/>
          <w:color w:val="222222"/>
        </w:rPr>
        <w:t>Source: Metabolomics Workbench RefMet REST service</w:t>
      </w:r>
    </w:p>
    <w:p>
      <w:pPr>
        <w:numPr>
          <w:ilvl w:val="0"/>
          <w:numId w:val="103"/>
        </w:numPr>
        <w:spacing w:after="40" w:line="264" w:lineRule="auto"/>
      </w:pPr>
      <w:r>
        <w:rPr>
          <w:rFonts w:ascii="Calibri" w:hAnsi="Calibri"/>
          <w:color w:val="222222"/>
        </w:rPr>
        <w:t xml:space="preserve">Endpoint: </w:t>
      </w:r>
      <w:hyperlink r:id="rId44">
        <w:r>
          <w:rPr>
            <w:rFonts w:ascii="Calibri" w:hAnsi="Calibri"/>
            <w:color w:val="2E74B5"/>
            <w:u w:val="single"/>
            <w:sz w:val="22"/>
          </w:rPr>
          <w:t>RefMet classification REST endpoint</w:t>
        </w:r>
      </w:hyperlink>
    </w:p>
    <w:p>
      <w:pPr>
        <w:numPr>
          <w:ilvl w:val="0"/>
          <w:numId w:val="103"/>
        </w:numPr>
        <w:spacing w:after="40" w:line="264" w:lineRule="auto"/>
      </w:pPr>
      <w:r>
        <w:rPr>
          <w:rFonts w:ascii="Calibri" w:hAnsi="Calibri"/>
          <w:color w:val="222222"/>
        </w:rPr>
        <w:t xml:space="preserve">Documentation: </w:t>
      </w:r>
      <w:hyperlink r:id="rId16">
        <w:r>
          <w:rPr>
            <w:rFonts w:ascii="Calibri" w:hAnsi="Calibri"/>
            <w:color w:val="2E74B5"/>
            <w:u w:val="single"/>
            <w:sz w:val="22"/>
          </w:rPr>
          <w:t>Metabolomics Workbench REST documentation</w:t>
        </w:r>
      </w:hyperlink>
    </w:p>
    <w:p>
      <w:r>
        <w:rPr>
          <w:rFonts w:ascii="Calibri" w:hAnsi="Calibri"/>
          <w:color w:val="222222"/>
        </w:rPr>
        <w:t xml:space="preserve">Exact retrieval times, response sizes, SHA-256 checksums, release fields, and transformations are recorded in </w:t>
      </w:r>
      <w:r>
        <w:rPr>
          <w:rFonts w:ascii="Consolas" w:hAnsi="Consolas"/>
          <w:color w:val="1F4D78"/>
          <w:sz w:val="21"/>
          <w:shd w:fill="EEF1F4"/>
        </w:rPr>
        <w:t>module/data/provenance.json</w:t>
      </w:r>
      <w:r>
        <w:rPr>
          <w:rFonts w:ascii="Calibri" w:hAnsi="Calibri"/>
          <w:color w:val="222222"/>
        </w:rPr>
        <w:t xml:space="preserve"> in the repository and analysis bundle.</w:t>
      </w:r>
    </w:p>
    <w:p>
      <w:pPr>
        <w:keepNext/>
        <w:spacing w:before="0" w:after="20"/>
      </w:pPr>
    </w:p>
    <w:p>
      <w:pPr>
        <w:pStyle w:val="Heading2"/>
      </w:pPr>
      <w:r>
        <w:rPr>
          <w:rFonts w:ascii="Calibri" w:hAnsi="Calibri"/>
          <w:color w:val="222222"/>
        </w:rPr>
        <w:t>Training materials</w:t>
      </w:r>
    </w:p>
    <w:p>
      <w:r>
        <w:rPr>
          <w:rFonts w:ascii="Calibri" w:hAnsi="Calibri"/>
          <w:color w:val="222222"/>
        </w:rPr>
        <w:t xml:space="preserve">Except for third-party material identified here or in </w:t>
      </w:r>
      <w:r>
        <w:rPr>
          <w:rFonts w:ascii="Consolas" w:hAnsi="Consolas"/>
          <w:color w:val="1F4D78"/>
          <w:sz w:val="21"/>
          <w:shd w:fill="EEF1F4"/>
        </w:rPr>
        <w:t>module/data/provenance.json</w:t>
      </w:r>
      <w:r>
        <w:rPr>
          <w:rFonts w:ascii="Calibri" w:hAnsi="Calibri"/>
          <w:color w:val="222222"/>
        </w:rPr>
        <w:t xml:space="preserve">, the lesson text, original templates, notebook narrative and code, scripts, figures, and assessments in this package are licensed under the </w:t>
      </w:r>
      <w:hyperlink r:id="rId42">
        <w:r>
          <w:rPr>
            <w:rFonts w:ascii="Calibri" w:hAnsi="Calibri"/>
            <w:color w:val="2E74B5"/>
            <w:u w:val="single"/>
            <w:sz w:val="22"/>
          </w:rPr>
          <w:t>Creative Commons Attribution 4.0 International Public License</w:t>
        </w:r>
      </w:hyperlink>
      <w:r>
        <w:rPr>
          <w:rFonts w:ascii="Calibri" w:hAnsi="Calibri"/>
          <w:color w:val="222222"/>
        </w:rPr>
        <w:t xml:space="preserve">. Reusers must give appropriate credit, link to the license, and indicate changes. The repository and release packages include the full English legal code; it is also available from </w:t>
      </w:r>
      <w:hyperlink r:id="rId45">
        <w:r>
          <w:rPr>
            <w:rFonts w:ascii="Calibri" w:hAnsi="Calibri"/>
            <w:color w:val="2E74B5"/>
            <w:u w:val="single"/>
            <w:sz w:val="22"/>
          </w:rPr>
          <w:t>Creative Commons</w:t>
        </w:r>
      </w:hyperlink>
      <w:r>
        <w:rPr>
          <w:rFonts w:ascii="Calibri" w:hAnsi="Calibri"/>
          <w:color w:val="222222"/>
        </w:rPr>
        <w:t>.</w:t>
      </w:r>
    </w:p>
    <w:p>
      <w:r>
        <w:rPr>
          <w:rFonts w:ascii="Calibri" w:hAnsi="Calibri"/>
          <w:color w:val="222222"/>
        </w:rPr>
        <w:t>This grant does not relicense third-party datasets, repository records, software dependencies, trademarks, or logos. Dataset attribution does not imply that the original investigators, the Metabolomics Workbench, NIH, CFDE, MoTrPAC, NPH, All of Us, or any affiliated institution reviewed or endorsed the module.</w:t>
      </w:r>
    </w:p>
    <w:p>
      <w:pPr>
        <w:keepNext/>
        <w:spacing w:before="0" w:after="20"/>
      </w:pPr>
    </w:p>
    <w:p>
      <w:pPr>
        <w:pStyle w:val="Heading2"/>
      </w:pPr>
      <w:r>
        <w:rPr>
          <w:rFonts w:ascii="Calibri" w:hAnsi="Calibri"/>
          <w:color w:val="222222"/>
        </w:rPr>
        <w:t>Interpretation notice</w:t>
      </w:r>
    </w:p>
    <w:p>
      <w:r>
        <w:rPr>
          <w:rFonts w:ascii="Calibri" w:hAnsi="Calibri"/>
          <w:color w:val="222222"/>
        </w:rPr>
        <w:t>The package uses these studies to teach metadata reasoning, identifier harmonization, and within-study exploratory analysis. It does not treat the studies as one experiment, estimate a diet-versus-exercise causal effect, or claim that plasma and serum peak areas are quantitatively interchangeable.</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Calibri" w:hAnsi="Calibri"/>
        <w:color w:val="5A6570"/>
        <w:sz w:val="17"/>
      </w:rPr>
      <w:t xml:space="preserve">Metabo-Diet  |  Page </w:t>
    </w:r>
    <w:r>
      <w:fldChar w:fldCharType="begin"/>
      <w:instrText xml:space="preserve">PAGE</w:instrText>
      <w:fldChar w:fldCharType="separate"/>
      <w:t>1</w:t>
      <w:fldChar w:fldCharType="end"/>
    </w:r>
    <w:r>
      <w:rPr>
        <w:rFonts w:ascii="Calibri" w:hAnsi="Calibri"/>
        <w:color w:val="5A6570"/>
        <w:sz w:val="17"/>
      </w:rPr>
      <w:t xml:space="preserve"> of </w:t>
    </w:r>
    <w: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rPr>
        <w:rFonts w:ascii="Calibri" w:hAnsi="Calibri"/>
        <w:b/>
        <w:color w:val="5A6570"/>
        <w:sz w:val="17"/>
      </w:rPr>
      <w:t>METABO-DIET  |  LEARNER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nsid w:val="00000009"/>
    <w:multiLevelType w:val="multilevel"/>
    <w:lvl w:ilvl="0">
      <w:start w:val="1"/>
      <w:numFmt w:val="bullet"/>
      <w:lvlText w:val="•"/>
      <w:lvlJc w:val="left"/>
      <w:pPr>
        <w:tabs>
          <w:tab w:val="num" w:pos="540"/>
        </w:tabs>
        <w:ind w:left="540" w:hanging="270"/>
        <w:spacing w:after="80" w:line="300" w:lineRule="auto"/>
      </w:pPr>
      <w:rPr>
        <w:rFonts w:ascii="Symbol" w:hAnsi="Symbol"/>
      </w:rPr>
    </w:lvl>
    <w:lvl w:ilvl="1">
      <w:start w:val="1"/>
      <w:numFmt w:val="bullet"/>
      <w:lvlText w:val="•"/>
      <w:lvlJc w:val="left"/>
      <w:pPr>
        <w:tabs>
          <w:tab w:val="num" w:pos="900"/>
        </w:tabs>
        <w:ind w:left="900" w:hanging="270"/>
        <w:spacing w:after="80" w:line="300" w:lineRule="auto"/>
      </w:pPr>
      <w:rPr>
        <w:rFonts w:ascii="Symbol" w:hAnsi="Symbol"/>
      </w:rPr>
    </w:lvl>
    <w:lvl w:ilvl="2">
      <w:start w:val="1"/>
      <w:numFmt w:val="bullet"/>
      <w:lvlText w:val="•"/>
      <w:lvlJc w:val="left"/>
      <w:pPr>
        <w:tabs>
          <w:tab w:val="num" w:pos="1260"/>
        </w:tabs>
        <w:ind w:left="1260" w:hanging="270"/>
        <w:spacing w:after="80" w:line="300" w:lineRule="auto"/>
      </w:pPr>
      <w:rPr>
        <w:rFonts w:ascii="Symbol" w:hAnsi="Symbol"/>
      </w:rPr>
    </w:lvl>
  </w:abstractNum>
  <w:abstractNum w:abstractNumId="10">
    <w:nsid w:val="0000000A"/>
    <w:multiLevelType w:val="multilevel"/>
    <w:lvl w:ilvl="0">
      <w:start w:val="1"/>
      <w:numFmt w:val="decimal"/>
      <w:lvlText w:val="%1."/>
      <w:lvlJc w:val="left"/>
      <w:pPr>
        <w:tabs>
          <w:tab w:val="num" w:pos="540"/>
        </w:tabs>
        <w:ind w:left="540" w:hanging="270"/>
        <w:spacing w:after="80" w:line="300" w:lineRule="auto"/>
      </w:pPr>
    </w:lvl>
    <w:lvl w:ilvl="1">
      <w:start w:val="1"/>
      <w:numFmt w:val="decimal"/>
      <w:lvlText w:val="%2."/>
      <w:lvlJc w:val="left"/>
      <w:pPr>
        <w:tabs>
          <w:tab w:val="num" w:pos="900"/>
        </w:tabs>
        <w:ind w:left="900" w:hanging="270"/>
        <w:spacing w:after="80" w:line="300" w:lineRule="auto"/>
      </w:pPr>
    </w:lvl>
    <w:lvl w:ilvl="2">
      <w:start w:val="1"/>
      <w:numFmt w:val="decimal"/>
      <w:lvlText w:val="%3."/>
      <w:lvlJc w:val="left"/>
      <w:pPr>
        <w:tabs>
          <w:tab w:val="num" w:pos="1260"/>
        </w:tabs>
        <w:ind w:left="1260" w:hanging="270"/>
        <w:spacing w:after="80" w:line="300" w:lineRule="auto"/>
      </w:pPr>
    </w:lvl>
  </w:abstractNum>
  <w:num w:numId="10">
    <w:abstractNumId w:val="10"/>
    <w:lvlOverride w:ilvl="0">
      <w:startOverride w:val="1"/>
    </w:lvlOverride>
    <w:lvlOverride w:ilvl="1">
      <w:startOverride w:val="1"/>
    </w:lvlOverride>
    <w:lvlOverride w:ilvl="2">
      <w:startOverride w:val="1"/>
    </w:lvlOverride>
  </w:num>
  <w:num w:numId="11">
    <w:abstractNumId w:val="9"/>
    <w:lvlOverride w:ilvl="0">
      <w:startOverride w:val="1"/>
    </w:lvlOverride>
    <w:lvlOverride w:ilvl="1">
      <w:startOverride w:val="1"/>
    </w:lvlOverride>
    <w:lvlOverride w:ilvl="2">
      <w:startOverride w:val="1"/>
    </w:lvlOverride>
  </w:num>
  <w:num w:numId="12">
    <w:abstractNumId w:val="10"/>
    <w:lvlOverride w:ilvl="0">
      <w:startOverride w:val="1"/>
    </w:lvlOverride>
    <w:lvlOverride w:ilvl="1">
      <w:startOverride w:val="1"/>
    </w:lvlOverride>
    <w:lvlOverride w:ilvl="2">
      <w:startOverride w:val="1"/>
    </w:lvlOverride>
  </w:num>
  <w:num w:numId="13">
    <w:abstractNumId w:val="9"/>
    <w:lvlOverride w:ilvl="0">
      <w:startOverride w:val="1"/>
    </w:lvlOverride>
    <w:lvlOverride w:ilvl="1">
      <w:startOverride w:val="1"/>
    </w:lvlOverride>
    <w:lvlOverride w:ilvl="2">
      <w:startOverride w:val="1"/>
    </w:lvlOverride>
  </w:num>
  <w:num w:numId="14">
    <w:abstractNumId w:val="10"/>
    <w:lvlOverride w:ilvl="0">
      <w:startOverride w:val="1"/>
    </w:lvlOverride>
    <w:lvlOverride w:ilvl="1">
      <w:startOverride w:val="1"/>
    </w:lvlOverride>
    <w:lvlOverride w:ilvl="2">
      <w:startOverride w:val="1"/>
    </w:lvlOverride>
  </w:num>
  <w:num w:numId="15">
    <w:abstractNumId w:val="9"/>
    <w:lvlOverride w:ilvl="0">
      <w:startOverride w:val="1"/>
    </w:lvlOverride>
    <w:lvlOverride w:ilvl="1">
      <w:startOverride w:val="1"/>
    </w:lvlOverride>
    <w:lvlOverride w:ilvl="2">
      <w:startOverride w:val="1"/>
    </w:lvlOverride>
  </w:num>
  <w:num w:numId="16">
    <w:abstractNumId w:val="10"/>
    <w:lvlOverride w:ilvl="0">
      <w:startOverride w:val="1"/>
    </w:lvlOverride>
    <w:lvlOverride w:ilvl="1">
      <w:startOverride w:val="1"/>
    </w:lvlOverride>
    <w:lvlOverride w:ilvl="2">
      <w:startOverride w:val="1"/>
    </w:lvlOverride>
  </w:num>
  <w:num w:numId="17">
    <w:abstractNumId w:val="9"/>
    <w:lvlOverride w:ilvl="0">
      <w:startOverride w:val="1"/>
    </w:lvlOverride>
    <w:lvlOverride w:ilvl="1">
      <w:startOverride w:val="1"/>
    </w:lvlOverride>
    <w:lvlOverride w:ilvl="2">
      <w:startOverride w:val="1"/>
    </w:lvlOverride>
  </w:num>
  <w:num w:numId="18">
    <w:abstractNumId w:val="9"/>
    <w:lvlOverride w:ilvl="0">
      <w:startOverride w:val="1"/>
    </w:lvlOverride>
    <w:lvlOverride w:ilvl="1">
      <w:startOverride w:val="1"/>
    </w:lvlOverride>
    <w:lvlOverride w:ilvl="2">
      <w:startOverride w:val="1"/>
    </w:lvlOverride>
  </w:num>
  <w:num w:numId="19">
    <w:abstractNumId w:val="10"/>
    <w:lvlOverride w:ilvl="0">
      <w:startOverride w:val="1"/>
    </w:lvlOverride>
    <w:lvlOverride w:ilvl="1">
      <w:startOverride w:val="1"/>
    </w:lvlOverride>
    <w:lvlOverride w:ilvl="2">
      <w:startOverride w:val="1"/>
    </w:lvlOverride>
  </w:num>
  <w:num w:numId="20">
    <w:abstractNumId w:val="10"/>
    <w:lvlOverride w:ilvl="0">
      <w:startOverride w:val="1"/>
    </w:lvlOverride>
    <w:lvlOverride w:ilvl="1">
      <w:startOverride w:val="1"/>
    </w:lvlOverride>
    <w:lvlOverride w:ilvl="2">
      <w:startOverride w:val="1"/>
    </w:lvlOverride>
  </w:num>
  <w:num w:numId="21">
    <w:abstractNumId w:val="9"/>
    <w:lvlOverride w:ilvl="0">
      <w:startOverride w:val="1"/>
    </w:lvlOverride>
    <w:lvlOverride w:ilvl="1">
      <w:startOverride w:val="1"/>
    </w:lvlOverride>
    <w:lvlOverride w:ilvl="2">
      <w:startOverride w:val="1"/>
    </w:lvlOverride>
  </w:num>
  <w:num w:numId="22">
    <w:abstractNumId w:val="10"/>
    <w:lvlOverride w:ilvl="0">
      <w:startOverride w:val="1"/>
    </w:lvlOverride>
    <w:lvlOverride w:ilvl="1">
      <w:startOverride w:val="1"/>
    </w:lvlOverride>
    <w:lvlOverride w:ilvl="2">
      <w:startOverride w:val="1"/>
    </w:lvlOverride>
  </w:num>
  <w:num w:numId="23">
    <w:abstractNumId w:val="10"/>
    <w:lvlOverride w:ilvl="0">
      <w:startOverride w:val="1"/>
    </w:lvlOverride>
    <w:lvlOverride w:ilvl="1">
      <w:startOverride w:val="1"/>
    </w:lvlOverride>
    <w:lvlOverride w:ilvl="2">
      <w:startOverride w:val="1"/>
    </w:lvlOverride>
  </w:num>
  <w:num w:numId="24">
    <w:abstractNumId w:val="9"/>
    <w:lvlOverride w:ilvl="0">
      <w:startOverride w:val="1"/>
    </w:lvlOverride>
    <w:lvlOverride w:ilvl="1">
      <w:startOverride w:val="1"/>
    </w:lvlOverride>
    <w:lvlOverride w:ilvl="2">
      <w:startOverride w:val="1"/>
    </w:lvlOverride>
  </w:num>
  <w:num w:numId="25">
    <w:abstractNumId w:val="9"/>
    <w:lvlOverride w:ilvl="0">
      <w:startOverride w:val="1"/>
    </w:lvlOverride>
    <w:lvlOverride w:ilvl="1">
      <w:startOverride w:val="1"/>
    </w:lvlOverride>
    <w:lvlOverride w:ilvl="2">
      <w:startOverride w:val="1"/>
    </w:lvlOverride>
  </w:num>
  <w:num w:numId="26">
    <w:abstractNumId w:val="9"/>
    <w:lvlOverride w:ilvl="0">
      <w:startOverride w:val="1"/>
    </w:lvlOverride>
    <w:lvlOverride w:ilvl="1">
      <w:startOverride w:val="1"/>
    </w:lvlOverride>
    <w:lvlOverride w:ilvl="2">
      <w:startOverride w:val="1"/>
    </w:lvlOverride>
  </w:num>
  <w:num w:numId="27">
    <w:abstractNumId w:val="9"/>
    <w:lvlOverride w:ilvl="0">
      <w:startOverride w:val="1"/>
    </w:lvlOverride>
    <w:lvlOverride w:ilvl="1">
      <w:startOverride w:val="1"/>
    </w:lvlOverride>
    <w:lvlOverride w:ilvl="2">
      <w:startOverride w:val="1"/>
    </w:lvlOverride>
  </w:num>
  <w:num w:numId="28">
    <w:abstractNumId w:val="9"/>
    <w:lvlOverride w:ilvl="0">
      <w:startOverride w:val="1"/>
    </w:lvlOverride>
    <w:lvlOverride w:ilvl="1">
      <w:startOverride w:val="1"/>
    </w:lvlOverride>
    <w:lvlOverride w:ilvl="2">
      <w:startOverride w:val="1"/>
    </w:lvlOverride>
  </w:num>
  <w:num w:numId="29">
    <w:abstractNumId w:val="9"/>
    <w:lvlOverride w:ilvl="0">
      <w:startOverride w:val="1"/>
    </w:lvlOverride>
    <w:lvlOverride w:ilvl="1">
      <w:startOverride w:val="1"/>
    </w:lvlOverride>
    <w:lvlOverride w:ilvl="2">
      <w:startOverride w:val="1"/>
    </w:lvlOverride>
  </w:num>
  <w:num w:numId="30">
    <w:abstractNumId w:val="9"/>
    <w:lvlOverride w:ilvl="0">
      <w:startOverride w:val="1"/>
    </w:lvlOverride>
    <w:lvlOverride w:ilvl="1">
      <w:startOverride w:val="1"/>
    </w:lvlOverride>
    <w:lvlOverride w:ilvl="2">
      <w:startOverride w:val="1"/>
    </w:lvlOverride>
  </w:num>
  <w:num w:numId="31">
    <w:abstractNumId w:val="9"/>
    <w:lvlOverride w:ilvl="0">
      <w:startOverride w:val="1"/>
    </w:lvlOverride>
    <w:lvlOverride w:ilvl="1">
      <w:startOverride w:val="1"/>
    </w:lvlOverride>
    <w:lvlOverride w:ilvl="2">
      <w:startOverride w:val="1"/>
    </w:lvlOverride>
  </w:num>
  <w:num w:numId="32">
    <w:abstractNumId w:val="9"/>
    <w:lvlOverride w:ilvl="0">
      <w:startOverride w:val="1"/>
    </w:lvlOverride>
    <w:lvlOverride w:ilvl="1">
      <w:startOverride w:val="1"/>
    </w:lvlOverride>
    <w:lvlOverride w:ilvl="2">
      <w:startOverride w:val="1"/>
    </w:lvlOverride>
  </w:num>
  <w:num w:numId="33">
    <w:abstractNumId w:val="10"/>
    <w:lvlOverride w:ilvl="0">
      <w:startOverride w:val="1"/>
    </w:lvlOverride>
    <w:lvlOverride w:ilvl="1">
      <w:startOverride w:val="1"/>
    </w:lvlOverride>
    <w:lvlOverride w:ilvl="2">
      <w:startOverride w:val="1"/>
    </w:lvlOverride>
  </w:num>
  <w:num w:numId="34">
    <w:abstractNumId w:val="9"/>
    <w:lvlOverride w:ilvl="0">
      <w:startOverride w:val="1"/>
    </w:lvlOverride>
    <w:lvlOverride w:ilvl="1">
      <w:startOverride w:val="1"/>
    </w:lvlOverride>
    <w:lvlOverride w:ilvl="2">
      <w:startOverride w:val="1"/>
    </w:lvlOverride>
  </w:num>
  <w:num w:numId="35">
    <w:abstractNumId w:val="9"/>
    <w:lvlOverride w:ilvl="0">
      <w:startOverride w:val="1"/>
    </w:lvlOverride>
    <w:lvlOverride w:ilvl="1">
      <w:startOverride w:val="1"/>
    </w:lvlOverride>
    <w:lvlOverride w:ilvl="2">
      <w:startOverride w:val="1"/>
    </w:lvlOverride>
  </w:num>
  <w:num w:numId="36">
    <w:abstractNumId w:val="10"/>
    <w:lvlOverride w:ilvl="0">
      <w:startOverride w:val="1"/>
    </w:lvlOverride>
    <w:lvlOverride w:ilvl="1">
      <w:startOverride w:val="1"/>
    </w:lvlOverride>
    <w:lvlOverride w:ilvl="2">
      <w:startOverride w:val="1"/>
    </w:lvlOverride>
  </w:num>
  <w:num w:numId="37">
    <w:abstractNumId w:val="10"/>
    <w:lvlOverride w:ilvl="0">
      <w:startOverride w:val="1"/>
    </w:lvlOverride>
    <w:lvlOverride w:ilvl="1">
      <w:startOverride w:val="1"/>
    </w:lvlOverride>
    <w:lvlOverride w:ilvl="2">
      <w:startOverride w:val="1"/>
    </w:lvlOverride>
  </w:num>
  <w:num w:numId="38">
    <w:abstractNumId w:val="9"/>
    <w:lvlOverride w:ilvl="0">
      <w:startOverride w:val="1"/>
    </w:lvlOverride>
    <w:lvlOverride w:ilvl="1">
      <w:startOverride w:val="1"/>
    </w:lvlOverride>
    <w:lvlOverride w:ilvl="2">
      <w:startOverride w:val="1"/>
    </w:lvlOverride>
  </w:num>
  <w:num w:numId="39">
    <w:abstractNumId w:val="9"/>
    <w:lvlOverride w:ilvl="0">
      <w:startOverride w:val="1"/>
    </w:lvlOverride>
    <w:lvlOverride w:ilvl="1">
      <w:startOverride w:val="1"/>
    </w:lvlOverride>
    <w:lvlOverride w:ilvl="2">
      <w:startOverride w:val="1"/>
    </w:lvlOverride>
  </w:num>
  <w:num w:numId="40">
    <w:abstractNumId w:val="9"/>
    <w:lvlOverride w:ilvl="0">
      <w:startOverride w:val="1"/>
    </w:lvlOverride>
    <w:lvlOverride w:ilvl="1">
      <w:startOverride w:val="1"/>
    </w:lvlOverride>
    <w:lvlOverride w:ilvl="2">
      <w:startOverride w:val="1"/>
    </w:lvlOverride>
  </w:num>
  <w:num w:numId="41">
    <w:abstractNumId w:val="9"/>
    <w:lvlOverride w:ilvl="0">
      <w:startOverride w:val="1"/>
    </w:lvlOverride>
    <w:lvlOverride w:ilvl="1">
      <w:startOverride w:val="1"/>
    </w:lvlOverride>
    <w:lvlOverride w:ilvl="2">
      <w:startOverride w:val="1"/>
    </w:lvlOverride>
  </w:num>
  <w:num w:numId="42">
    <w:abstractNumId w:val="9"/>
    <w:lvlOverride w:ilvl="0">
      <w:startOverride w:val="1"/>
    </w:lvlOverride>
    <w:lvlOverride w:ilvl="1">
      <w:startOverride w:val="1"/>
    </w:lvlOverride>
    <w:lvlOverride w:ilvl="2">
      <w:startOverride w:val="1"/>
    </w:lvlOverride>
  </w:num>
  <w:num w:numId="43">
    <w:abstractNumId w:val="10"/>
    <w:lvlOverride w:ilvl="0">
      <w:startOverride w:val="1"/>
    </w:lvlOverride>
    <w:lvlOverride w:ilvl="1">
      <w:startOverride w:val="1"/>
    </w:lvlOverride>
    <w:lvlOverride w:ilvl="2">
      <w:startOverride w:val="1"/>
    </w:lvlOverride>
  </w:num>
  <w:num w:numId="44">
    <w:abstractNumId w:val="9"/>
    <w:lvlOverride w:ilvl="0">
      <w:startOverride w:val="1"/>
    </w:lvlOverride>
    <w:lvlOverride w:ilvl="1">
      <w:startOverride w:val="1"/>
    </w:lvlOverride>
    <w:lvlOverride w:ilvl="2">
      <w:startOverride w:val="1"/>
    </w:lvlOverride>
  </w:num>
  <w:num w:numId="45">
    <w:abstractNumId w:val="9"/>
    <w:lvlOverride w:ilvl="0">
      <w:startOverride w:val="1"/>
    </w:lvlOverride>
    <w:lvlOverride w:ilvl="1">
      <w:startOverride w:val="1"/>
    </w:lvlOverride>
    <w:lvlOverride w:ilvl="2">
      <w:startOverride w:val="1"/>
    </w:lvlOverride>
  </w:num>
  <w:num w:numId="46">
    <w:abstractNumId w:val="10"/>
    <w:lvlOverride w:ilvl="0">
      <w:startOverride w:val="1"/>
    </w:lvlOverride>
    <w:lvlOverride w:ilvl="1">
      <w:startOverride w:val="1"/>
    </w:lvlOverride>
    <w:lvlOverride w:ilvl="2">
      <w:startOverride w:val="1"/>
    </w:lvlOverride>
  </w:num>
  <w:num w:numId="47">
    <w:abstractNumId w:val="9"/>
    <w:lvlOverride w:ilvl="0">
      <w:startOverride w:val="1"/>
    </w:lvlOverride>
    <w:lvlOverride w:ilvl="1">
      <w:startOverride w:val="1"/>
    </w:lvlOverride>
    <w:lvlOverride w:ilvl="2">
      <w:startOverride w:val="1"/>
    </w:lvlOverride>
  </w:num>
  <w:num w:numId="48">
    <w:abstractNumId w:val="10"/>
    <w:lvlOverride w:ilvl="0">
      <w:startOverride w:val="1"/>
    </w:lvlOverride>
    <w:lvlOverride w:ilvl="1">
      <w:startOverride w:val="1"/>
    </w:lvlOverride>
    <w:lvlOverride w:ilvl="2">
      <w:startOverride w:val="1"/>
    </w:lvlOverride>
  </w:num>
  <w:num w:numId="49">
    <w:abstractNumId w:val="9"/>
    <w:lvlOverride w:ilvl="0">
      <w:startOverride w:val="1"/>
    </w:lvlOverride>
    <w:lvlOverride w:ilvl="1">
      <w:startOverride w:val="1"/>
    </w:lvlOverride>
    <w:lvlOverride w:ilvl="2">
      <w:startOverride w:val="1"/>
    </w:lvlOverride>
  </w:num>
  <w:num w:numId="50">
    <w:abstractNumId w:val="9"/>
    <w:lvlOverride w:ilvl="0">
      <w:startOverride w:val="1"/>
    </w:lvlOverride>
    <w:lvlOverride w:ilvl="1">
      <w:startOverride w:val="1"/>
    </w:lvlOverride>
    <w:lvlOverride w:ilvl="2">
      <w:startOverride w:val="1"/>
    </w:lvlOverride>
  </w:num>
  <w:num w:numId="51">
    <w:abstractNumId w:val="9"/>
    <w:lvlOverride w:ilvl="0">
      <w:startOverride w:val="1"/>
    </w:lvlOverride>
    <w:lvlOverride w:ilvl="1">
      <w:startOverride w:val="1"/>
    </w:lvlOverride>
    <w:lvlOverride w:ilvl="2">
      <w:startOverride w:val="1"/>
    </w:lvlOverride>
  </w:num>
  <w:num w:numId="52">
    <w:abstractNumId w:val="10"/>
    <w:lvlOverride w:ilvl="0">
      <w:startOverride w:val="1"/>
    </w:lvlOverride>
    <w:lvlOverride w:ilvl="1">
      <w:startOverride w:val="1"/>
    </w:lvlOverride>
    <w:lvlOverride w:ilvl="2">
      <w:startOverride w:val="1"/>
    </w:lvlOverride>
  </w:num>
  <w:num w:numId="53">
    <w:abstractNumId w:val="10"/>
    <w:lvlOverride w:ilvl="0">
      <w:startOverride w:val="1"/>
    </w:lvlOverride>
    <w:lvlOverride w:ilvl="1">
      <w:startOverride w:val="1"/>
    </w:lvlOverride>
    <w:lvlOverride w:ilvl="2">
      <w:startOverride w:val="1"/>
    </w:lvlOverride>
  </w:num>
  <w:num w:numId="54">
    <w:abstractNumId w:val="10"/>
    <w:lvlOverride w:ilvl="0">
      <w:startOverride w:val="1"/>
    </w:lvlOverride>
    <w:lvlOverride w:ilvl="1">
      <w:startOverride w:val="1"/>
    </w:lvlOverride>
    <w:lvlOverride w:ilvl="2">
      <w:startOverride w:val="1"/>
    </w:lvlOverride>
  </w:num>
  <w:num w:numId="55">
    <w:abstractNumId w:val="9"/>
    <w:lvlOverride w:ilvl="0">
      <w:startOverride w:val="1"/>
    </w:lvlOverride>
    <w:lvlOverride w:ilvl="1">
      <w:startOverride w:val="1"/>
    </w:lvlOverride>
    <w:lvlOverride w:ilvl="2">
      <w:startOverride w:val="1"/>
    </w:lvlOverride>
  </w:num>
  <w:num w:numId="56">
    <w:abstractNumId w:val="9"/>
    <w:lvlOverride w:ilvl="0">
      <w:startOverride w:val="1"/>
    </w:lvlOverride>
    <w:lvlOverride w:ilvl="1">
      <w:startOverride w:val="1"/>
    </w:lvlOverride>
    <w:lvlOverride w:ilvl="2">
      <w:startOverride w:val="1"/>
    </w:lvlOverride>
  </w:num>
  <w:num w:numId="57">
    <w:abstractNumId w:val="9"/>
    <w:lvlOverride w:ilvl="0">
      <w:startOverride w:val="1"/>
    </w:lvlOverride>
    <w:lvlOverride w:ilvl="1">
      <w:startOverride w:val="1"/>
    </w:lvlOverride>
    <w:lvlOverride w:ilvl="2">
      <w:startOverride w:val="1"/>
    </w:lvlOverride>
  </w:num>
  <w:num w:numId="58">
    <w:abstractNumId w:val="10"/>
    <w:lvlOverride w:ilvl="0">
      <w:startOverride w:val="1"/>
    </w:lvlOverride>
    <w:lvlOverride w:ilvl="1">
      <w:startOverride w:val="1"/>
    </w:lvlOverride>
    <w:lvlOverride w:ilvl="2">
      <w:startOverride w:val="1"/>
    </w:lvlOverride>
  </w:num>
  <w:num w:numId="59">
    <w:abstractNumId w:val="9"/>
    <w:lvlOverride w:ilvl="0">
      <w:startOverride w:val="1"/>
    </w:lvlOverride>
    <w:lvlOverride w:ilvl="1">
      <w:startOverride w:val="1"/>
    </w:lvlOverride>
    <w:lvlOverride w:ilvl="2">
      <w:startOverride w:val="1"/>
    </w:lvlOverride>
  </w:num>
  <w:num w:numId="60">
    <w:abstractNumId w:val="9"/>
    <w:lvlOverride w:ilvl="0">
      <w:startOverride w:val="1"/>
    </w:lvlOverride>
    <w:lvlOverride w:ilvl="1">
      <w:startOverride w:val="1"/>
    </w:lvlOverride>
    <w:lvlOverride w:ilvl="2">
      <w:startOverride w:val="1"/>
    </w:lvlOverride>
  </w:num>
  <w:num w:numId="61">
    <w:abstractNumId w:val="9"/>
    <w:lvlOverride w:ilvl="0">
      <w:startOverride w:val="1"/>
    </w:lvlOverride>
    <w:lvlOverride w:ilvl="1">
      <w:startOverride w:val="1"/>
    </w:lvlOverride>
    <w:lvlOverride w:ilvl="2">
      <w:startOverride w:val="1"/>
    </w:lvlOverride>
  </w:num>
  <w:num w:numId="62">
    <w:abstractNumId w:val="9"/>
    <w:lvlOverride w:ilvl="0">
      <w:startOverride w:val="1"/>
    </w:lvlOverride>
    <w:lvlOverride w:ilvl="1">
      <w:startOverride w:val="1"/>
    </w:lvlOverride>
    <w:lvlOverride w:ilvl="2">
      <w:startOverride w:val="1"/>
    </w:lvlOverride>
  </w:num>
  <w:num w:numId="63">
    <w:abstractNumId w:val="10"/>
    <w:lvlOverride w:ilvl="0">
      <w:startOverride w:val="1"/>
    </w:lvlOverride>
    <w:lvlOverride w:ilvl="1">
      <w:startOverride w:val="1"/>
    </w:lvlOverride>
    <w:lvlOverride w:ilvl="2">
      <w:startOverride w:val="1"/>
    </w:lvlOverride>
  </w:num>
  <w:num w:numId="64">
    <w:abstractNumId w:val="9"/>
    <w:lvlOverride w:ilvl="0">
      <w:startOverride w:val="1"/>
    </w:lvlOverride>
    <w:lvlOverride w:ilvl="1">
      <w:startOverride w:val="1"/>
    </w:lvlOverride>
    <w:lvlOverride w:ilvl="2">
      <w:startOverride w:val="1"/>
    </w:lvlOverride>
  </w:num>
  <w:num w:numId="65">
    <w:abstractNumId w:val="9"/>
    <w:lvlOverride w:ilvl="0">
      <w:startOverride w:val="1"/>
    </w:lvlOverride>
    <w:lvlOverride w:ilvl="1">
      <w:startOverride w:val="1"/>
    </w:lvlOverride>
    <w:lvlOverride w:ilvl="2">
      <w:startOverride w:val="1"/>
    </w:lvlOverride>
  </w:num>
  <w:num w:numId="66">
    <w:abstractNumId w:val="9"/>
    <w:lvlOverride w:ilvl="0">
      <w:startOverride w:val="1"/>
    </w:lvlOverride>
    <w:lvlOverride w:ilvl="1">
      <w:startOverride w:val="1"/>
    </w:lvlOverride>
    <w:lvlOverride w:ilvl="2">
      <w:startOverride w:val="1"/>
    </w:lvlOverride>
  </w:num>
  <w:num w:numId="67">
    <w:abstractNumId w:val="9"/>
    <w:lvlOverride w:ilvl="0">
      <w:startOverride w:val="1"/>
    </w:lvlOverride>
    <w:lvlOverride w:ilvl="1">
      <w:startOverride w:val="1"/>
    </w:lvlOverride>
    <w:lvlOverride w:ilvl="2">
      <w:startOverride w:val="1"/>
    </w:lvlOverride>
  </w:num>
  <w:num w:numId="68">
    <w:abstractNumId w:val="10"/>
    <w:lvlOverride w:ilvl="0">
      <w:startOverride w:val="1"/>
    </w:lvlOverride>
    <w:lvlOverride w:ilvl="1">
      <w:startOverride w:val="1"/>
    </w:lvlOverride>
    <w:lvlOverride w:ilvl="2">
      <w:startOverride w:val="1"/>
    </w:lvlOverride>
  </w:num>
  <w:num w:numId="69">
    <w:abstractNumId w:val="10"/>
    <w:lvlOverride w:ilvl="0">
      <w:startOverride w:val="1"/>
    </w:lvlOverride>
    <w:lvlOverride w:ilvl="1">
      <w:startOverride w:val="1"/>
    </w:lvlOverride>
    <w:lvlOverride w:ilvl="2">
      <w:startOverride w:val="1"/>
    </w:lvlOverride>
  </w:num>
  <w:num w:numId="70">
    <w:abstractNumId w:val="10"/>
    <w:lvlOverride w:ilvl="0">
      <w:startOverride w:val="1"/>
    </w:lvlOverride>
    <w:lvlOverride w:ilvl="1">
      <w:startOverride w:val="1"/>
    </w:lvlOverride>
    <w:lvlOverride w:ilvl="2">
      <w:startOverride w:val="1"/>
    </w:lvlOverride>
  </w:num>
  <w:num w:numId="71">
    <w:abstractNumId w:val="10"/>
    <w:lvlOverride w:ilvl="0">
      <w:startOverride w:val="1"/>
    </w:lvlOverride>
    <w:lvlOverride w:ilvl="1">
      <w:startOverride w:val="1"/>
    </w:lvlOverride>
    <w:lvlOverride w:ilvl="2">
      <w:startOverride w:val="1"/>
    </w:lvlOverride>
  </w:num>
  <w:num w:numId="72">
    <w:abstractNumId w:val="10"/>
    <w:lvlOverride w:ilvl="0">
      <w:startOverride w:val="1"/>
    </w:lvlOverride>
    <w:lvlOverride w:ilvl="1">
      <w:startOverride w:val="1"/>
    </w:lvlOverride>
    <w:lvlOverride w:ilvl="2">
      <w:startOverride w:val="1"/>
    </w:lvlOverride>
  </w:num>
  <w:num w:numId="73">
    <w:abstractNumId w:val="10"/>
    <w:lvlOverride w:ilvl="0">
      <w:startOverride w:val="1"/>
    </w:lvlOverride>
    <w:lvlOverride w:ilvl="1">
      <w:startOverride w:val="1"/>
    </w:lvlOverride>
    <w:lvlOverride w:ilvl="2">
      <w:startOverride w:val="1"/>
    </w:lvlOverride>
  </w:num>
  <w:num w:numId="74">
    <w:abstractNumId w:val="9"/>
    <w:lvlOverride w:ilvl="0">
      <w:startOverride w:val="1"/>
    </w:lvlOverride>
    <w:lvlOverride w:ilvl="1">
      <w:startOverride w:val="1"/>
    </w:lvlOverride>
    <w:lvlOverride w:ilvl="2">
      <w:startOverride w:val="1"/>
    </w:lvlOverride>
  </w:num>
  <w:num w:numId="75">
    <w:abstractNumId w:val="10"/>
    <w:lvlOverride w:ilvl="0">
      <w:startOverride w:val="1"/>
    </w:lvlOverride>
    <w:lvlOverride w:ilvl="1">
      <w:startOverride w:val="1"/>
    </w:lvlOverride>
    <w:lvlOverride w:ilvl="2">
      <w:startOverride w:val="1"/>
    </w:lvlOverride>
  </w:num>
  <w:num w:numId="76">
    <w:abstractNumId w:val="10"/>
    <w:lvlOverride w:ilvl="0">
      <w:startOverride w:val="1"/>
    </w:lvlOverride>
    <w:lvlOverride w:ilvl="1">
      <w:startOverride w:val="1"/>
    </w:lvlOverride>
    <w:lvlOverride w:ilvl="2">
      <w:startOverride w:val="1"/>
    </w:lvlOverride>
  </w:num>
  <w:num w:numId="77">
    <w:abstractNumId w:val="9"/>
    <w:lvlOverride w:ilvl="0">
      <w:startOverride w:val="1"/>
    </w:lvlOverride>
    <w:lvlOverride w:ilvl="1">
      <w:startOverride w:val="1"/>
    </w:lvlOverride>
    <w:lvlOverride w:ilvl="2">
      <w:startOverride w:val="1"/>
    </w:lvlOverride>
  </w:num>
  <w:num w:numId="78">
    <w:abstractNumId w:val="9"/>
    <w:lvlOverride w:ilvl="0">
      <w:startOverride w:val="1"/>
    </w:lvlOverride>
    <w:lvlOverride w:ilvl="1">
      <w:startOverride w:val="1"/>
    </w:lvlOverride>
    <w:lvlOverride w:ilvl="2">
      <w:startOverride w:val="1"/>
    </w:lvlOverride>
  </w:num>
  <w:num w:numId="79">
    <w:abstractNumId w:val="9"/>
    <w:lvlOverride w:ilvl="0">
      <w:startOverride w:val="1"/>
    </w:lvlOverride>
    <w:lvlOverride w:ilvl="1">
      <w:startOverride w:val="1"/>
    </w:lvlOverride>
    <w:lvlOverride w:ilvl="2">
      <w:startOverride w:val="1"/>
    </w:lvlOverride>
  </w:num>
  <w:num w:numId="80">
    <w:abstractNumId w:val="10"/>
    <w:lvlOverride w:ilvl="0">
      <w:startOverride w:val="1"/>
    </w:lvlOverride>
    <w:lvlOverride w:ilvl="1">
      <w:startOverride w:val="1"/>
    </w:lvlOverride>
    <w:lvlOverride w:ilvl="2">
      <w:startOverride w:val="1"/>
    </w:lvlOverride>
  </w:num>
  <w:num w:numId="81">
    <w:abstractNumId w:val="9"/>
    <w:lvlOverride w:ilvl="0">
      <w:startOverride w:val="1"/>
    </w:lvlOverride>
    <w:lvlOverride w:ilvl="1">
      <w:startOverride w:val="1"/>
    </w:lvlOverride>
    <w:lvlOverride w:ilvl="2">
      <w:startOverride w:val="1"/>
    </w:lvlOverride>
  </w:num>
  <w:num w:numId="82">
    <w:abstractNumId w:val="10"/>
    <w:lvlOverride w:ilvl="0">
      <w:startOverride w:val="1"/>
    </w:lvlOverride>
    <w:lvlOverride w:ilvl="1">
      <w:startOverride w:val="1"/>
    </w:lvlOverride>
    <w:lvlOverride w:ilvl="2">
      <w:startOverride w:val="1"/>
    </w:lvlOverride>
  </w:num>
  <w:num w:numId="83">
    <w:abstractNumId w:val="9"/>
    <w:lvlOverride w:ilvl="0">
      <w:startOverride w:val="1"/>
    </w:lvlOverride>
    <w:lvlOverride w:ilvl="1">
      <w:startOverride w:val="1"/>
    </w:lvlOverride>
    <w:lvlOverride w:ilvl="2">
      <w:startOverride w:val="1"/>
    </w:lvlOverride>
  </w:num>
  <w:num w:numId="84">
    <w:abstractNumId w:val="9"/>
    <w:lvlOverride w:ilvl="0">
      <w:startOverride w:val="1"/>
    </w:lvlOverride>
    <w:lvlOverride w:ilvl="1">
      <w:startOverride w:val="1"/>
    </w:lvlOverride>
    <w:lvlOverride w:ilvl="2">
      <w:startOverride w:val="1"/>
    </w:lvlOverride>
  </w:num>
  <w:num w:numId="85">
    <w:abstractNumId w:val="9"/>
    <w:lvlOverride w:ilvl="0">
      <w:startOverride w:val="1"/>
    </w:lvlOverride>
    <w:lvlOverride w:ilvl="1">
      <w:startOverride w:val="1"/>
    </w:lvlOverride>
    <w:lvlOverride w:ilvl="2">
      <w:startOverride w:val="1"/>
    </w:lvlOverride>
  </w:num>
  <w:num w:numId="86">
    <w:abstractNumId w:val="10"/>
    <w:lvlOverride w:ilvl="0">
      <w:startOverride w:val="1"/>
    </w:lvlOverride>
    <w:lvlOverride w:ilvl="1">
      <w:startOverride w:val="1"/>
    </w:lvlOverride>
    <w:lvlOverride w:ilvl="2">
      <w:startOverride w:val="1"/>
    </w:lvlOverride>
  </w:num>
  <w:num w:numId="87">
    <w:abstractNumId w:val="9"/>
    <w:lvlOverride w:ilvl="0">
      <w:startOverride w:val="1"/>
    </w:lvlOverride>
    <w:lvlOverride w:ilvl="1">
      <w:startOverride w:val="1"/>
    </w:lvlOverride>
    <w:lvlOverride w:ilvl="2">
      <w:startOverride w:val="1"/>
    </w:lvlOverride>
  </w:num>
  <w:num w:numId="88">
    <w:abstractNumId w:val="9"/>
    <w:lvlOverride w:ilvl="0">
      <w:startOverride w:val="1"/>
    </w:lvlOverride>
    <w:lvlOverride w:ilvl="1">
      <w:startOverride w:val="1"/>
    </w:lvlOverride>
    <w:lvlOverride w:ilvl="2">
      <w:startOverride w:val="1"/>
    </w:lvlOverride>
  </w:num>
  <w:num w:numId="89">
    <w:abstractNumId w:val="9"/>
    <w:lvlOverride w:ilvl="0">
      <w:startOverride w:val="1"/>
    </w:lvlOverride>
    <w:lvlOverride w:ilvl="1">
      <w:startOverride w:val="1"/>
    </w:lvlOverride>
    <w:lvlOverride w:ilvl="2">
      <w:startOverride w:val="1"/>
    </w:lvlOverride>
  </w:num>
  <w:num w:numId="90">
    <w:abstractNumId w:val="9"/>
    <w:lvlOverride w:ilvl="0">
      <w:startOverride w:val="1"/>
    </w:lvlOverride>
    <w:lvlOverride w:ilvl="1">
      <w:startOverride w:val="1"/>
    </w:lvlOverride>
    <w:lvlOverride w:ilvl="2">
      <w:startOverride w:val="1"/>
    </w:lvlOverride>
  </w:num>
  <w:num w:numId="91">
    <w:abstractNumId w:val="9"/>
    <w:lvlOverride w:ilvl="0">
      <w:startOverride w:val="1"/>
    </w:lvlOverride>
    <w:lvlOverride w:ilvl="1">
      <w:startOverride w:val="1"/>
    </w:lvlOverride>
    <w:lvlOverride w:ilvl="2">
      <w:startOverride w:val="1"/>
    </w:lvlOverride>
  </w:num>
  <w:num w:numId="92">
    <w:abstractNumId w:val="9"/>
    <w:lvlOverride w:ilvl="0">
      <w:startOverride w:val="1"/>
    </w:lvlOverride>
    <w:lvlOverride w:ilvl="1">
      <w:startOverride w:val="1"/>
    </w:lvlOverride>
    <w:lvlOverride w:ilvl="2">
      <w:startOverride w:val="1"/>
    </w:lvlOverride>
  </w:num>
  <w:num w:numId="93">
    <w:abstractNumId w:val="9"/>
    <w:lvlOverride w:ilvl="0">
      <w:startOverride w:val="1"/>
    </w:lvlOverride>
    <w:lvlOverride w:ilvl="1">
      <w:startOverride w:val="1"/>
    </w:lvlOverride>
    <w:lvlOverride w:ilvl="2">
      <w:startOverride w:val="1"/>
    </w:lvlOverride>
  </w:num>
  <w:num w:numId="94">
    <w:abstractNumId w:val="9"/>
    <w:lvlOverride w:ilvl="0">
      <w:startOverride w:val="1"/>
    </w:lvlOverride>
    <w:lvlOverride w:ilvl="1">
      <w:startOverride w:val="1"/>
    </w:lvlOverride>
    <w:lvlOverride w:ilvl="2">
      <w:startOverride w:val="1"/>
    </w:lvlOverride>
  </w:num>
  <w:num w:numId="95">
    <w:abstractNumId w:val="9"/>
    <w:lvlOverride w:ilvl="0">
      <w:startOverride w:val="1"/>
    </w:lvlOverride>
    <w:lvlOverride w:ilvl="1">
      <w:startOverride w:val="1"/>
    </w:lvlOverride>
    <w:lvlOverride w:ilvl="2">
      <w:startOverride w:val="1"/>
    </w:lvlOverride>
  </w:num>
  <w:num w:numId="96">
    <w:abstractNumId w:val="9"/>
    <w:lvlOverride w:ilvl="0">
      <w:startOverride w:val="1"/>
    </w:lvlOverride>
    <w:lvlOverride w:ilvl="1">
      <w:startOverride w:val="1"/>
    </w:lvlOverride>
    <w:lvlOverride w:ilvl="2">
      <w:startOverride w:val="1"/>
    </w:lvlOverride>
  </w:num>
  <w:num w:numId="97">
    <w:abstractNumId w:val="10"/>
    <w:lvlOverride w:ilvl="0">
      <w:startOverride w:val="1"/>
    </w:lvlOverride>
    <w:lvlOverride w:ilvl="1">
      <w:startOverride w:val="1"/>
    </w:lvlOverride>
    <w:lvlOverride w:ilvl="2">
      <w:startOverride w:val="1"/>
    </w:lvlOverride>
  </w:num>
  <w:num w:numId="98">
    <w:abstractNumId w:val="9"/>
    <w:lvlOverride w:ilvl="0">
      <w:startOverride w:val="1"/>
    </w:lvlOverride>
    <w:lvlOverride w:ilvl="1">
      <w:startOverride w:val="1"/>
    </w:lvlOverride>
    <w:lvlOverride w:ilvl="2">
      <w:startOverride w:val="1"/>
    </w:lvlOverride>
  </w:num>
  <w:num w:numId="99">
    <w:abstractNumId w:val="9"/>
    <w:lvlOverride w:ilvl="0">
      <w:startOverride w:val="1"/>
    </w:lvlOverride>
    <w:lvlOverride w:ilvl="1">
      <w:startOverride w:val="1"/>
    </w:lvlOverride>
    <w:lvlOverride w:ilvl="2">
      <w:startOverride w:val="1"/>
    </w:lvlOverride>
  </w:num>
  <w:num w:numId="100">
    <w:abstractNumId w:val="9"/>
    <w:lvlOverride w:ilvl="0">
      <w:startOverride w:val="1"/>
    </w:lvlOverride>
    <w:lvlOverride w:ilvl="1">
      <w:startOverride w:val="1"/>
    </w:lvlOverride>
    <w:lvlOverride w:ilvl="2">
      <w:startOverride w:val="1"/>
    </w:lvlOverride>
  </w:num>
  <w:num w:numId="101">
    <w:abstractNumId w:val="9"/>
    <w:lvlOverride w:ilvl="0">
      <w:startOverride w:val="1"/>
    </w:lvlOverride>
    <w:lvlOverride w:ilvl="1">
      <w:startOverride w:val="1"/>
    </w:lvlOverride>
    <w:lvlOverride w:ilvl="2">
      <w:startOverride w:val="1"/>
    </w:lvlOverride>
  </w:num>
  <w:num w:numId="102">
    <w:abstractNumId w:val="9"/>
    <w:lvlOverride w:ilvl="0">
      <w:startOverride w:val="1"/>
    </w:lvlOverride>
    <w:lvlOverride w:ilvl="1">
      <w:startOverride w:val="1"/>
    </w:lvlOverride>
    <w:lvlOverride w:ilvl="2">
      <w:startOverride w:val="1"/>
    </w:lvlOverride>
  </w:num>
  <w:num w:numId="103">
    <w:abstractNumId w:val="9"/>
    <w:lvlOverride w:ilvl="0">
      <w:startOverride w:val="1"/>
    </w:lvlOverride>
    <w:lvlOverride w:ilvl="1">
      <w:startOverride w:val="1"/>
    </w:lvlOverride>
    <w:lvlOverride w:ilvl="2">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Rule="auto" w:line="300"/>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Calibri" w:hAnsi="Calibri"/>
      <w:color w:val="5A6570"/>
      <w:sz w:val="17"/>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Calibri" w:hAnsi="Calibri"/>
      <w:color w:val="5A6570"/>
      <w:sz w:val="17"/>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4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4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b/>
      <w:color w:val="203748"/>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80" w:line="264" w:lineRule="auto"/>
    </w:pPr>
    <w:rPr>
      <w:rFonts w:asciiTheme="majorHAnsi" w:eastAsiaTheme="majorEastAsia" w:hAnsiTheme="majorHAnsi" w:cstheme="majorBidi" w:ascii="Calibri" w:hAnsi="Calibri"/>
      <w:i/>
      <w:iCs/>
      <w:color w:val="1F4D78"/>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python.org/downloads/" TargetMode="External"/><Relationship Id="rId12" Type="http://schemas.openxmlformats.org/officeDocument/2006/relationships/hyperlink" Target="https://www.metabolomicsworkbench.org/data/DRCCMetadata.php?Mode=Study&amp;StudyID=ST001521" TargetMode="External"/><Relationship Id="rId13" Type="http://schemas.openxmlformats.org/officeDocument/2006/relationships/hyperlink" Target="https://www.metabolomicsworkbench.org/rest/study/study_id/ST001521/summary" TargetMode="External"/><Relationship Id="rId14" Type="http://schemas.openxmlformats.org/officeDocument/2006/relationships/hyperlink" Target="https://www.metabolomicsworkbench.org/data/DRCCMetadata.php?Mode=Study&amp;StudyID=ST003348" TargetMode="External"/><Relationship Id="rId15" Type="http://schemas.openxmlformats.org/officeDocument/2006/relationships/hyperlink" Target="https://www.metabolomicsworkbench.org/rest/study/study_id/ST003348/summary" TargetMode="External"/><Relationship Id="rId16" Type="http://schemas.openxmlformats.org/officeDocument/2006/relationships/hyperlink" Target="https://www.metabolomicsworkbench.org/tools/mw_rest.php" TargetMode="External"/><Relationship Id="rId17" Type="http://schemas.openxmlformats.org/officeDocument/2006/relationships/hyperlink" Target="https://www.metabolomicsworkbench.org/data/tutorials.php" TargetMode="External"/><Relationship Id="rId18" Type="http://schemas.openxmlformats.org/officeDocument/2006/relationships/hyperlink" Target="https://academic.oup.com/nar/article/44/D1/D463/2502588" TargetMode="External"/><Relationship Id="rId19" Type="http://schemas.openxmlformats.org/officeDocument/2006/relationships/hyperlink" Target="https://doi.org/10.1038/s41592-020-01009-y" TargetMode="External"/><Relationship Id="rId20" Type="http://schemas.openxmlformats.org/officeDocument/2006/relationships/hyperlink" Target="https://motrpac-data.org/knowledge-center/project-overview/faq" TargetMode="External"/><Relationship Id="rId21" Type="http://schemas.openxmlformats.org/officeDocument/2006/relationships/hyperlink" Target="https://motrpac-data.org/knowledge-center/dissemination/data-access/data-hub" TargetMode="External"/><Relationship Id="rId22" Type="http://schemas.openxmlformats.org/officeDocument/2006/relationships/hyperlink" Target="https://commonfund.nih.gov/nutritionforprecisionhealth/frequently-asked-questions" TargetMode="External"/><Relationship Id="rId23" Type="http://schemas.openxmlformats.org/officeDocument/2006/relationships/hyperlink" Target="https://doi.org/10.1038/sdata.2016.18" TargetMode="External"/><Relationship Id="rId24" Type="http://schemas.openxmlformats.org/officeDocument/2006/relationships/hyperlink" Target="https://doi.org/10.1152/japplphysiol.00102.2024" TargetMode="External"/><Relationship Id="rId25" Type="http://schemas.openxmlformats.org/officeDocument/2006/relationships/hyperlink" Target="https://d1yw74buhe0ts0.cloudfront.net/docs/MoTrPAC_Adult_Study_Protocol.pdf" TargetMode="External"/><Relationship Id="rId26" Type="http://schemas.openxmlformats.org/officeDocument/2006/relationships/hyperlink" Target="https://commonfund.nih.gov/nutritionforprecisionhealth" TargetMode="External"/><Relationship Id="rId27" Type="http://schemas.openxmlformats.org/officeDocument/2006/relationships/hyperlink" Target="https://support.researchallofus.org/hc/en-us/articles/41981123613716-Researcher-Workbench" TargetMode="External"/><Relationship Id="rId28" Type="http://schemas.openxmlformats.org/officeDocument/2006/relationships/hyperlink" Target="https://www.metabolomicsworkbench.org/databases/refmet/index.php" TargetMode="External"/><Relationship Id="rId29" Type="http://schemas.openxmlformats.org/officeDocument/2006/relationships/hyperlink" Target="https://www.metabolomicsworkbench.org/databases/refmet/refmet_help.php" TargetMode="External"/><Relationship Id="rId30" Type="http://schemas.openxmlformats.org/officeDocument/2006/relationships/hyperlink" Target="https://doi.org/10.3390/metabo11030163" TargetMode="External"/><Relationship Id="rId31" Type="http://schemas.openxmlformats.org/officeDocument/2006/relationships/hyperlink" Target="https://doi.org/10.1007/s11306-007-0082-2" TargetMode="External"/><Relationship Id="rId32" Type="http://schemas.openxmlformats.org/officeDocument/2006/relationships/hyperlink" Target="https://www.metabolomicsworkbench.org/data/DRCCMetadata.php?StudyID=ST001521" TargetMode="External"/><Relationship Id="rId33" Type="http://schemas.openxmlformats.org/officeDocument/2006/relationships/hyperlink" Target="https://www.metabolomicsworkbench.org/data/DRCCMetadata.php?StudyID=ST003348" TargetMode="External"/><Relationship Id="rId34" Type="http://schemas.openxmlformats.org/officeDocument/2006/relationships/hyperlink" Target="https://doi.org/10.1098/rsta.2015.0202" TargetMode="External"/><Relationship Id="rId35" Type="http://schemas.openxmlformats.org/officeDocument/2006/relationships/hyperlink" Target="https://www.metabolomicsworkbench.org/data/MW-MetENP-demo.pdf" TargetMode="External"/><Relationship Id="rId36" Type="http://schemas.openxmlformats.org/officeDocument/2006/relationships/hyperlink" Target="https://motrpac-data.org/knowledge-center/dissemination/data-access/onboarding" TargetMode="External"/><Relationship Id="rId37" Type="http://schemas.openxmlformats.org/officeDocument/2006/relationships/hyperlink" Target="https://support.researchallofus.org/hc/en-us/articles/34814131370388-Policy-Questions" TargetMode="External"/><Relationship Id="rId38" Type="http://schemas.openxmlformats.org/officeDocument/2006/relationships/hyperlink" Target="https://www.allofus.nih.gov/protecting-data-and-privacy/research-projects-all-us-data/" TargetMode="External"/><Relationship Id="rId39" Type="http://schemas.openxmlformats.org/officeDocument/2006/relationships/image" Target="media/image1.png"/><Relationship Id="rId40" Type="http://schemas.openxmlformats.org/officeDocument/2006/relationships/image" Target="media/image2.png"/><Relationship Id="rId41" Type="http://schemas.openxmlformats.org/officeDocument/2006/relationships/hyperlink" Target="https://doi.org/10.21228/M8B984" TargetMode="External"/><Relationship Id="rId42" Type="http://schemas.openxmlformats.org/officeDocument/2006/relationships/hyperlink" Target="https://creativecommons.org/licenses/by/4.0/" TargetMode="External"/><Relationship Id="rId43" Type="http://schemas.openxmlformats.org/officeDocument/2006/relationships/hyperlink" Target="https://doi.org/10.21228/M8C802" TargetMode="External"/><Relationship Id="rId44" Type="http://schemas.openxmlformats.org/officeDocument/2006/relationships/hyperlink" Target="https://www.metabolomicsworkbench.org/rest/refmet/classification" TargetMode="External"/><Relationship Id="rId45" Type="http://schemas.openxmlformats.org/officeDocument/2006/relationships/hyperlink" Target="https://creativecommons.org/licenses/by/4.0/legalcod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Metabo-Diet Learner Guide</dc:title>
  <dc:subject>Five-lesson learner guide for phenotype-to-metabolome harmonization.</dc:subject>
  <dc:creator>Metabo-Diet Training Module</dc:creator>
  <cp:keywords>metabolomics, harmonization, diet, exercise, Metabolomics Workbench, CFDE</cp:keywords>
  <dc:description>Generated from version-controlled curriculum sources.</dc:description>
  <cp:lastModifiedBy/>
  <cp:revision>1</cp:revision>
  <dcterms:created xsi:type="dcterms:W3CDTF">2013-12-23T23:15:00Z</dcterms:created>
  <dcterms:modified xsi:type="dcterms:W3CDTF">2013-12-23T23:15:00Z</dcterms:modified>
  <cp:category/>
</cp:coreProperties>
</file>