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rHeight w:val="298.554687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04/03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05/03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1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