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e599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– DAILY SCRUM</w:t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"/>
        <w:gridCol w:w="9349"/>
        <w:tblGridChange w:id="0">
          <w:tblGrid>
            <w:gridCol w:w="279"/>
            <w:gridCol w:w="9349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ff0000"/>
                <w:sz w:val="14"/>
                <w:szCs w:val="14"/>
                <w:rtl w:val="0"/>
              </w:rPr>
              <w:t xml:space="preserve">O Daily Scrum é uma cerimônia essencial no framework Scrum, projetada para ser uma reunião rápida (geralmente não ultrapassando 15 minutos) onde a equipe de desenvolvimento sincroniza suas atividades e planeja o trabalho das próximas 24 horas. Um relatório referente ao Daily Scrum deve ser conciso, capturando os pontos essenciais discutidos durante a reunião.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09"/>
        <w:gridCol w:w="6419"/>
        <w:tblGridChange w:id="0">
          <w:tblGrid>
            <w:gridCol w:w="3209"/>
            <w:gridCol w:w="6419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Daily Scrum</w:t>
            </w:r>
          </w:p>
        </w:tc>
      </w:tr>
      <w:tr>
        <w:trPr>
          <w:cantSplit w:val="0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Nome do projeto: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ACTNOW - UMA COMUNIDADE VIRTUAL PARA ORGANIZAÇÃO DE PROJETOS SOCIAIS</w:t>
            </w:r>
          </w:p>
        </w:tc>
      </w:tr>
      <w:tr>
        <w:trPr>
          <w:cantSplit w:val="0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Objetivo da Sprint: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Desenvolver Funcionalidades de Cadastro de projetos e Voluntários da aplicação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Sprint backlog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Projetos Sociais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Cadastro de Voluntários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4"/>
        <w:gridCol w:w="3778"/>
        <w:gridCol w:w="1559"/>
        <w:gridCol w:w="2687"/>
        <w:tblGridChange w:id="0">
          <w:tblGrid>
            <w:gridCol w:w="1604"/>
            <w:gridCol w:w="3778"/>
            <w:gridCol w:w="1559"/>
            <w:gridCol w:w="2687"/>
          </w:tblGrid>
        </w:tblGridChange>
      </w:tblGrid>
      <w:tr>
        <w:trPr>
          <w:cantSplit w:val="0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20/02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18:15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Cristian 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Maria Tereza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George Anderson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José Diogo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harley Leite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Decisões Tomadas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Alterações no Backlog da Sprint</w:t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 gerais</w:t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Focamos em finalizar a proposta de projeto.</w:t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Próxima Reunião</w:t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21/02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18:15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Cristian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Proposta de projeto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Diagrama de caso de uso e levantamento de parte do requisito de sistema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highlight w:val="white"/>
                <w:rtl w:val="0"/>
              </w:rPr>
              <w:t xml:space="preserve">Levantar histórias de usuário / Decidir o objetivo da Sprint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a Serem Tomadas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Maria Tereza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Proposta de projeto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Formatação do Trabalho / Fundamentação Teórica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highlight w:val="white"/>
                <w:rtl w:val="0"/>
              </w:rPr>
              <w:t xml:space="preserve">Levantar histórias de usuário / Decidir o objetivo da Sprint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Instabilidade nos sistemas google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a Serem Tomadas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George Anderson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Proposta de projeto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Escreveu sobre a arquitetura da aplicação referente a camada de visão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CE">
            <w:pPr>
              <w:spacing w:after="0"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highlight w:val="white"/>
                <w:rtl w:val="0"/>
              </w:rPr>
              <w:t xml:space="preserve">Levantar histórias de usuário / Decidir o objetivo da Sprint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Instabilidade nos sistemas google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a Serem Tomadas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Harley Leite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Proposta de projeto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Recursos necessários / Citação das fontes das metodologias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04">
            <w:pPr>
              <w:spacing w:after="0"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highlight w:val="white"/>
                <w:rtl w:val="0"/>
              </w:rPr>
              <w:t xml:space="preserve">Levantar histórias de usuário / Decidir o objetivo da Sprint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Instabilidade nos sistemas google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a Serem Tomadas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José Diogo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Proposta de projeto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highlight w:val="white"/>
                <w:rtl w:val="0"/>
              </w:rPr>
              <w:t xml:space="preserve">Levantar histórias de usuário / Decidir o objetivo da Sprint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Instabilidade nos sistemas google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a Serem Tomadas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9"/>
      <w:tblW w:w="9918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424"/>
      <w:gridCol w:w="6268"/>
      <w:gridCol w:w="2226"/>
      <w:tblGridChange w:id="0">
        <w:tblGrid>
          <w:gridCol w:w="1424"/>
          <w:gridCol w:w="6268"/>
          <w:gridCol w:w="222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772577" cy="772577"/>
                <wp:effectExtent b="0" l="0" r="0" t="0"/>
                <wp:docPr descr="Calendário Acadêmico 2016 - IFAM-CMC by IFAM-CMC - Issuu" id="1" name="image1.jpg"/>
                <a:graphic>
                  <a:graphicData uri="http://schemas.openxmlformats.org/drawingml/2006/picture">
                    <pic:pic>
                      <pic:nvPicPr>
                        <pic:cNvPr descr="Calendário Acadêmico 2016 - IFAM-CMC by IFAM-CMC - Issuu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2577" cy="77257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Instituto Federal do Amazonas – IFAM</w:t>
          </w:r>
        </w:p>
        <w:p w:rsidR="00000000" w:rsidDel="00000000" w:rsidP="00000000" w:rsidRDefault="00000000" w:rsidRPr="00000000" w14:paraId="000001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Departamento Acadêmico de Informação e Comunicação – DAIC</w:t>
          </w:r>
        </w:p>
        <w:p w:rsidR="00000000" w:rsidDel="00000000" w:rsidP="00000000" w:rsidRDefault="00000000" w:rsidRPr="00000000" w14:paraId="000001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Coordenação do Curso Superior de Tecnologia em Desenvolvimento de Sistemas (TADS) </w:t>
          </w:r>
        </w:p>
        <w:p w:rsidR="00000000" w:rsidDel="00000000" w:rsidP="00000000" w:rsidRDefault="00000000" w:rsidRPr="00000000" w14:paraId="000001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Desenvolvimento de Aplicações Web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93600" cy="481754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3600" cy="48175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