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CAFÉ DA 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SABOR DA TERRA.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Nicho de Mercado: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Gastronomia e Alimentação.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Problema a Ser Resolvido: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Muitas lanchonetes, cafeterias, cafés regionais e revendedores de café enfrentam o desafio de encontrar fornecedores que ofereçam café de qualidade consistente, ao mesmo tempo em que desejam produtos locais e artesanais. Além disso, muitas vezes falta uma narrativa envolvente por trás do produto, tornando difícil para os estabelecimentos destacarem-se em um mercado competitivo.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Identificação do Público-Alvo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Público Alvo: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Lanchonetes e Cafeterias: Proprietários ou gerentes de estabelecimentos de alimentação rápida ou cafeterias, geralmente localizados em áreas urbanas ou centros comerciais.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Cafés regionais: Proprietários de pequenos cafés regionais, muitas vezes localizados em áreas turísticas ou comunidades locais.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Revendedores de café e Relacionados: Empreendedores que operam lojas de produtos gourmet, mercados especializados ou lojas online dedicadas a alimentos premium.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Características Gerais do Público-Alvo: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142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Preocupação com a qualidade e origem dos produtos.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142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Valorização de produtos artesanais e locais.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142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Ativos nas redes sociais para promover seus negócios e interagir com clientes.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1429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Dispostos a investir em produtos de alta qualidade para diferenciar seus estabelecimentos no mercado.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Estudante do curso Tecnologia Em Análise E Desenvolvimento De Sistema. E-mail: 2023003580@ifam.edu.br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1E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1F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BdW78ARG3gHl2t475zkvaWfYQ==">CgMxLjAyCGguZ2pkZ3hzOAByITFlYkQ1Wnh2Nlk1elh6QTR1VG5DMUJaVFBlTFBJN0FzQw==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2024-03-07T15:30:00Z</dcterms:created>
  <dc:creator>Paulo Henrique Maciel</dc:creator>
</cp:coreProperties>
</file>