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widowControl/>
      </w:pPr>
      <w:r>
        <w:rPr>
          <w:rFonts w:ascii="Aptos Display" w:hAnsi="Aptos Display" w:eastAsia="Microsoft YaHei"/>
          <w:b/>
          <w:color w:val="1F4E79"/>
          <w:sz w:val="44"/>
        </w:rPr>
        <w:t>患者条件 Chebyshev 矩输运校准与</w:t>
        <w:br/>
        <w:t>Krylov 安全反向增强</w:t>
      </w:r>
    </w:p>
    <w:p>
      <w:pPr>
        <w:spacing w:before="240"/>
        <w:jc w:val="center"/>
        <w:widowControl/>
      </w:pPr>
      <w:r>
        <w:rPr>
          <w:rFonts w:ascii="Aptos" w:hAnsi="Aptos" w:eastAsia="Microsoft YaHei"/>
          <w:i/>
          <w:color w:val="505050"/>
          <w:sz w:val="24"/>
        </w:rPr>
        <w:t>Patient-Conditioned Chebyshev-Moment Calibration</w:t>
        <w:br/>
        <w:t>with Krylov-Safe Antithetic Augmentation</w:t>
      </w:r>
    </w:p>
    <w:p>
      <w:pPr>
        <w:spacing w:before="360"/>
        <w:jc w:val="center"/>
        <w:widowControl/>
      </w:pPr>
      <w:r>
        <w:rPr>
          <w:rFonts w:ascii="Aptos" w:hAnsi="Aptos" w:eastAsia="Microsoft YaHei"/>
          <w:b/>
          <w:color w:val="2F5496"/>
          <w:sz w:val="26"/>
        </w:rPr>
        <w:t>建议简称：PC-CMKA-DDKAC</w:t>
      </w:r>
    </w:p>
    <w:p>
      <w:pPr>
        <w:spacing w:before="1200"/>
        <w:jc w:val="center"/>
        <w:widowControl/>
      </w:pPr>
      <w:r>
        <w:rPr>
          <w:rFonts w:ascii="Aptos" w:hAnsi="Aptos" w:eastAsia="Microsoft YaHei"/>
          <w:b/>
          <w:sz w:val="28"/>
        </w:rPr>
        <w:t>最终修改版研究 Idea 设计文档</w:t>
      </w:r>
    </w:p>
    <w:p>
      <w:pPr>
        <w:jc w:val="center"/>
        <w:widowControl/>
      </w:pPr>
      <w:r>
        <w:rPr>
          <w:rFonts w:ascii="Aptos" w:hAnsi="Aptos" w:eastAsia="Microsoft YaHei"/>
          <w:color w:val="5A5A5A"/>
          <w:sz w:val="22"/>
        </w:rPr>
        <w:t>面向患者级基因图建模、DD-KAC 编码与癌症生存预测</w:t>
      </w:r>
    </w:p>
    <w:p>
      <w:pPr>
        <w:spacing w:before="1300"/>
        <w:jc w:val="center"/>
        <w:widowControl/>
      </w:pPr>
      <w:r>
        <w:rPr>
          <w:rFonts w:ascii="Aptos" w:hAnsi="Aptos" w:eastAsia="Microsoft YaHei"/>
          <w:color w:val="6E6E6E"/>
          <w:sz w:val="20"/>
        </w:rPr>
        <w:t>版本：最终创新增强版</w:t>
      </w:r>
    </w:p>
    <w:p>
      <w:pPr>
        <w:widowControl/>
      </w:pPr>
      <w:r>
        <w:br w:type="page"/>
      </w:r>
    </w:p>
    <w:p>
      <w:pPr>
        <w:pStyle w:val="Heading1"/>
        <w:keepNext/>
        <w:widowControl/>
      </w:pPr>
      <w:r>
        <w:t>摘要</w:t>
      </w:r>
    </w:p>
    <w:p>
      <w:pPr>
        <w:spacing w:line="300" w:lineRule="auto" w:after="120"/>
        <w:ind w:firstLine="420"/>
        <w:jc w:val="both"/>
        <w:widowControl/>
      </w:pPr>
      <w:r>
        <w:rPr>
          <w:rFonts w:ascii="Aptos" w:hAnsi="Aptos" w:eastAsia="Microsoft YaHei"/>
          <w:i w:val="0"/>
          <w:sz w:val="21"/>
        </w:rPr>
        <w:t>本方案针对原始 15 项设计中与现有患者特异网络、边门控、谱稀疏化、图对比学习和分阶段训练高度重合的问题进行了系统重构。最终方案不再把“患者条件边权”“有效电阻采样”“VICReg 损失”或“三阶段训练”作为创新，而是将方法重心转移到三个新的数学对象：Chebyshev 矩逆校准、校准不确定性驱动的反向配对增强，以及图校准—频率路由切空间可辨识性。</w:t>
      </w:r>
    </w:p>
    <w:p>
      <w:pPr>
        <w:spacing w:line="300" w:lineRule="auto" w:after="120"/>
        <w:ind w:firstLine="420"/>
        <w:jc w:val="both"/>
        <w:widowControl/>
      </w:pPr>
      <w:r>
        <w:rPr>
          <w:rFonts w:ascii="Aptos" w:hAnsi="Aptos" w:eastAsia="Microsoft YaHei"/>
          <w:i w:val="0"/>
          <w:sz w:val="21"/>
        </w:rPr>
        <w:t>其核心思想是：模型不直接为每条先验边预测增减权重，而是先预测患者在功能组上的目标图扩散响应，再通过一个低维、可微的逆问题恢复患者图；随后利用该逆问题的局部 Hessian 提取未被患者证据充分确定的图形变方向，在 DD-KAC 实际访问的 Krylov 子空间中生成以基础患者图为中心的正负反向视图；最后通过切空间相关约束降低图参数与频率路由参数的相互补偿，并建立从图校准、增强扰动到生存风险的稳定性理论。</w:t>
      </w:r>
    </w:p>
    <w:tbl>
      <w:tblPr>
        <w:tblW w:type="auto" w:w="0"/>
        <w:jc w:val="center"/>
        <w:tblLayout w:type="autofit"/>
        <w:tblLook w:firstColumn="1" w:firstRow="1" w:lastColumn="0" w:lastRow="0" w:noHBand="0" w:noVBand="1" w:val="04A0"/>
      </w:tblPr>
      <w:tblGrid>
        <w:gridCol w:w="9859"/>
      </w:tblGrid>
      <w:tr>
        <w:trPr>
          <w:cantSplit/>
        </w:trPr>
        <w:tc>
          <w:tcPr>
            <w:tcW w:type="dxa" w:w="9859"/>
            <w:shd w:fill="EAF2F8"/>
            <w:tcMar>
              <w:top w:w="120" w:type="dxa"/>
              <w:start w:w="160" w:type="dxa"/>
              <w:bottom w:w="120" w:type="dxa"/>
              <w:end w:w="160" w:type="dxa"/>
            </w:tcMar>
            <w:tcBorders>
              <w:top w:val="single" w:sz="8" w:color="5B9BD5"/>
              <w:left w:val="single" w:sz="8" w:color="5B9BD5"/>
              <w:bottom w:val="single" w:sz="8" w:color="5B9BD5"/>
              <w:right w:val="single" w:sz="8" w:color="5B9BD5"/>
            </w:tcBorders>
          </w:tcPr>
          <w:p>
            <w:pPr>
              <w:spacing w:after="40"/>
            </w:pPr>
            <w:r>
              <w:rPr>
                <w:rFonts w:ascii="Aptos" w:hAnsi="Aptos" w:eastAsia="Microsoft YaHei"/>
                <w:b/>
                <w:color w:val="1F4E79"/>
                <w:sz w:val="21"/>
              </w:rPr>
              <w:t>最终主线</w:t>
            </w:r>
          </w:p>
          <w:p>
            <w:pPr>
              <w:spacing w:after="0" w:line="276" w:lineRule="auto"/>
            </w:pPr>
            <w:r>
              <w:rPr>
                <w:rFonts w:ascii="Aptos" w:hAnsi="Aptos" w:eastAsia="Microsoft YaHei"/>
                <w:sz w:val="20"/>
              </w:rPr>
              <w:t>患者组学 → 目标 Chebyshev 响应矩 → 患者图逆校准 → 校准不确定性 → Krylov 安全反向增强 → DD-KAC 编码 → 图—频率可辨识约束 → 生存风险预测。</w:t>
            </w:r>
          </w:p>
        </w:tc>
      </w:tr>
    </w:tbl>
    <w:p>
      <w:pPr>
        <w:spacing w:after="20"/>
        <w:widowControl/>
      </w:pPr>
    </w:p>
    <w:p>
      <w:pPr>
        <w:pStyle w:val="Heading1"/>
        <w:keepNext/>
        <w:widowControl/>
      </w:pPr>
      <w:r>
        <w:t>1. 研究目标与创新边界</w:t>
      </w:r>
    </w:p>
    <w:p>
      <w:pPr>
        <w:pStyle w:val="Heading2"/>
        <w:keepNext/>
        <w:widowControl/>
      </w:pPr>
      <w:r>
        <w:t>1.1 研究目标</w:t>
      </w:r>
    </w:p>
    <w:p>
      <w:pPr>
        <w:spacing w:line="300" w:lineRule="auto" w:after="120"/>
        <w:ind w:firstLine="420"/>
        <w:jc w:val="both"/>
        <w:widowControl/>
      </w:pPr>
      <w:r>
        <w:rPr>
          <w:rFonts w:ascii="Aptos" w:hAnsi="Aptos" w:eastAsia="Microsoft YaHei"/>
          <w:i w:val="0"/>
          <w:sz w:val="21"/>
        </w:rPr>
        <w:t>研究目标是在现有 Sheaf 超图/基因图建模与 DD-KAC 结构编码框架的基础上，提出一种面向患者级癌症生存预测的图结构学习模块。该模块既能利用 PPI、KEGG、Reactome、GO 或调控网络等生物先验，又能根据单个患者的组学信号进行结构适配，同时避免将患者图学习退化为普通边门控或简单图增强。</w:t>
      </w:r>
    </w:p>
    <w:p>
      <w:pPr>
        <w:pStyle w:val="ListBullet"/>
        <w:spacing w:after="60" w:line="276" w:lineRule="auto"/>
        <w:widowControl/>
      </w:pPr>
      <w:r>
        <w:rPr>
          <w:rFonts w:ascii="Aptos" w:hAnsi="Aptos" w:eastAsia="Microsoft YaHei"/>
          <w:sz w:val="21"/>
        </w:rPr>
        <w:t>任务对象：患者级基因表达、突变、拷贝数或多组学信号。</w:t>
      </w:r>
    </w:p>
    <w:p>
      <w:pPr>
        <w:pStyle w:val="ListBullet"/>
        <w:spacing w:after="60" w:line="276" w:lineRule="auto"/>
        <w:widowControl/>
      </w:pPr>
      <w:r>
        <w:rPr>
          <w:rFonts w:ascii="Aptos" w:hAnsi="Aptos" w:eastAsia="Microsoft YaHei"/>
          <w:sz w:val="21"/>
        </w:rPr>
        <w:t>图结构对象：固定生物先验支持集上的患者条件加权图。</w:t>
      </w:r>
    </w:p>
    <w:p>
      <w:pPr>
        <w:pStyle w:val="ListBullet"/>
        <w:spacing w:after="60" w:line="276" w:lineRule="auto"/>
        <w:widowControl/>
      </w:pPr>
      <w:r>
        <w:rPr>
          <w:rFonts w:ascii="Aptos" w:hAnsi="Aptos" w:eastAsia="Microsoft YaHei"/>
          <w:sz w:val="21"/>
        </w:rPr>
        <w:t>编码对象：DD-KAC 的 Chebyshev 多项式结构分支与患者频率路由。</w:t>
      </w:r>
    </w:p>
    <w:p>
      <w:pPr>
        <w:pStyle w:val="ListBullet"/>
        <w:spacing w:after="60" w:line="276" w:lineRule="auto"/>
        <w:widowControl/>
      </w:pPr>
      <w:r>
        <w:rPr>
          <w:rFonts w:ascii="Aptos" w:hAnsi="Aptos" w:eastAsia="Microsoft YaHei"/>
          <w:sz w:val="21"/>
        </w:rPr>
        <w:t>下游任务：癌症生存风险预测、跨癌种泛化和患者风险分层。</w:t>
      </w:r>
    </w:p>
    <w:p>
      <w:pPr>
        <w:pStyle w:val="Heading2"/>
        <w:keepNext/>
        <w:widowControl/>
      </w:pPr>
      <w:r>
        <w:t>1.2 不再作为创新声明的标准组件</w:t>
      </w:r>
    </w:p>
    <w:p>
      <w:pPr>
        <w:spacing w:line="300" w:lineRule="auto" w:after="120"/>
        <w:ind w:firstLine="420"/>
        <w:jc w:val="both"/>
        <w:widowControl/>
      </w:pPr>
      <w:r>
        <w:rPr>
          <w:rFonts w:ascii="Aptos" w:hAnsi="Aptos" w:eastAsia="Microsoft YaHei"/>
          <w:i w:val="0"/>
          <w:sz w:val="21"/>
        </w:rPr>
        <w:t>以下内容可以继续使用，但只能作为实现设定、理论工具或训练协议，不能独立写成创新点：</w:t>
      </w:r>
    </w:p>
    <w:p>
      <w:pPr>
        <w:pStyle w:val="ListBullet"/>
        <w:spacing w:after="60" w:line="276" w:lineRule="auto"/>
        <w:widowControl/>
      </w:pPr>
      <w:r>
        <w:rPr>
          <w:rFonts w:ascii="Aptos" w:hAnsi="Aptos" w:eastAsia="Microsoft YaHei"/>
          <w:sz w:val="21"/>
        </w:rPr>
        <w:t>在 PPI、KEGG、Reactome、GO 等固定生物先验候选边集合上运行图网络。</w:t>
      </w:r>
    </w:p>
    <w:p>
      <w:pPr>
        <w:pStyle w:val="ListBullet"/>
        <w:spacing w:after="60" w:line="276" w:lineRule="auto"/>
        <w:widowControl/>
      </w:pPr>
      <w:r>
        <w:rPr>
          <w:rFonts w:ascii="Aptos" w:hAnsi="Aptos" w:eastAsia="Microsoft YaHei"/>
          <w:sz w:val="21"/>
        </w:rPr>
        <w:t>固定拓扑上的患者条件边权调制或患者特异网络。</w:t>
      </w:r>
    </w:p>
    <w:p>
      <w:pPr>
        <w:pStyle w:val="ListBullet"/>
        <w:spacing w:after="60" w:line="276" w:lineRule="auto"/>
        <w:widowControl/>
      </w:pPr>
      <w:r>
        <w:rPr>
          <w:rFonts w:ascii="Aptos" w:hAnsi="Aptos" w:eastAsia="Microsoft YaHei"/>
          <w:sz w:val="21"/>
        </w:rPr>
        <w:t>Chebyshev 多项式缩放与所有患者共享谱上界。</w:t>
      </w:r>
    </w:p>
    <w:p>
      <w:pPr>
        <w:pStyle w:val="ListBullet"/>
        <w:spacing w:after="60" w:line="276" w:lineRule="auto"/>
        <w:widowControl/>
      </w:pPr>
      <w:r>
        <w:rPr>
          <w:rFonts w:ascii="Aptos" w:hAnsi="Aptos" w:eastAsia="Microsoft YaHei"/>
          <w:sz w:val="21"/>
        </w:rPr>
        <w:t>有效电阻、谱杠杆分数、重要性采样和 1/q 边权重加权。</w:t>
      </w:r>
    </w:p>
    <w:p>
      <w:pPr>
        <w:pStyle w:val="ListBullet"/>
        <w:spacing w:after="60" w:line="276" w:lineRule="auto"/>
        <w:widowControl/>
      </w:pPr>
      <w:r>
        <w:rPr>
          <w:rFonts w:ascii="Aptos" w:hAnsi="Aptos" w:eastAsia="Microsoft YaHei"/>
          <w:sz w:val="21"/>
        </w:rPr>
        <w:t>从同一图独立采样两个增强视图。</w:t>
      </w:r>
    </w:p>
    <w:p>
      <w:pPr>
        <w:pStyle w:val="ListBullet"/>
        <w:spacing w:after="60" w:line="276" w:lineRule="auto"/>
        <w:widowControl/>
      </w:pPr>
      <w:r>
        <w:rPr>
          <w:rFonts w:ascii="Aptos" w:hAnsi="Aptos" w:eastAsia="Microsoft YaHei"/>
          <w:sz w:val="21"/>
        </w:rPr>
        <w:t>VICReg、InfoNCE 等成熟自监督损失。</w:t>
      </w:r>
    </w:p>
    <w:p>
      <w:pPr>
        <w:pStyle w:val="ListBullet"/>
        <w:spacing w:after="60" w:line="276" w:lineRule="auto"/>
        <w:widowControl/>
      </w:pPr>
      <w:r>
        <w:rPr>
          <w:rFonts w:ascii="Aptos" w:hAnsi="Aptos" w:eastAsia="Microsoft YaHei"/>
          <w:sz w:val="21"/>
        </w:rPr>
        <w:t>图校准、编码和联合微调的分阶段训练。</w:t>
      </w:r>
    </w:p>
    <w:tbl>
      <w:tblPr>
        <w:tblW w:type="auto" w:w="0"/>
        <w:jc w:val="center"/>
        <w:tblLayout w:type="autofit"/>
        <w:tblLook w:firstColumn="1" w:firstRow="1" w:lastColumn="0" w:lastRow="0" w:noHBand="0" w:noVBand="1" w:val="04A0"/>
      </w:tblPr>
      <w:tblGrid>
        <w:gridCol w:w="9859"/>
      </w:tblGrid>
      <w:tr>
        <w:trPr>
          <w:cantSplit/>
        </w:trPr>
        <w:tc>
          <w:tcPr>
            <w:tcW w:type="dxa" w:w="9859"/>
            <w:shd w:fill="FFF2CC"/>
            <w:tcMar>
              <w:top w:w="120" w:type="dxa"/>
              <w:start w:w="160" w:type="dxa"/>
              <w:bottom w:w="120" w:type="dxa"/>
              <w:end w:w="160" w:type="dxa"/>
            </w:tcMar>
            <w:tcBorders>
              <w:top w:val="single" w:sz="8" w:color="D6B656"/>
              <w:left w:val="single" w:sz="8" w:color="D6B656"/>
              <w:bottom w:val="single" w:sz="8" w:color="D6B656"/>
              <w:right w:val="single" w:sz="8" w:color="D6B656"/>
            </w:tcBorders>
          </w:tcPr>
          <w:p>
            <w:pPr>
              <w:spacing w:after="40"/>
            </w:pPr>
            <w:r>
              <w:rPr>
                <w:rFonts w:ascii="Aptos" w:hAnsi="Aptos" w:eastAsia="Microsoft YaHei"/>
                <w:b/>
                <w:color w:val="1F4E79"/>
                <w:sz w:val="21"/>
              </w:rPr>
              <w:t>创新表述原则</w:t>
            </w:r>
          </w:p>
          <w:p>
            <w:pPr>
              <w:spacing w:after="0" w:line="276" w:lineRule="auto"/>
            </w:pPr>
            <w:r>
              <w:rPr>
                <w:rFonts w:ascii="Aptos" w:hAnsi="Aptos" w:eastAsia="Microsoft YaHei"/>
                <w:sz w:val="20"/>
              </w:rPr>
              <w:t>不能写成“提出患者特异图”“提出谱约束图增强”或“提出无负样本图对比学习”。应强调新的逆问题、局部不确定性结构、Krylov 作用保持与 DD-KAC 特定可辨识性。</w:t>
            </w:r>
          </w:p>
        </w:tc>
      </w:tr>
    </w:tbl>
    <w:p>
      <w:pPr>
        <w:spacing w:after="20"/>
        <w:widowControl/>
      </w:pPr>
    </w:p>
    <w:p>
      <w:pPr>
        <w:pStyle w:val="Heading1"/>
        <w:keepNext/>
        <w:widowControl/>
      </w:pPr>
      <w:r>
        <w:t>2. 最终方法总览</w:t>
      </w:r>
    </w:p>
    <w:p>
      <w:pPr>
        <w:spacing w:line="300" w:lineRule="auto" w:after="120"/>
        <w:ind w:firstLine="420"/>
        <w:jc w:val="both"/>
        <w:widowControl/>
      </w:pPr>
      <w:r>
        <w:rPr>
          <w:rFonts w:ascii="Aptos" w:hAnsi="Aptos" w:eastAsia="Microsoft YaHei"/>
          <w:i w:val="0"/>
          <w:sz w:val="21"/>
        </w:rPr>
        <w:t>最终方法建议命名为“患者条件 Chebyshev 矩输运校准与 Krylov 安全反向增强”，英文为 Patient-Conditioned Chebyshev-Moment Calibration with Krylov-Safe Antithetic Augmentation，简称 PC-CMKA-DDKAC。</w:t>
      </w:r>
    </w:p>
    <w:p>
      <w:pPr>
        <w:keepLines/>
        <w:spacing w:before="80" w:after="140"/>
        <w:jc w:val="center"/>
        <w:widowControl/>
      </w:pPr>
      <w:r>
        <w:rPr>
          <w:rFonts w:ascii="Cambria Math" w:hAnsi="Cambria Math" w:eastAsia="Cambria Math"/>
          <w:sz w:val="22"/>
        </w:rPr>
        <w:t>患者组学 xₚ  →  目标响应矩 Δμₚ  →  患者图 wₚ  →  反向视图 wₚ⁽⁺⁾, wₚ⁽⁻⁾  →  DD-KAC  →  风险 rₚ</w:t>
      </w:r>
    </w:p>
    <w:p>
      <w:pPr>
        <w:spacing w:line="300" w:lineRule="auto" w:after="120"/>
        <w:ind w:firstLine="420"/>
        <w:jc w:val="both"/>
        <w:widowControl/>
      </w:pPr>
      <w:r>
        <w:rPr>
          <w:rFonts w:ascii="Aptos" w:hAnsi="Aptos" w:eastAsia="Microsoft YaHei"/>
          <w:i w:val="0"/>
          <w:sz w:val="21"/>
        </w:rPr>
        <w:t>整个算法由四个不可拆分的核心机制组成：</w:t>
      </w:r>
    </w:p>
    <w:p>
      <w:pPr>
        <w:spacing w:after="60" w:line="276" w:lineRule="auto"/>
        <w:ind w:left="312" w:hanging="312"/>
        <w:widowControl/>
      </w:pPr>
      <w:r>
        <w:rPr>
          <w:rFonts w:ascii="Aptos" w:hAnsi="Aptos" w:eastAsia="Microsoft YaHei"/>
          <w:sz w:val="21"/>
        </w:rPr>
        <w:t xml:space="preserve">1. </w:t>
      </w:r>
      <w:r>
        <w:rPr>
          <w:rFonts w:ascii="Aptos" w:hAnsi="Aptos" w:eastAsia="Microsoft YaHei"/>
          <w:sz w:val="21"/>
        </w:rPr>
        <w:t>患者条件 Chebyshev 矩逆图校准。</w:t>
      </w:r>
    </w:p>
    <w:p>
      <w:pPr>
        <w:spacing w:after="60" w:line="276" w:lineRule="auto"/>
        <w:ind w:left="312" w:hanging="312"/>
        <w:widowControl/>
      </w:pPr>
      <w:r>
        <w:rPr>
          <w:rFonts w:ascii="Aptos" w:hAnsi="Aptos" w:eastAsia="Microsoft YaHei"/>
          <w:sz w:val="21"/>
        </w:rPr>
        <w:t xml:space="preserve">2. </w:t>
      </w:r>
      <w:r>
        <w:rPr>
          <w:rFonts w:ascii="Aptos" w:hAnsi="Aptos" w:eastAsia="Microsoft YaHei"/>
          <w:sz w:val="21"/>
        </w:rPr>
        <w:t>最小证据信赖域与统一参考谱几何。</w:t>
      </w:r>
    </w:p>
    <w:p>
      <w:pPr>
        <w:spacing w:after="60" w:line="276" w:lineRule="auto"/>
        <w:ind w:left="312" w:hanging="312"/>
        <w:widowControl/>
      </w:pPr>
      <w:r>
        <w:rPr>
          <w:rFonts w:ascii="Aptos" w:hAnsi="Aptos" w:eastAsia="Microsoft YaHei"/>
          <w:sz w:val="21"/>
        </w:rPr>
        <w:t xml:space="preserve">3. </w:t>
      </w:r>
      <w:r>
        <w:rPr>
          <w:rFonts w:ascii="Aptos" w:hAnsi="Aptos" w:eastAsia="Microsoft YaHei"/>
          <w:sz w:val="21"/>
        </w:rPr>
        <w:t>校准不确定性驱动的 Krylov 安全反向增强。</w:t>
      </w:r>
    </w:p>
    <w:p>
      <w:pPr>
        <w:spacing w:after="60" w:line="276" w:lineRule="auto"/>
        <w:ind w:left="312" w:hanging="312"/>
        <w:widowControl/>
      </w:pPr>
      <w:r>
        <w:rPr>
          <w:rFonts w:ascii="Aptos" w:hAnsi="Aptos" w:eastAsia="Microsoft YaHei"/>
          <w:sz w:val="21"/>
        </w:rPr>
        <w:t xml:space="preserve">4. </w:t>
      </w:r>
      <w:r>
        <w:rPr>
          <w:rFonts w:ascii="Aptos" w:hAnsi="Aptos" w:eastAsia="Microsoft YaHei"/>
          <w:sz w:val="21"/>
        </w:rPr>
        <w:t>图校准—频率路由切空间可辨识性与生存风险稳定性。</w:t>
      </w:r>
    </w:p>
    <w:p>
      <w:pPr>
        <w:pStyle w:val="Heading1"/>
        <w:keepNext/>
        <w:widowControl/>
      </w:pPr>
      <w:r>
        <w:t>3. 核心创新一：患者条件 Chebyshev 矩逆图校准</w:t>
      </w:r>
    </w:p>
    <w:p>
      <w:pPr>
        <w:pStyle w:val="Heading2"/>
        <w:keepNext/>
        <w:widowControl/>
      </w:pPr>
      <w:r>
        <w:t>3.1 统一参考图算子</w:t>
      </w:r>
    </w:p>
    <w:p>
      <w:pPr>
        <w:spacing w:line="300" w:lineRule="auto" w:after="120"/>
        <w:ind w:firstLine="420"/>
        <w:jc w:val="both"/>
        <w:widowControl/>
      </w:pPr>
      <w:r>
        <w:rPr>
          <w:rFonts w:ascii="Aptos" w:hAnsi="Aptos" w:eastAsia="Microsoft YaHei"/>
          <w:i w:val="0"/>
          <w:sz w:val="21"/>
        </w:rPr>
        <w:t>设固定生物先验图的候选边集合为 E₀，边—节点关联矩阵为 B，先验边权为 w₀，对应先验度矩阵为 D₀。对于任意患者图边权 w，定义参考度预条件图算子：</w:t>
      </w:r>
    </w:p>
    <w:p>
      <w:pPr>
        <w:keepLines/>
        <w:spacing w:before="80" w:after="140"/>
        <w:jc w:val="center"/>
        <w:widowControl/>
      </w:pPr>
      <w:r>
        <w:rPr>
          <w:rFonts w:ascii="Cambria Math" w:hAnsi="Cambria Math" w:eastAsia="Cambria Math"/>
          <w:sz w:val="22"/>
        </w:rPr>
        <w:t>S(w) = D₀⁻¹ᐟ² Bᵀ diag(w) B D₀⁻¹ᐟ².</w:t>
      </w:r>
    </w:p>
    <w:p>
      <w:pPr>
        <w:spacing w:line="300" w:lineRule="auto" w:after="120"/>
        <w:ind w:firstLine="420"/>
        <w:jc w:val="both"/>
        <w:widowControl/>
      </w:pPr>
      <w:r>
        <w:rPr>
          <w:rFonts w:ascii="Aptos" w:hAnsi="Aptos" w:eastAsia="Microsoft YaHei"/>
          <w:i w:val="0"/>
          <w:sz w:val="21"/>
        </w:rPr>
        <w:t>该定义允许患者边权发生变化，但所有患者均使用固定先验图的 D₀。这样，不同患者图共享同一个参考度量、零空间解释和谱坐标基础，避免每个患者使用自身度矩阵后产生不可直接比较的频率坐标。</w:t>
      </w:r>
    </w:p>
    <w:p>
      <w:pPr>
        <w:keepLines/>
        <w:spacing w:before="80" w:after="140"/>
        <w:jc w:val="center"/>
        <w:widowControl/>
      </w:pPr>
      <w:r>
        <w:rPr>
          <w:rFonts w:ascii="Cambria Math" w:hAnsi="Cambria Math" w:eastAsia="Cambria Math"/>
          <w:sz w:val="22"/>
        </w:rPr>
        <w:t>Ŝ(w) = 2S(w)/Λ − I,</w:t>
      </w:r>
    </w:p>
    <w:p>
      <w:pPr>
        <w:spacing w:line="300" w:lineRule="auto" w:after="120"/>
        <w:ind w:firstLine="420"/>
        <w:jc w:val="both"/>
        <w:widowControl/>
      </w:pPr>
      <w:r>
        <w:rPr>
          <w:rFonts w:ascii="Aptos" w:hAnsi="Aptos" w:eastAsia="Microsoft YaHei"/>
          <w:i w:val="0"/>
          <w:sz w:val="21"/>
        </w:rPr>
        <w:t>其中 Λ 是所有患者共享的谱上界。共享缩放不是创新点，但它是保证后续 Chebyshev 矩、频率路由与稳定性推导可比较的必要规范。</w:t>
      </w:r>
    </w:p>
    <w:p>
      <w:pPr>
        <w:pStyle w:val="Heading2"/>
        <w:keepNext/>
        <w:widowControl/>
      </w:pPr>
      <w:r>
        <w:t>3.2 患者功能探针</w:t>
      </w:r>
    </w:p>
    <w:p>
      <w:pPr>
        <w:spacing w:line="300" w:lineRule="auto" w:after="120"/>
        <w:ind w:firstLine="420"/>
        <w:jc w:val="both"/>
        <w:widowControl/>
      </w:pPr>
      <w:r>
        <w:rPr>
          <w:rFonts w:ascii="Aptos" w:hAnsi="Aptos" w:eastAsia="Microsoft YaHei"/>
          <w:i w:val="0"/>
          <w:sz w:val="21"/>
        </w:rPr>
        <w:t>对第 g 个基因功能组，令 m_g 为该功能组的基因掩码，xₚ 为患者 p 的基因组学信号。定义患者功能探针：</w:t>
      </w:r>
    </w:p>
    <w:p>
      <w:pPr>
        <w:keepLines/>
        <w:spacing w:before="80" w:after="140"/>
        <w:jc w:val="center"/>
        <w:widowControl/>
      </w:pPr>
      <w:r>
        <w:rPr>
          <w:rFonts w:ascii="Cambria Math" w:hAnsi="Cambria Math" w:eastAsia="Cambria Math"/>
          <w:sz w:val="22"/>
        </w:rPr>
        <w:t>uₚ,ᵍ = (m_g ⊙ xₚ) / (‖m_g ⊙ xₚ‖₂ + ε).</w:t>
      </w:r>
    </w:p>
    <w:p>
      <w:pPr>
        <w:spacing w:line="300" w:lineRule="auto" w:after="120"/>
        <w:ind w:firstLine="420"/>
        <w:jc w:val="both"/>
        <w:widowControl/>
      </w:pPr>
      <w:r>
        <w:rPr>
          <w:rFonts w:ascii="Aptos" w:hAnsi="Aptos" w:eastAsia="Microsoft YaHei"/>
          <w:i w:val="0"/>
          <w:sz w:val="21"/>
        </w:rPr>
        <w:t>功能探针不是一个额外标签，而是将患者在某一功能组中的实际组学信号转换为图算子可作用的方向。它使图校准目标从“每条边应该变多少”转化为“患者信号在特定生物功能方向上的扩散响应应该如何变化”。</w:t>
      </w:r>
    </w:p>
    <w:p>
      <w:pPr>
        <w:pStyle w:val="Heading2"/>
        <w:keepNext/>
        <w:widowControl/>
      </w:pPr>
      <w:r>
        <w:t>3.3 DD-KAC 对齐的 Chebyshev 响应矩</w:t>
      </w:r>
    </w:p>
    <w:p>
      <w:pPr>
        <w:spacing w:line="300" w:lineRule="auto" w:after="120"/>
        <w:ind w:firstLine="420"/>
        <w:jc w:val="both"/>
        <w:widowControl/>
      </w:pPr>
      <w:r>
        <w:rPr>
          <w:rFonts w:ascii="Aptos" w:hAnsi="Aptos" w:eastAsia="Microsoft YaHei"/>
          <w:i w:val="0"/>
          <w:sz w:val="21"/>
        </w:rPr>
        <w:t>对于多项式阶数 r = 1,…,R，定义患者功能探针在图算子上的 Chebyshev 响应矩：</w:t>
      </w:r>
    </w:p>
    <w:p>
      <w:pPr>
        <w:keepLines/>
        <w:spacing w:before="80" w:after="140"/>
        <w:jc w:val="center"/>
        <w:widowControl/>
      </w:pPr>
      <w:r>
        <w:rPr>
          <w:rFonts w:ascii="Cambria Math" w:hAnsi="Cambria Math" w:eastAsia="Cambria Math"/>
          <w:sz w:val="22"/>
        </w:rPr>
        <w:t>μₚ,ᵍ,ʳ(w) = uₚ,ᵍᵀ Tᵣ(Ŝ(w)) uₚ,ᵍ.</w:t>
      </w:r>
    </w:p>
    <w:p>
      <w:pPr>
        <w:spacing w:line="300" w:lineRule="auto" w:after="120"/>
        <w:ind w:firstLine="420"/>
        <w:jc w:val="both"/>
        <w:widowControl/>
      </w:pPr>
      <w:r>
        <w:rPr>
          <w:rFonts w:ascii="Aptos" w:hAnsi="Aptos" w:eastAsia="Microsoft YaHei"/>
          <w:i w:val="0"/>
          <w:sz w:val="21"/>
        </w:rPr>
        <w:t>该量刻画患者信号在第 r 阶图扩散或频率响应后，仍然在第 g 个功能组方向上保留或传播的能量。患者编码器不直接输出每条边的门控值，而是输出：</w:t>
      </w:r>
    </w:p>
    <w:p>
      <w:pPr>
        <w:keepLines/>
        <w:spacing w:before="80" w:after="140"/>
        <w:jc w:val="center"/>
        <w:widowControl/>
      </w:pPr>
      <w:r>
        <w:rPr>
          <w:rFonts w:ascii="Cambria Math" w:hAnsi="Cambria Math" w:eastAsia="Cambria Math"/>
          <w:sz w:val="22"/>
        </w:rPr>
        <w:t>Δμₚ,ᵍ,ʳ  与  πₚ,ᵍ,ʳ &gt; 0,</w:t>
      </w:r>
    </w:p>
    <w:p>
      <w:pPr>
        <w:pStyle w:val="ListBullet"/>
        <w:spacing w:after="60" w:line="276" w:lineRule="auto"/>
        <w:widowControl/>
      </w:pPr>
      <w:r>
        <w:rPr>
          <w:rFonts w:ascii="Aptos" w:hAnsi="Aptos" w:eastAsia="Microsoft YaHei"/>
          <w:sz w:val="21"/>
        </w:rPr>
        <w:t>Δμₚ,ᵍ,ʳ：患者相对先验图应出现的目标响应变化。</w:t>
      </w:r>
    </w:p>
    <w:p>
      <w:pPr>
        <w:pStyle w:val="ListBullet"/>
        <w:spacing w:after="60" w:line="276" w:lineRule="auto"/>
        <w:widowControl/>
      </w:pPr>
      <w:r>
        <w:rPr>
          <w:rFonts w:ascii="Aptos" w:hAnsi="Aptos" w:eastAsia="Microsoft YaHei"/>
          <w:sz w:val="21"/>
        </w:rPr>
        <w:t>πₚ,ᵍ,ʳ：模型对该响应目标的可信精度。</w:t>
      </w:r>
    </w:p>
    <w:p>
      <w:pPr>
        <w:pStyle w:val="Heading2"/>
        <w:keepNext/>
        <w:widowControl/>
      </w:pPr>
      <w:r>
        <w:t>3.4 低维边形变字典</w:t>
      </w:r>
    </w:p>
    <w:p>
      <w:pPr>
        <w:spacing w:line="300" w:lineRule="auto" w:after="120"/>
        <w:ind w:firstLine="420"/>
        <w:jc w:val="both"/>
        <w:widowControl/>
      </w:pPr>
      <w:r>
        <w:rPr>
          <w:rFonts w:ascii="Aptos" w:hAnsi="Aptos" w:eastAsia="Microsoft YaHei"/>
          <w:i w:val="0"/>
          <w:sz w:val="21"/>
        </w:rPr>
        <w:t>为了避免直接学习 |E₀| 维患者边权，学习一个全局低维边形变字典 P：</w:t>
      </w:r>
    </w:p>
    <w:p>
      <w:pPr>
        <w:keepLines/>
        <w:spacing w:before="80" w:after="140"/>
        <w:jc w:val="center"/>
        <w:widowControl/>
      </w:pPr>
      <w:r>
        <w:rPr>
          <w:rFonts w:ascii="Cambria Math" w:hAnsi="Cambria Math" w:eastAsia="Cambria Math"/>
          <w:sz w:val="22"/>
        </w:rPr>
        <w:t>P ∈ ℝ|E₀|×K,    K ≪ |E₀|,    Pᵀ diag(w₀) P = I.</w:t>
      </w:r>
    </w:p>
    <w:p>
      <w:pPr>
        <w:spacing w:line="300" w:lineRule="auto" w:after="120"/>
        <w:ind w:firstLine="420"/>
        <w:jc w:val="both"/>
        <w:widowControl/>
      </w:pPr>
      <w:r>
        <w:rPr>
          <w:rFonts w:ascii="Aptos" w:hAnsi="Aptos" w:eastAsia="Microsoft YaHei"/>
          <w:i w:val="0"/>
          <w:sz w:val="21"/>
        </w:rPr>
        <w:t>患者图通过低维系数 aₚ 表示：</w:t>
      </w:r>
    </w:p>
    <w:p>
      <w:pPr>
        <w:keepLines/>
        <w:spacing w:before="80" w:after="140"/>
        <w:jc w:val="center"/>
        <w:widowControl/>
      </w:pPr>
      <w:r>
        <w:rPr>
          <w:rFonts w:ascii="Cambria Math" w:hAnsi="Cambria Math" w:eastAsia="Cambria Math"/>
          <w:sz w:val="22"/>
        </w:rPr>
        <w:t>wₚ(aₚ) = w₀ ⊙ exp(Paₚ).</w:t>
      </w:r>
    </w:p>
    <w:p>
      <w:pPr>
        <w:spacing w:line="300" w:lineRule="auto" w:after="120"/>
        <w:ind w:firstLine="420"/>
        <w:jc w:val="both"/>
        <w:widowControl/>
      </w:pPr>
      <w:r>
        <w:rPr>
          <w:rFonts w:ascii="Aptos" w:hAnsi="Aptos" w:eastAsia="Microsoft YaHei"/>
          <w:i w:val="0"/>
          <w:sz w:val="21"/>
        </w:rPr>
        <w:t>这里的关键不在指数参数化本身，而在于 aₚ 不由 MLP 直接输出。它必须通过满足患者目标 Chebyshev 响应矩的逆问题求得。</w:t>
      </w:r>
    </w:p>
    <w:p>
      <w:pPr>
        <w:pStyle w:val="Heading2"/>
        <w:keepNext/>
        <w:widowControl/>
      </w:pPr>
      <w:r>
        <w:t>3.5 患者图逆校准问题</w:t>
      </w:r>
    </w:p>
    <w:p>
      <w:pPr>
        <w:spacing w:line="300" w:lineRule="auto" w:after="120"/>
        <w:ind w:firstLine="420"/>
        <w:jc w:val="both"/>
        <w:widowControl/>
      </w:pPr>
      <w:r>
        <w:rPr>
          <w:rFonts w:ascii="Aptos" w:hAnsi="Aptos" w:eastAsia="Microsoft YaHei"/>
          <w:i w:val="0"/>
          <w:sz w:val="21"/>
        </w:rPr>
        <w:t>患者图系数与信赖域半径联合求解：</w:t>
      </w:r>
    </w:p>
    <w:p>
      <w:pPr>
        <w:keepLines/>
        <w:spacing w:before="80" w:after="140"/>
        <w:jc w:val="center"/>
        <w:widowControl/>
      </w:pPr>
      <w:r>
        <w:rPr>
          <w:rFonts w:ascii="Cambria Math" w:hAnsi="Cambria Math" w:eastAsia="Cambria Math"/>
          <w:sz w:val="22"/>
        </w:rPr>
        <w:t>(aₚ*, ρₚ*) = arg minₐ,ρ  Σᵍ,ʳ πₚ,ᵍ,ʳ[μₚ,ᵍ,ʳ(wₚ(a)) − μ₀,ᵍ,ʳ − Δμₚ,ᵍ,ʳ]² + β‖a‖₂² + λρρ,</w:t>
      </w:r>
    </w:p>
    <w:p>
      <w:pPr>
        <w:keepLines/>
        <w:spacing w:before="80" w:after="140"/>
        <w:jc w:val="center"/>
        <w:widowControl/>
      </w:pPr>
      <w:r>
        <w:rPr>
          <w:rFonts w:ascii="Cambria Math" w:hAnsi="Cambria Math" w:eastAsia="Cambria Math"/>
          <w:sz w:val="22"/>
        </w:rPr>
        <w:t>s.t.  ‖Pa‖∞ ≤ ρ,    0 ≤ ρ ≤ ρmax.</w:t>
      </w:r>
    </w:p>
    <w:p>
      <w:pPr>
        <w:spacing w:line="300" w:lineRule="auto" w:after="120"/>
        <w:ind w:firstLine="420"/>
        <w:jc w:val="both"/>
        <w:widowControl/>
      </w:pPr>
      <w:r>
        <w:rPr>
          <w:rFonts w:ascii="Aptos" w:hAnsi="Aptos" w:eastAsia="Microsoft YaHei"/>
          <w:i w:val="0"/>
          <w:sz w:val="21"/>
        </w:rPr>
        <w:t>该逆问题可以通过固定次数的可微镜像下降、近端梯度或 Gauss–Newton 迭代展开实现，使整个患者图校准过程可端到端训练。</w:t>
      </w:r>
    </w:p>
    <w:tbl>
      <w:tblPr>
        <w:tblW w:type="auto" w:w="0"/>
        <w:jc w:val="center"/>
        <w:tblLayout w:type="autofit"/>
        <w:tblLook w:firstColumn="1" w:firstRow="1" w:lastColumn="0" w:lastRow="0" w:noHBand="0" w:noVBand="1" w:val="04A0"/>
      </w:tblPr>
      <w:tblGrid>
        <w:gridCol w:w="9859"/>
      </w:tblGrid>
      <w:tr>
        <w:trPr>
          <w:cantSplit/>
        </w:trPr>
        <w:tc>
          <w:tcPr>
            <w:tcW w:type="dxa" w:w="9859"/>
            <w:shd w:fill="EAF2F8"/>
            <w:tcMar>
              <w:top w:w="120" w:type="dxa"/>
              <w:start w:w="160" w:type="dxa"/>
              <w:bottom w:w="120" w:type="dxa"/>
              <w:end w:w="160" w:type="dxa"/>
            </w:tcMar>
            <w:tcBorders>
              <w:top w:val="single" w:sz="8" w:color="5B9BD5"/>
              <w:left w:val="single" w:sz="8" w:color="5B9BD5"/>
              <w:bottom w:val="single" w:sz="8" w:color="5B9BD5"/>
              <w:right w:val="single" w:sz="8" w:color="5B9BD5"/>
            </w:tcBorders>
          </w:tcPr>
          <w:p>
            <w:pPr>
              <w:spacing w:after="40"/>
            </w:pPr>
            <w:r>
              <w:rPr>
                <w:rFonts w:ascii="Aptos" w:hAnsi="Aptos" w:eastAsia="Microsoft YaHei"/>
                <w:b/>
                <w:color w:val="1F4E79"/>
                <w:sz w:val="21"/>
              </w:rPr>
              <w:t>与普通边门控的本质差异</w:t>
            </w:r>
          </w:p>
          <w:p>
            <w:pPr>
              <w:spacing w:after="0" w:line="276" w:lineRule="auto"/>
            </w:pPr>
            <w:r>
              <w:rPr>
                <w:rFonts w:ascii="Aptos" w:hAnsi="Aptos" w:eastAsia="Microsoft YaHei"/>
                <w:sz w:val="20"/>
              </w:rPr>
              <w:t>普通方法是 xₚ → 每条边权重；本方案是 xₚ → 目标图扩散响应 → 满足响应的患者图。患者图不再是任意神经网络输出，而是 DD-KAC Chebyshev 算子一致的逆问题解。</w:t>
            </w:r>
          </w:p>
        </w:tc>
      </w:tr>
    </w:tbl>
    <w:p>
      <w:pPr>
        <w:spacing w:after="20"/>
        <w:widowControl/>
      </w:pPr>
    </w:p>
    <w:p>
      <w:pPr>
        <w:pStyle w:val="Heading1"/>
        <w:keepNext/>
        <w:widowControl/>
      </w:pPr>
      <w:r>
        <w:t>4. 核心创新二：最小证据信赖域</w:t>
      </w:r>
    </w:p>
    <w:p>
      <w:pPr>
        <w:pStyle w:val="Heading2"/>
        <w:keepNext/>
        <w:widowControl/>
      </w:pPr>
      <w:r>
        <w:t>4.1 从预测半径改为联合求解半径</w:t>
      </w:r>
    </w:p>
    <w:p>
      <w:pPr>
        <w:spacing w:line="300" w:lineRule="auto" w:after="120"/>
        <w:ind w:firstLine="420"/>
        <w:jc w:val="both"/>
        <w:widowControl/>
      </w:pPr>
      <w:r>
        <w:rPr>
          <w:rFonts w:ascii="Aptos" w:hAnsi="Aptos" w:eastAsia="Microsoft YaHei"/>
          <w:i w:val="0"/>
          <w:sz w:val="21"/>
        </w:rPr>
        <w:t>原设计让 MLP 直接输出患者自适应半径 εₚ，其风险是该标量可能退化为附加的患者风险特征，无法证明它真正控制图谱偏移。最终设计不再直接预测半径，而是在患者图逆校准中联合求解最小必要半径 ρₚ*。</w:t>
      </w:r>
    </w:p>
    <w:p>
      <w:pPr>
        <w:keepLines/>
        <w:spacing w:before="80" w:after="140"/>
        <w:jc w:val="center"/>
        <w:widowControl/>
      </w:pPr>
      <w:r>
        <w:rPr>
          <w:rFonts w:ascii="Cambria Math" w:hAnsi="Cambria Math" w:eastAsia="Cambria Math"/>
          <w:sz w:val="22"/>
        </w:rPr>
        <w:t>minₐ,ρ  ℒmoment(a) + λρρ,    s.t. ‖Pa‖∞ ≤ ρ.</w:t>
      </w:r>
    </w:p>
    <w:p>
      <w:pPr>
        <w:spacing w:line="300" w:lineRule="auto" w:after="120"/>
        <w:ind w:firstLine="420"/>
        <w:jc w:val="both"/>
        <w:widowControl/>
      </w:pPr>
      <w:r>
        <w:rPr>
          <w:rFonts w:ascii="Aptos" w:hAnsi="Aptos" w:eastAsia="Microsoft YaHei"/>
          <w:i w:val="0"/>
          <w:sz w:val="21"/>
        </w:rPr>
        <w:t>这一设计的含义是：在能够解释患者目标 Chebyshev 响应证据的前提下，选择相对先验图的最小必要偏移。</w:t>
      </w:r>
    </w:p>
    <w:p>
      <w:pPr>
        <w:pStyle w:val="ListBullet"/>
        <w:spacing w:after="60" w:line="276" w:lineRule="auto"/>
        <w:widowControl/>
      </w:pPr>
      <w:r>
        <w:rPr>
          <w:rFonts w:ascii="Aptos" w:hAnsi="Aptos" w:eastAsia="Microsoft YaHei"/>
          <w:sz w:val="21"/>
        </w:rPr>
        <w:t>当患者证据与先验扩散几何一致时，ρₚ* 自动接近 0。</w:t>
      </w:r>
    </w:p>
    <w:p>
      <w:pPr>
        <w:pStyle w:val="ListBullet"/>
        <w:spacing w:after="60" w:line="276" w:lineRule="auto"/>
        <w:widowControl/>
      </w:pPr>
      <w:r>
        <w:rPr>
          <w:rFonts w:ascii="Aptos" w:hAnsi="Aptos" w:eastAsia="Microsoft YaHei"/>
          <w:sz w:val="21"/>
        </w:rPr>
        <w:t>只有先验图无法解释患者功能响应时，才允许更大的结构偏移。</w:t>
      </w:r>
    </w:p>
    <w:p>
      <w:pPr>
        <w:pStyle w:val="ListBullet"/>
        <w:spacing w:after="60" w:line="276" w:lineRule="auto"/>
        <w:widowControl/>
      </w:pPr>
      <w:r>
        <w:rPr>
          <w:rFonts w:ascii="Aptos" w:hAnsi="Aptos" w:eastAsia="Microsoft YaHei"/>
          <w:sz w:val="21"/>
        </w:rPr>
        <w:t>数据质量差时，通过降低 πₚ,ᵍ,ʳ 弱化矩约束，使患者图自然回退到先验，而不是放大结构偏移。</w:t>
      </w:r>
    </w:p>
    <w:p>
      <w:pPr>
        <w:pStyle w:val="Heading2"/>
        <w:keepNext/>
        <w:widowControl/>
      </w:pPr>
      <w:r>
        <w:t>4.2 生物意义</w:t>
      </w:r>
    </w:p>
    <w:p>
      <w:pPr>
        <w:spacing w:line="300" w:lineRule="auto" w:after="120"/>
        <w:ind w:firstLine="420"/>
        <w:jc w:val="both"/>
        <w:widowControl/>
      </w:pPr>
      <w:r>
        <w:rPr>
          <w:rFonts w:ascii="Aptos" w:hAnsi="Aptos" w:eastAsia="Microsoft YaHei"/>
          <w:i w:val="0"/>
          <w:sz w:val="21"/>
        </w:rPr>
        <w:t>最小证据信赖域可以被解释为患者相对公共生物网络所需的最小结构异常程度。ρₚ* 不仅是训练中的正则变量，还可作为患者图异常强度、先验冲突度和潜在风险异质性的解释指标。</w:t>
      </w:r>
    </w:p>
    <w:p>
      <w:pPr>
        <w:pStyle w:val="Heading1"/>
        <w:keepNext/>
        <w:widowControl/>
      </w:pPr>
      <w:r>
        <w:t>5. 核心创新三：校准不确定性驱动的 Krylov 安全反向增强</w:t>
      </w:r>
    </w:p>
    <w:p>
      <w:pPr>
        <w:pStyle w:val="Heading2"/>
        <w:keepNext/>
        <w:widowControl/>
      </w:pPr>
      <w:r>
        <w:t>5.1 删除原有效电阻 Bernoulli 增强</w:t>
      </w:r>
    </w:p>
    <w:p>
      <w:pPr>
        <w:spacing w:line="300" w:lineRule="auto" w:after="120"/>
        <w:ind w:firstLine="420"/>
        <w:jc w:val="both"/>
        <w:widowControl/>
      </w:pPr>
      <w:r>
        <w:rPr>
          <w:rFonts w:ascii="Aptos" w:hAnsi="Aptos" w:eastAsia="Microsoft YaHei"/>
          <w:i w:val="0"/>
          <w:sz w:val="21"/>
        </w:rPr>
        <w:t>最终方法删除有效电阻最低采样概率、置信度叠加采样、1/q 重加权和独立双视图采样。它们可以保留为强基线，但不应继续放在主方法中，因为其理论对象与已有谱稀疏化高度重合。</w:t>
      </w:r>
    </w:p>
    <w:p>
      <w:pPr>
        <w:pStyle w:val="Heading2"/>
        <w:keepNext/>
        <w:widowControl/>
      </w:pPr>
      <w:r>
        <w:t>5.2 从图逆问题中提取局部校准不确定性</w:t>
      </w:r>
    </w:p>
    <w:p>
      <w:pPr>
        <w:spacing w:line="300" w:lineRule="auto" w:after="120"/>
        <w:ind w:firstLine="420"/>
        <w:jc w:val="both"/>
        <w:widowControl/>
      </w:pPr>
      <w:r>
        <w:rPr>
          <w:rFonts w:ascii="Aptos" w:hAnsi="Aptos" w:eastAsia="Microsoft YaHei"/>
          <w:i w:val="0"/>
          <w:sz w:val="21"/>
        </w:rPr>
        <w:t>在患者最优图系数 aₚ* 附近，定义 Chebyshev 响应矩对低维图参数的 Jacobian：</w:t>
      </w:r>
    </w:p>
    <w:p>
      <w:pPr>
        <w:keepLines/>
        <w:spacing w:before="80" w:after="140"/>
        <w:jc w:val="center"/>
        <w:widowControl/>
      </w:pPr>
      <w:r>
        <w:rPr>
          <w:rFonts w:ascii="Cambria Math" w:hAnsi="Cambria Math" w:eastAsia="Cambria Math"/>
          <w:sz w:val="22"/>
        </w:rPr>
        <w:t>Jμ,ₚ = ∂{μₚ,ᵍ,ʳ}/∂a |ₐ₌ₐₚ* .</w:t>
      </w:r>
    </w:p>
    <w:p>
      <w:pPr>
        <w:spacing w:line="300" w:lineRule="auto" w:after="120"/>
        <w:ind w:firstLine="420"/>
        <w:jc w:val="both"/>
        <w:widowControl/>
      </w:pPr>
      <w:r>
        <w:rPr>
          <w:rFonts w:ascii="Aptos" w:hAnsi="Aptos" w:eastAsia="Microsoft YaHei"/>
          <w:i w:val="0"/>
          <w:sz w:val="21"/>
        </w:rPr>
        <w:t>进一步定义局部 Gauss–Newton 矩阵：</w:t>
      </w:r>
    </w:p>
    <w:p>
      <w:pPr>
        <w:keepLines/>
        <w:spacing w:before="80" w:after="140"/>
        <w:jc w:val="center"/>
        <w:widowControl/>
      </w:pPr>
      <w:r>
        <w:rPr>
          <w:rFonts w:ascii="Cambria Math" w:hAnsi="Cambria Math" w:eastAsia="Cambria Math"/>
          <w:sz w:val="22"/>
        </w:rPr>
        <w:t>Hₚ = Jμ,ₚᵀ Πₚ Jμ,ₚ + βI.</w:t>
      </w:r>
    </w:p>
    <w:p>
      <w:pPr>
        <w:spacing w:line="300" w:lineRule="auto" w:after="120"/>
        <w:ind w:firstLine="420"/>
        <w:jc w:val="both"/>
        <w:widowControl/>
      </w:pPr>
      <w:r>
        <w:rPr>
          <w:rFonts w:ascii="Aptos" w:hAnsi="Aptos" w:eastAsia="Microsoft YaHei"/>
          <w:i w:val="0"/>
          <w:sz w:val="21"/>
        </w:rPr>
        <w:t>Hₚ⁻¹ 所对应的方向表示：在当前患者证据与矩约束下，哪些图形变方向仍然缺乏充分识别。采样：</w:t>
      </w:r>
    </w:p>
    <w:p>
      <w:pPr>
        <w:keepLines/>
        <w:spacing w:before="80" w:after="140"/>
        <w:jc w:val="center"/>
        <w:widowControl/>
      </w:pPr>
      <w:r>
        <w:rPr>
          <w:rFonts w:ascii="Cambria Math" w:hAnsi="Cambria Math" w:eastAsia="Cambria Math"/>
          <w:sz w:val="22"/>
        </w:rPr>
        <w:t>zₚ ~ 𝒩(0,I),    dₚ = Hₚ⁻¹ᐟ² zₚ,    ξₚ = P dₚ.</w:t>
      </w:r>
    </w:p>
    <w:p>
      <w:pPr>
        <w:spacing w:line="300" w:lineRule="auto" w:after="120"/>
        <w:ind w:firstLine="420"/>
        <w:jc w:val="both"/>
        <w:widowControl/>
      </w:pPr>
      <w:r>
        <w:rPr>
          <w:rFonts w:ascii="Aptos" w:hAnsi="Aptos" w:eastAsia="Microsoft YaHei"/>
          <w:i w:val="0"/>
          <w:sz w:val="21"/>
        </w:rPr>
        <w:t>由此，增强扰动不再是随机删边，而是从患者图校准自身的局部不确定方向中产生。</w:t>
      </w:r>
    </w:p>
    <w:p>
      <w:pPr>
        <w:pStyle w:val="Heading2"/>
        <w:keepNext/>
        <w:widowControl/>
      </w:pPr>
      <w:r>
        <w:t>5.3 构造患者 DD-KAC Krylov 子空间</w:t>
      </w:r>
    </w:p>
    <w:p>
      <w:pPr>
        <w:spacing w:line="300" w:lineRule="auto" w:after="120"/>
        <w:ind w:firstLine="420"/>
        <w:jc w:val="both"/>
        <w:widowControl/>
      </w:pPr>
      <w:r>
        <w:rPr>
          <w:rFonts w:ascii="Aptos" w:hAnsi="Aptos" w:eastAsia="Microsoft YaHei"/>
          <w:i w:val="0"/>
          <w:sz w:val="21"/>
        </w:rPr>
        <w:t>令 Uₚ = [uₚ,¹,…,uₚ,ᴳ]，基于基础患者图构造：</w:t>
      </w:r>
    </w:p>
    <w:p>
      <w:pPr>
        <w:keepLines/>
        <w:spacing w:before="80" w:after="140"/>
        <w:jc w:val="center"/>
        <w:widowControl/>
      </w:pPr>
      <w:r>
        <w:rPr>
          <w:rFonts w:ascii="Cambria Math" w:hAnsi="Cambria Math" w:eastAsia="Cambria Math"/>
          <w:sz w:val="22"/>
        </w:rPr>
        <w:t>𝒦ₚ = span{Uₚ, ŜₚUₚ, …, ŜₚᴿUₚ}.</w:t>
      </w:r>
    </w:p>
    <w:p>
      <w:pPr>
        <w:spacing w:line="300" w:lineRule="auto" w:after="120"/>
        <w:ind w:firstLine="420"/>
        <w:jc w:val="both"/>
        <w:widowControl/>
      </w:pPr>
      <w:r>
        <w:rPr>
          <w:rFonts w:ascii="Aptos" w:hAnsi="Aptos" w:eastAsia="Microsoft YaHei"/>
          <w:i w:val="0"/>
          <w:sz w:val="21"/>
        </w:rPr>
        <w:t>设 Qₚ 为该子空间的正交基。这个空间近似描述低阶 Chebyshev DD-KAC 在患者信号上实际可访问的算子作用范围。与保持所有拉普拉斯二次型相比，只保护该任务相关子空间更符合当前模型，也为自己的理论对象留出空间。</w:t>
      </w:r>
    </w:p>
    <w:p>
      <w:pPr>
        <w:pStyle w:val="Heading2"/>
        <w:keepNext/>
        <w:widowControl/>
      </w:pPr>
      <w:r>
        <w:t>5.4 正负反向中心配对视图</w:t>
      </w:r>
    </w:p>
    <w:p>
      <w:pPr>
        <w:spacing w:line="300" w:lineRule="auto" w:after="120"/>
        <w:ind w:firstLine="420"/>
        <w:jc w:val="both"/>
        <w:widowControl/>
      </w:pPr>
      <w:r>
        <w:rPr>
          <w:rFonts w:ascii="Aptos" w:hAnsi="Aptos" w:eastAsia="Microsoft YaHei"/>
          <w:i w:val="0"/>
          <w:sz w:val="21"/>
        </w:rPr>
        <w:t>对 ξₚ 进行缩放，使边权保持正值，并满足 Krylov 作用安全约束：</w:t>
      </w:r>
    </w:p>
    <w:p>
      <w:pPr>
        <w:keepLines/>
        <w:spacing w:before="80" w:after="140"/>
        <w:jc w:val="center"/>
        <w:widowControl/>
      </w:pPr>
      <w:r>
        <w:rPr>
          <w:rFonts w:ascii="Cambria Math" w:hAnsi="Cambria Math" w:eastAsia="Cambria Math"/>
          <w:sz w:val="22"/>
        </w:rPr>
        <w:t>‖ξₚ‖∞ &lt; 1,    ‖(Ŝₚ⁽±⁾ − Ŝₚ)Qₚ‖₂ ≤ ηₚ.</w:t>
      </w:r>
    </w:p>
    <w:p>
      <w:pPr>
        <w:spacing w:line="300" w:lineRule="auto" w:after="120"/>
        <w:ind w:firstLine="420"/>
        <w:jc w:val="both"/>
        <w:widowControl/>
      </w:pPr>
      <w:r>
        <w:rPr>
          <w:rFonts w:ascii="Aptos" w:hAnsi="Aptos" w:eastAsia="Microsoft YaHei"/>
          <w:i w:val="0"/>
          <w:sz w:val="21"/>
        </w:rPr>
        <w:t>定义两个反向视图：</w:t>
      </w:r>
    </w:p>
    <w:p>
      <w:pPr>
        <w:keepLines/>
        <w:spacing w:before="80" w:after="140"/>
        <w:jc w:val="center"/>
        <w:widowControl/>
      </w:pPr>
      <w:r>
        <w:rPr>
          <w:rFonts w:ascii="Cambria Math" w:hAnsi="Cambria Math" w:eastAsia="Cambria Math"/>
          <w:sz w:val="22"/>
        </w:rPr>
        <w:t>wₚ⁽⁺⁾ = wₚ ⊙ (1 + ξₚ),    wₚ⁽⁻⁾ = wₚ ⊙ (1 − ξₚ).</w:t>
      </w:r>
    </w:p>
    <w:p>
      <w:pPr>
        <w:spacing w:line="300" w:lineRule="auto" w:after="120"/>
        <w:ind w:firstLine="420"/>
        <w:jc w:val="both"/>
        <w:widowControl/>
      </w:pPr>
      <w:r>
        <w:rPr>
          <w:rFonts w:ascii="Aptos" w:hAnsi="Aptos" w:eastAsia="Microsoft YaHei"/>
          <w:i w:val="0"/>
          <w:sz w:val="21"/>
        </w:rPr>
        <w:t>两个视图严格以基础患者图为中心：</w:t>
      </w:r>
    </w:p>
    <w:p>
      <w:pPr>
        <w:keepLines/>
        <w:spacing w:before="80" w:after="140"/>
        <w:jc w:val="center"/>
        <w:widowControl/>
      </w:pPr>
      <w:r>
        <w:rPr>
          <w:rFonts w:ascii="Cambria Math" w:hAnsi="Cambria Math" w:eastAsia="Cambria Math"/>
          <w:sz w:val="22"/>
        </w:rPr>
        <w:t>(wₚ⁽⁺⁾ + wₚ⁽⁻⁾)/2 = wₚ,    (Sₚ⁽⁺⁾ + Sₚ⁽⁻⁾)/2 = Sₚ.</w:t>
      </w:r>
    </w:p>
    <w:p>
      <w:pPr>
        <w:spacing w:line="300" w:lineRule="auto" w:after="120"/>
        <w:ind w:firstLine="420"/>
        <w:jc w:val="both"/>
        <w:widowControl/>
      </w:pPr>
      <w:r>
        <w:rPr>
          <w:rFonts w:ascii="Aptos" w:hAnsi="Aptos" w:eastAsia="Microsoft YaHei"/>
          <w:i w:val="0"/>
          <w:sz w:val="21"/>
        </w:rPr>
        <w:t>与两个独立 Bernoulli 子图相比，反向配对视图不会同时向同一结构方向漂移，因此更适合测量结构扰动的对称响应和训练局部稳定性。</w:t>
      </w:r>
    </w:p>
    <w:tbl>
      <w:tblPr>
        <w:tblW w:type="auto" w:w="0"/>
        <w:jc w:val="center"/>
        <w:tblLayout w:type="autofit"/>
        <w:tblLook w:firstColumn="1" w:firstRow="1" w:lastColumn="0" w:lastRow="0" w:noHBand="0" w:noVBand="1" w:val="04A0"/>
      </w:tblPr>
      <w:tblGrid>
        <w:gridCol w:w="9859"/>
      </w:tblGrid>
      <w:tr>
        <w:trPr>
          <w:cantSplit/>
        </w:trPr>
        <w:tc>
          <w:tcPr>
            <w:tcW w:type="dxa" w:w="9859"/>
            <w:shd w:fill="EAF2F8"/>
            <w:tcMar>
              <w:top w:w="120" w:type="dxa"/>
              <w:start w:w="160" w:type="dxa"/>
              <w:bottom w:w="120" w:type="dxa"/>
              <w:end w:w="160" w:type="dxa"/>
            </w:tcMar>
            <w:tcBorders>
              <w:top w:val="single" w:sz="8" w:color="5B9BD5"/>
              <w:left w:val="single" w:sz="8" w:color="5B9BD5"/>
              <w:bottom w:val="single" w:sz="8" w:color="5B9BD5"/>
              <w:right w:val="single" w:sz="8" w:color="5B9BD5"/>
            </w:tcBorders>
          </w:tcPr>
          <w:p>
            <w:pPr>
              <w:spacing w:after="40"/>
            </w:pPr>
            <w:r>
              <w:rPr>
                <w:rFonts w:ascii="Aptos" w:hAnsi="Aptos" w:eastAsia="Microsoft YaHei"/>
                <w:b/>
                <w:color w:val="1F4E79"/>
                <w:sz w:val="21"/>
              </w:rPr>
              <w:t>该增强的三个绑定条件</w:t>
            </w:r>
          </w:p>
          <w:p>
            <w:pPr>
              <w:spacing w:after="0" w:line="276" w:lineRule="auto"/>
            </w:pPr>
            <w:r>
              <w:rPr>
                <w:rFonts w:ascii="Aptos" w:hAnsi="Aptos" w:eastAsia="Microsoft YaHei"/>
                <w:sz w:val="20"/>
              </w:rPr>
              <w:t>扰动方向来自患者图逆校准的 Hessian；两个视图采用正负反向配对；安全约束只针对 DD-KAC 实际访问的患者 Krylov 子空间。三者缺一不可。</w:t>
            </w:r>
          </w:p>
        </w:tc>
      </w:tr>
    </w:tbl>
    <w:p>
      <w:pPr>
        <w:spacing w:after="20"/>
        <w:widowControl/>
      </w:pPr>
    </w:p>
    <w:p>
      <w:pPr>
        <w:pStyle w:val="Heading1"/>
        <w:keepNext/>
        <w:widowControl/>
      </w:pPr>
      <w:r>
        <w:t>6. 核心创新四：图校准—频率路由切空间可辨识性</w:t>
      </w:r>
    </w:p>
    <w:p>
      <w:pPr>
        <w:pStyle w:val="Heading2"/>
        <w:keepNext/>
        <w:widowControl/>
      </w:pPr>
      <w:r>
        <w:t>6.1 问题来源</w:t>
      </w:r>
    </w:p>
    <w:p>
      <w:pPr>
        <w:spacing w:line="300" w:lineRule="auto" w:after="120"/>
        <w:ind w:firstLine="420"/>
        <w:jc w:val="both"/>
        <w:widowControl/>
      </w:pPr>
      <w:r>
        <w:rPr>
          <w:rFonts w:ascii="Aptos" w:hAnsi="Aptos" w:eastAsia="Microsoft YaHei"/>
          <w:i w:val="0"/>
          <w:sz w:val="21"/>
        </w:rPr>
        <w:t>DD-KAC 同时具有患者图参数 aₚ 和患者频率路由参数 θₚ。二者都能改变结构分支表示，因此可能相互补偿：图结构发生错误变化后，频率路由通过改变多项式权重仍然得到相似输出；反之亦然。单纯分阶段训练只能缓解优化问题，无法从目标函数上限制这种不可辨识性。</w:t>
      </w:r>
    </w:p>
    <w:p>
      <w:pPr>
        <w:pStyle w:val="Heading2"/>
        <w:keepNext/>
        <w:widowControl/>
      </w:pPr>
      <w:r>
        <w:t>6.2 共享患者频率路由</w:t>
      </w:r>
    </w:p>
    <w:p>
      <w:pPr>
        <w:spacing w:line="300" w:lineRule="auto" w:after="120"/>
        <w:ind w:firstLine="420"/>
        <w:jc w:val="both"/>
        <w:widowControl/>
      </w:pPr>
      <w:r>
        <w:rPr>
          <w:rFonts w:ascii="Aptos" w:hAnsi="Aptos" w:eastAsia="Microsoft YaHei"/>
          <w:i w:val="0"/>
          <w:sz w:val="21"/>
        </w:rPr>
        <w:t>先基于基础患者图计算一次患者频率路由：</w:t>
      </w:r>
    </w:p>
    <w:p>
      <w:pPr>
        <w:keepLines/>
        <w:spacing w:before="80" w:after="140"/>
        <w:jc w:val="center"/>
        <w:widowControl/>
      </w:pPr>
      <w:r>
        <w:rPr>
          <w:rFonts w:ascii="Cambria Math" w:hAnsi="Cambria Math" w:eastAsia="Cambria Math"/>
          <w:sz w:val="22"/>
        </w:rPr>
        <w:t>θₚ = Rθ(xₚ, Sₚ).</w:t>
      </w:r>
    </w:p>
    <w:p>
      <w:pPr>
        <w:spacing w:line="300" w:lineRule="auto" w:after="120"/>
        <w:ind w:firstLine="420"/>
        <w:jc w:val="both"/>
        <w:widowControl/>
      </w:pPr>
      <w:r>
        <w:rPr>
          <w:rFonts w:ascii="Aptos" w:hAnsi="Aptos" w:eastAsia="Microsoft YaHei"/>
          <w:i w:val="0"/>
          <w:sz w:val="21"/>
        </w:rPr>
        <w:t>两个反向增强视图共享同一组 θₚ：</w:t>
      </w:r>
    </w:p>
    <w:p>
      <w:pPr>
        <w:keepLines/>
        <w:spacing w:before="80" w:after="140"/>
        <w:jc w:val="center"/>
        <w:widowControl/>
      </w:pPr>
      <w:r>
        <w:rPr>
          <w:rFonts w:ascii="Cambria Math" w:hAnsi="Cambria Math" w:eastAsia="Cambria Math"/>
          <w:sz w:val="22"/>
        </w:rPr>
        <w:t>hstruct,ₚ⁽±⁾ = Σʳ₌₀ᴿ θₚ,ʳ Tᵣ(Ŝₚ⁽±⁾) xₚ.</w:t>
      </w:r>
    </w:p>
    <w:p>
      <w:pPr>
        <w:spacing w:line="300" w:lineRule="auto" w:after="120"/>
        <w:ind w:firstLine="420"/>
        <w:jc w:val="both"/>
        <w:widowControl/>
      </w:pPr>
      <w:r>
        <w:rPr>
          <w:rFonts w:ascii="Aptos" w:hAnsi="Aptos" w:eastAsia="Microsoft YaHei"/>
          <w:i w:val="0"/>
          <w:sz w:val="21"/>
        </w:rPr>
        <w:t>共享路由本身不单独作为创新点，而是为了确保两个视图的表示差异主要来自图算子扰动，而不是路由器重新适配。</w:t>
      </w:r>
    </w:p>
    <w:p>
      <w:pPr>
        <w:pStyle w:val="Heading2"/>
        <w:keepNext/>
        <w:widowControl/>
      </w:pPr>
      <w:r>
        <w:t>6.3 切空间相关损失</w:t>
      </w:r>
    </w:p>
    <w:p>
      <w:pPr>
        <w:spacing w:line="300" w:lineRule="auto" w:after="120"/>
        <w:ind w:firstLine="420"/>
        <w:jc w:val="both"/>
        <w:widowControl/>
      </w:pPr>
      <w:r>
        <w:rPr>
          <w:rFonts w:ascii="Aptos" w:hAnsi="Aptos" w:eastAsia="Microsoft YaHei"/>
          <w:i w:val="0"/>
          <w:sz w:val="21"/>
        </w:rPr>
        <w:t>设基础患者图上的结构表示为 hₚ = hstruct(aₚ, θₚ)，定义：</w:t>
      </w:r>
    </w:p>
    <w:p>
      <w:pPr>
        <w:keepLines/>
        <w:spacing w:before="80" w:after="140"/>
        <w:jc w:val="center"/>
        <w:widowControl/>
      </w:pPr>
      <w:r>
        <w:rPr>
          <w:rFonts w:ascii="Cambria Math" w:hAnsi="Cambria Math" w:eastAsia="Cambria Math"/>
          <w:sz w:val="22"/>
        </w:rPr>
        <w:t>Jₐ,ₚ = ∂hₚ/∂aₚ,    Jθ,ₚ = ∂hₚ/∂θₚ.</w:t>
      </w:r>
    </w:p>
    <w:p>
      <w:pPr>
        <w:spacing w:line="300" w:lineRule="auto" w:after="120"/>
        <w:ind w:firstLine="420"/>
        <w:jc w:val="both"/>
        <w:widowControl/>
      </w:pPr>
      <w:r>
        <w:rPr>
          <w:rFonts w:ascii="Aptos" w:hAnsi="Aptos" w:eastAsia="Microsoft YaHei"/>
          <w:i w:val="0"/>
          <w:sz w:val="21"/>
        </w:rPr>
        <w:t>加入归一化切空间相关损失：</w:t>
      </w:r>
    </w:p>
    <w:p>
      <w:pPr>
        <w:keepLines/>
        <w:spacing w:before="80" w:after="140"/>
        <w:jc w:val="center"/>
        <w:widowControl/>
      </w:pPr>
      <w:r>
        <w:rPr>
          <w:rFonts w:ascii="Cambria Math" w:hAnsi="Cambria Math" w:eastAsia="Cambria Math"/>
          <w:sz w:val="22"/>
        </w:rPr>
        <w:t>ℒid = ‖(JₐᵀJₐ + τI)⁻¹ᐟ² JₐᵀJθ (JθᵀJθ + τI)⁻¹ᐟ²‖F².</w:t>
      </w:r>
    </w:p>
    <w:p>
      <w:pPr>
        <w:spacing w:line="300" w:lineRule="auto" w:after="120"/>
        <w:ind w:firstLine="420"/>
        <w:jc w:val="both"/>
        <w:widowControl/>
      </w:pPr>
      <w:r>
        <w:rPr>
          <w:rFonts w:ascii="Aptos" w:hAnsi="Aptos" w:eastAsia="Microsoft YaHei"/>
          <w:i w:val="0"/>
          <w:sz w:val="21"/>
        </w:rPr>
        <w:t>该损失直接衡量图校准参数与频率路由参数对表示产生的局部作用空间重合程度。最小化后，图参数更倾向于解释患者扩散几何变化，频率参数更倾向于解释给定图上的滤波偏好。</w:t>
      </w:r>
    </w:p>
    <w:p>
      <w:pPr>
        <w:spacing w:line="300" w:lineRule="auto" w:after="120"/>
        <w:ind w:firstLine="420"/>
        <w:jc w:val="both"/>
        <w:widowControl/>
      </w:pPr>
      <w:r>
        <w:rPr>
          <w:rFonts w:ascii="Aptos" w:hAnsi="Aptos" w:eastAsia="Microsoft YaHei"/>
          <w:i w:val="0"/>
          <w:sz w:val="21"/>
        </w:rPr>
        <w:t>工程上无需显式构造完整 Jacobian，可使用随机向量、JVP/VJP、Hutchinson 估计或低秩近似实现。</w:t>
      </w:r>
    </w:p>
    <w:p>
      <w:pPr>
        <w:pStyle w:val="Heading1"/>
        <w:keepNext/>
        <w:widowControl/>
      </w:pPr>
      <w:r>
        <w:t>7. 完整模型与训练目标</w:t>
      </w:r>
    </w:p>
    <w:p>
      <w:pPr>
        <w:pStyle w:val="Heading2"/>
        <w:keepNext/>
        <w:widowControl/>
      </w:pPr>
      <w:r>
        <w:t>7.1 结构编码与双分支融合</w:t>
      </w:r>
    </w:p>
    <w:p>
      <w:pPr>
        <w:spacing w:line="300" w:lineRule="auto" w:after="120"/>
        <w:ind w:firstLine="420"/>
        <w:jc w:val="both"/>
        <w:widowControl/>
      </w:pPr>
      <w:r>
        <w:rPr>
          <w:rFonts w:ascii="Aptos" w:hAnsi="Aptos" w:eastAsia="Microsoft YaHei"/>
          <w:i w:val="0"/>
          <w:sz w:val="21"/>
        </w:rPr>
        <w:t>在基础患者图及两个反向视图上运行 DD-KAC 结构分支。值域分支保持原有设计，结构分支使用共享患者频率路由。最终患者表示可写为：</w:t>
      </w:r>
    </w:p>
    <w:p>
      <w:pPr>
        <w:keepLines/>
        <w:spacing w:before="80" w:after="140"/>
        <w:jc w:val="center"/>
        <w:widowControl/>
      </w:pPr>
      <w:r>
        <w:rPr>
          <w:rFonts w:ascii="Cambria Math" w:hAnsi="Cambria Math" w:eastAsia="Cambria Math"/>
          <w:sz w:val="22"/>
        </w:rPr>
        <w:t>gₚ = Fusion(hvalue,ₚ, hstruct,ₚ, xₚ).</w:t>
      </w:r>
    </w:p>
    <w:p>
      <w:pPr>
        <w:spacing w:line="300" w:lineRule="auto" w:after="120"/>
        <w:ind w:firstLine="420"/>
        <w:jc w:val="both"/>
        <w:widowControl/>
      </w:pPr>
      <w:r>
        <w:rPr>
          <w:rFonts w:ascii="Aptos" w:hAnsi="Aptos" w:eastAsia="Microsoft YaHei"/>
          <w:i w:val="0"/>
          <w:sz w:val="21"/>
        </w:rPr>
        <w:t>为避免值域分支绕过图结构，可继续保留结构分支一致性和融合表示一致性，但它们只作为配套训练目标，不再作为主要创新。</w:t>
      </w:r>
    </w:p>
    <w:p>
      <w:pPr>
        <w:pStyle w:val="Heading2"/>
        <w:keepNext/>
        <w:widowControl/>
      </w:pPr>
      <w:r>
        <w:t>7.2 建议总损失</w:t>
      </w:r>
    </w:p>
    <w:p>
      <w:pPr>
        <w:keepLines/>
        <w:spacing w:before="80" w:after="140"/>
        <w:jc w:val="center"/>
        <w:widowControl/>
      </w:pPr>
      <w:r>
        <w:rPr>
          <w:rFonts w:ascii="Cambria Math" w:hAnsi="Cambria Math" w:eastAsia="Cambria Math"/>
          <w:sz w:val="22"/>
        </w:rPr>
        <w:t>ℒ = ℒsurv + λmomℒmoment + λρρₚ + λantiℒanti + λidℒid + λstructℒstruct + λfusionℒfusion + λregℒreg.</w:t>
      </w:r>
    </w:p>
    <w:p>
      <w:pPr>
        <w:pStyle w:val="ListBullet"/>
        <w:spacing w:after="60" w:line="276" w:lineRule="auto"/>
        <w:widowControl/>
      </w:pPr>
      <w:r>
        <w:rPr>
          <w:rFonts w:ascii="Aptos" w:hAnsi="Aptos" w:eastAsia="Microsoft YaHei"/>
          <w:sz w:val="21"/>
        </w:rPr>
        <w:t>ℒsurv：Cox、离散时间生存或其他生存预测损失。</w:t>
      </w:r>
    </w:p>
    <w:p>
      <w:pPr>
        <w:pStyle w:val="ListBullet"/>
        <w:spacing w:after="60" w:line="276" w:lineRule="auto"/>
        <w:widowControl/>
      </w:pPr>
      <w:r>
        <w:rPr>
          <w:rFonts w:ascii="Aptos" w:hAnsi="Aptos" w:eastAsia="Microsoft YaHei"/>
          <w:sz w:val="21"/>
        </w:rPr>
        <w:t>ℒmoment：患者目标 Chebyshev 响应矩匹配误差。</w:t>
      </w:r>
    </w:p>
    <w:p>
      <w:pPr>
        <w:pStyle w:val="ListBullet"/>
        <w:spacing w:after="60" w:line="276" w:lineRule="auto"/>
        <w:widowControl/>
      </w:pPr>
      <w:r>
        <w:rPr>
          <w:rFonts w:ascii="Aptos" w:hAnsi="Aptos" w:eastAsia="Microsoft YaHei"/>
          <w:sz w:val="21"/>
        </w:rPr>
        <w:t>ρₚ：最小证据信赖域惩罚。</w:t>
      </w:r>
    </w:p>
    <w:p>
      <w:pPr>
        <w:pStyle w:val="ListBullet"/>
        <w:spacing w:after="60" w:line="276" w:lineRule="auto"/>
        <w:widowControl/>
      </w:pPr>
      <w:r>
        <w:rPr>
          <w:rFonts w:ascii="Aptos" w:hAnsi="Aptos" w:eastAsia="Microsoft YaHei"/>
          <w:sz w:val="21"/>
        </w:rPr>
        <w:t>ℒanti：正负反向视图的一致性与中心性约束。</w:t>
      </w:r>
    </w:p>
    <w:p>
      <w:pPr>
        <w:pStyle w:val="ListBullet"/>
        <w:spacing w:after="60" w:line="276" w:lineRule="auto"/>
        <w:widowControl/>
      </w:pPr>
      <w:r>
        <w:rPr>
          <w:rFonts w:ascii="Aptos" w:hAnsi="Aptos" w:eastAsia="Microsoft YaHei"/>
          <w:sz w:val="21"/>
        </w:rPr>
        <w:t>ℒid：图校准—频率路由切空间可辨识性约束。</w:t>
      </w:r>
    </w:p>
    <w:p>
      <w:pPr>
        <w:pStyle w:val="ListBullet"/>
        <w:spacing w:after="60" w:line="276" w:lineRule="auto"/>
        <w:widowControl/>
      </w:pPr>
      <w:r>
        <w:rPr>
          <w:rFonts w:ascii="Aptos" w:hAnsi="Aptos" w:eastAsia="Microsoft YaHei"/>
          <w:sz w:val="21"/>
        </w:rPr>
        <w:t>ℒstruct：结构分支表示一致性。</w:t>
      </w:r>
    </w:p>
    <w:p>
      <w:pPr>
        <w:pStyle w:val="ListBullet"/>
        <w:spacing w:after="60" w:line="276" w:lineRule="auto"/>
        <w:widowControl/>
      </w:pPr>
      <w:r>
        <w:rPr>
          <w:rFonts w:ascii="Aptos" w:hAnsi="Aptos" w:eastAsia="Microsoft YaHei"/>
          <w:sz w:val="21"/>
        </w:rPr>
        <w:t>ℒfusion：融合患者表示一致性。</w:t>
      </w:r>
    </w:p>
    <w:p>
      <w:pPr>
        <w:pStyle w:val="ListBullet"/>
        <w:spacing w:after="60" w:line="276" w:lineRule="auto"/>
        <w:widowControl/>
      </w:pPr>
      <w:r>
        <w:rPr>
          <w:rFonts w:ascii="Aptos" w:hAnsi="Aptos" w:eastAsia="Microsoft YaHei"/>
          <w:sz w:val="21"/>
        </w:rPr>
        <w:t>ℒreg：字典正交、边权范围和参数稳定性正则。</w:t>
      </w:r>
    </w:p>
    <w:p>
      <w:pPr>
        <w:pStyle w:val="Heading2"/>
        <w:keepNext/>
        <w:widowControl/>
      </w:pPr>
      <w:r>
        <w:t>7.3 训练策略</w:t>
      </w:r>
    </w:p>
    <w:p>
      <w:pPr>
        <w:spacing w:line="300" w:lineRule="auto" w:after="120"/>
        <w:ind w:firstLine="420"/>
        <w:jc w:val="both"/>
        <w:widowControl/>
      </w:pPr>
      <w:r>
        <w:rPr>
          <w:rFonts w:ascii="Aptos" w:hAnsi="Aptos" w:eastAsia="Microsoft YaHei"/>
          <w:i w:val="0"/>
          <w:sz w:val="21"/>
        </w:rPr>
        <w:t>分阶段训练可以继续作为优化技巧，但论文中不应把它写成算法创新。推荐使用“预热 + 联合训练”的简化方案：</w:t>
      </w:r>
    </w:p>
    <w:p>
      <w:pPr>
        <w:spacing w:after="60" w:line="276" w:lineRule="auto"/>
        <w:ind w:left="312" w:hanging="312"/>
        <w:widowControl/>
      </w:pPr>
      <w:r>
        <w:rPr>
          <w:rFonts w:ascii="Aptos" w:hAnsi="Aptos" w:eastAsia="Microsoft YaHei"/>
          <w:sz w:val="21"/>
        </w:rPr>
        <w:t xml:space="preserve">1. </w:t>
      </w:r>
      <w:r>
        <w:rPr>
          <w:rFonts w:ascii="Aptos" w:hAnsi="Aptos" w:eastAsia="Microsoft YaHei"/>
          <w:sz w:val="21"/>
        </w:rPr>
        <w:t>预热阶段：固定或弱更新 DD-KAC，训练目标响应预测器与图逆校准模块，使患者图不依赖频率路由吸收误差。</w:t>
      </w:r>
    </w:p>
    <w:p>
      <w:pPr>
        <w:spacing w:after="60" w:line="276" w:lineRule="auto"/>
        <w:ind w:left="312" w:hanging="312"/>
        <w:widowControl/>
      </w:pPr>
      <w:r>
        <w:rPr>
          <w:rFonts w:ascii="Aptos" w:hAnsi="Aptos" w:eastAsia="Microsoft YaHei"/>
          <w:sz w:val="21"/>
        </w:rPr>
        <w:t xml:space="preserve">2. </w:t>
      </w:r>
      <w:r>
        <w:rPr>
          <w:rFonts w:ascii="Aptos" w:hAnsi="Aptos" w:eastAsia="Microsoft YaHei"/>
          <w:sz w:val="21"/>
        </w:rPr>
        <w:t>联合阶段：开启 DD-KAC、反向增强和切空间可辨识性，使用较小图校准学习率进行端到端训练。</w:t>
      </w:r>
    </w:p>
    <w:p>
      <w:pPr>
        <w:spacing w:after="60" w:line="276" w:lineRule="auto"/>
        <w:ind w:left="312" w:hanging="312"/>
        <w:widowControl/>
      </w:pPr>
      <w:r>
        <w:rPr>
          <w:rFonts w:ascii="Aptos" w:hAnsi="Aptos" w:eastAsia="Microsoft YaHei"/>
          <w:sz w:val="21"/>
        </w:rPr>
        <w:t xml:space="preserve">3. </w:t>
      </w:r>
      <w:r>
        <w:rPr>
          <w:rFonts w:ascii="Aptos" w:hAnsi="Aptos" w:eastAsia="Microsoft YaHei"/>
          <w:sz w:val="21"/>
        </w:rPr>
        <w:t>稳定阶段：逐渐提高 λid、λanti 或结构一致性权重，防止训练早期过强约束导致欠拟合。</w:t>
      </w:r>
    </w:p>
    <w:p>
      <w:pPr>
        <w:pStyle w:val="Heading1"/>
        <w:keepNext/>
        <w:widowControl/>
      </w:pPr>
      <w:r>
        <w:t>8. 原 15 项设计的最终去留</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rPr>
        <w:tc>
          <w:tcPr>
            <w:tcW w:type="dxa" w:w="2465"/>
            <w:shd w:fill="D9EAF7"/>
            <w:tcMar>
              <w:top w:w="80" w:type="dxa"/>
              <w:start w:w="100" w:type="dxa"/>
              <w:bottom w:w="80" w:type="dxa"/>
              <w:end w:w="100" w:type="dxa"/>
            </w:tcMar>
            <w:vAlign w:val="center"/>
          </w:tcPr>
          <w:p>
            <w:r>
              <w:rPr>
                <w:rFonts w:ascii="Aptos" w:hAnsi="Aptos" w:eastAsia="Microsoft YaHei"/>
                <w:b/>
                <w:sz w:val="19"/>
              </w:rPr>
              <w:t>编号</w:t>
            </w:r>
          </w:p>
        </w:tc>
        <w:tc>
          <w:tcPr>
            <w:tcW w:type="dxa" w:w="2465"/>
            <w:shd w:fill="D9EAF7"/>
            <w:tcMar>
              <w:top w:w="80" w:type="dxa"/>
              <w:start w:w="100" w:type="dxa"/>
              <w:bottom w:w="80" w:type="dxa"/>
              <w:end w:w="100" w:type="dxa"/>
            </w:tcMar>
            <w:vAlign w:val="center"/>
          </w:tcPr>
          <w:p>
            <w:r>
              <w:rPr>
                <w:rFonts w:ascii="Aptos" w:hAnsi="Aptos" w:eastAsia="Microsoft YaHei"/>
                <w:b/>
                <w:sz w:val="19"/>
              </w:rPr>
              <w:t>原设计</w:t>
            </w:r>
          </w:p>
        </w:tc>
        <w:tc>
          <w:tcPr>
            <w:tcW w:type="dxa" w:w="2465"/>
            <w:shd w:fill="D9EAF7"/>
            <w:tcMar>
              <w:top w:w="80" w:type="dxa"/>
              <w:start w:w="100" w:type="dxa"/>
              <w:bottom w:w="80" w:type="dxa"/>
              <w:end w:w="100" w:type="dxa"/>
            </w:tcMar>
            <w:vAlign w:val="center"/>
          </w:tcPr>
          <w:p>
            <w:r>
              <w:rPr>
                <w:rFonts w:ascii="Aptos" w:hAnsi="Aptos" w:eastAsia="Microsoft YaHei"/>
                <w:b/>
                <w:sz w:val="19"/>
              </w:rPr>
              <w:t>最终处理</w:t>
            </w:r>
          </w:p>
        </w:tc>
        <w:tc>
          <w:tcPr>
            <w:tcW w:type="dxa" w:w="2465"/>
            <w:shd w:fill="D9EAF7"/>
            <w:tcMar>
              <w:top w:w="80" w:type="dxa"/>
              <w:start w:w="100" w:type="dxa"/>
              <w:bottom w:w="80" w:type="dxa"/>
              <w:end w:w="100" w:type="dxa"/>
            </w:tcMar>
            <w:vAlign w:val="center"/>
          </w:tcPr>
          <w:p>
            <w:r>
              <w:rPr>
                <w:rFonts w:ascii="Aptos" w:hAnsi="Aptos" w:eastAsia="Microsoft YaHei"/>
                <w:b/>
                <w:sz w:val="19"/>
              </w:rPr>
              <w:t>新定位</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1</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固定生物先验候选边集合</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保留</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实现设定，不称创新</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2</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患者条件边权校准</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重构</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改为 Chebyshev 矩逆图校准</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3</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置信度×方向×半径参数化</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删除</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改为低维边形变字典 Paₚ</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4</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患者自适应信赖域半径</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重构</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改为最小证据信赖域联合求解</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5</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参考度预条件患者拉普拉斯</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保留并强化</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成为统一参考谱几何基础</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6</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共享 Chebyshev 缩放上界</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保留</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数值规范，不称创新</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7</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有效电阻/谱杠杆最低概率</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移出主方法</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仅作理论基线或对照</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8</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谱下界之上加入边置信度</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删除</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改为 Hessian 校准不确定性</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9</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按采样概率倒数重加权</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删除</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不再使用 Bernoulli 稀疏化</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10</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独立采样两个增强视图</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重构</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改为正负反向中心配对视图</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11</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两个视图共享频率路由</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保留</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作为控制设计，不单列创新</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12</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结构+融合一致性+门控锚定</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重构</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核心改为图—频率切空间可辨识性</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13</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VICReg 替代 InfoNCE</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可选</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训练损失，不称创新</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14</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三阶段训练</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降级</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优化协议，不称创新</w:t>
            </w:r>
          </w:p>
        </w:tc>
      </w:tr>
      <w:tr>
        <w:trPr>
          <w:cantSplit/>
        </w:trPr>
        <w:tc>
          <w:tcPr>
            <w:tcW w:type="dxa" w:w="567"/>
            <w:tcMar>
              <w:top w:w="80" w:type="dxa"/>
              <w:start w:w="100" w:type="dxa"/>
              <w:bottom w:w="80" w:type="dxa"/>
              <w:end w:w="100" w:type="dxa"/>
            </w:tcMar>
            <w:vAlign w:val="center"/>
          </w:tcPr>
          <w:p>
            <w:pPr>
              <w:spacing w:after="0" w:line="252" w:lineRule="auto"/>
            </w:pPr>
            <w:r>
              <w:rPr>
                <w:rFonts w:ascii="Aptos" w:hAnsi="Aptos" w:eastAsia="Microsoft YaHei"/>
                <w:sz w:val="17"/>
              </w:rPr>
              <w:t>15</w:t>
            </w:r>
          </w:p>
        </w:tc>
        <w:tc>
          <w:tcPr>
            <w:tcW w:type="dxa" w:w="2835"/>
            <w:tcMar>
              <w:top w:w="80" w:type="dxa"/>
              <w:start w:w="100" w:type="dxa"/>
              <w:bottom w:w="80" w:type="dxa"/>
              <w:end w:w="100" w:type="dxa"/>
            </w:tcMar>
            <w:vAlign w:val="center"/>
          </w:tcPr>
          <w:p>
            <w:pPr>
              <w:spacing w:after="0" w:line="252" w:lineRule="auto"/>
            </w:pPr>
            <w:r>
              <w:rPr>
                <w:rFonts w:ascii="Aptos" w:hAnsi="Aptos" w:eastAsia="Microsoft YaHei"/>
                <w:sz w:val="17"/>
              </w:rPr>
              <w:t>边误差到风险误差传递界</w:t>
            </w:r>
          </w:p>
        </w:tc>
        <w:tc>
          <w:tcPr>
            <w:tcW w:type="dxa" w:w="1474"/>
            <w:tcMar>
              <w:top w:w="80" w:type="dxa"/>
              <w:start w:w="100" w:type="dxa"/>
              <w:bottom w:w="80" w:type="dxa"/>
              <w:end w:w="100" w:type="dxa"/>
            </w:tcMar>
            <w:vAlign w:val="center"/>
          </w:tcPr>
          <w:p>
            <w:pPr>
              <w:spacing w:after="0" w:line="252" w:lineRule="auto"/>
            </w:pPr>
            <w:r>
              <w:rPr>
                <w:rFonts w:ascii="Aptos" w:hAnsi="Aptos" w:eastAsia="Microsoft YaHei"/>
                <w:sz w:val="17"/>
              </w:rPr>
              <w:t>强化</w:t>
            </w:r>
          </w:p>
        </w:tc>
        <w:tc>
          <w:tcPr>
            <w:tcW w:type="dxa" w:w="4082"/>
            <w:tcMar>
              <w:top w:w="80" w:type="dxa"/>
              <w:start w:w="100" w:type="dxa"/>
              <w:bottom w:w="80" w:type="dxa"/>
              <w:end w:w="100" w:type="dxa"/>
            </w:tcMar>
            <w:vAlign w:val="center"/>
          </w:tcPr>
          <w:p>
            <w:pPr>
              <w:spacing w:after="0" w:line="252" w:lineRule="auto"/>
            </w:pPr>
            <w:r>
              <w:rPr>
                <w:rFonts w:ascii="Aptos" w:hAnsi="Aptos" w:eastAsia="Microsoft YaHei"/>
                <w:sz w:val="17"/>
              </w:rPr>
              <w:t>改为新算法特定的两类理论结果</w:t>
            </w:r>
          </w:p>
        </w:tc>
      </w:tr>
    </w:tbl>
    <w:p>
      <w:pPr>
        <w:pStyle w:val="Heading1"/>
        <w:keepNext/>
        <w:widowControl/>
      </w:pPr>
      <w:r>
        <w:t>9. 理论贡献路线</w:t>
      </w:r>
    </w:p>
    <w:p>
      <w:pPr>
        <w:pStyle w:val="Heading2"/>
        <w:keepNext/>
        <w:widowControl/>
      </w:pPr>
      <w:r>
        <w:t>9.1 定理一：Krylov 安全增强到生存风险的稳定性</w:t>
      </w:r>
    </w:p>
    <w:p>
      <w:pPr>
        <w:spacing w:line="300" w:lineRule="auto" w:after="120"/>
        <w:ind w:firstLine="420"/>
        <w:jc w:val="both"/>
        <w:widowControl/>
      </w:pPr>
      <w:r>
        <w:rPr>
          <w:rFonts w:ascii="Aptos" w:hAnsi="Aptos" w:eastAsia="Microsoft YaHei"/>
          <w:i w:val="0"/>
          <w:sz w:val="21"/>
        </w:rPr>
        <w:t>首先证明反向增强在患者 Krylov 子空间上的算子作用误差：</w:t>
      </w:r>
    </w:p>
    <w:p>
      <w:pPr>
        <w:keepLines/>
        <w:spacing w:before="80" w:after="140"/>
        <w:jc w:val="center"/>
        <w:widowControl/>
      </w:pPr>
      <w:r>
        <w:rPr>
          <w:rFonts w:ascii="Cambria Math" w:hAnsi="Cambria Math" w:eastAsia="Cambria Math"/>
          <w:sz w:val="22"/>
        </w:rPr>
        <w:t>‖(Ŝₚ⁽±⁾ − Ŝₚ)Qₚ‖₂ ≤ ηₚ.</w:t>
      </w:r>
    </w:p>
    <w:p>
      <w:pPr>
        <w:spacing w:line="300" w:lineRule="auto" w:after="120"/>
        <w:ind w:firstLine="420"/>
        <w:jc w:val="both"/>
        <w:widowControl/>
      </w:pPr>
      <w:r>
        <w:rPr>
          <w:rFonts w:ascii="Aptos" w:hAnsi="Aptos" w:eastAsia="Microsoft YaHei"/>
          <w:i w:val="0"/>
          <w:sz w:val="21"/>
        </w:rPr>
        <w:t>再针对 DD-KAC 的真实 Chebyshev 递推，推导两个反向视图的结构表示差异：</w:t>
      </w:r>
    </w:p>
    <w:p>
      <w:pPr>
        <w:keepLines/>
        <w:spacing w:before="80" w:after="140"/>
        <w:jc w:val="center"/>
        <w:widowControl/>
      </w:pPr>
      <w:r>
        <w:rPr>
          <w:rFonts w:ascii="Cambria Math" w:hAnsi="Cambria Math" w:eastAsia="Cambria Math"/>
          <w:sz w:val="22"/>
        </w:rPr>
        <w:t>‖Hθₚ(Ŝₚ⁽⁺⁾)xₚ − Hθₚ(Ŝₚ⁽⁻⁾)xₚ‖₂ ≤ Cᴿ,θₚ ηₚ ‖xₚ‖₂.</w:t>
      </w:r>
    </w:p>
    <w:p>
      <w:pPr>
        <w:spacing w:line="300" w:lineRule="auto" w:after="120"/>
        <w:ind w:firstLine="420"/>
        <w:jc w:val="both"/>
        <w:widowControl/>
      </w:pPr>
      <w:r>
        <w:rPr>
          <w:rFonts w:ascii="Aptos" w:hAnsi="Aptos" w:eastAsia="Microsoft YaHei"/>
          <w:i w:val="0"/>
          <w:sz w:val="21"/>
        </w:rPr>
        <w:t>若融合模块和生存头分别为 Kf 与 Kr-Lipschitz，则：</w:t>
      </w:r>
    </w:p>
    <w:p>
      <w:pPr>
        <w:keepLines/>
        <w:spacing w:before="80" w:after="140"/>
        <w:jc w:val="center"/>
        <w:widowControl/>
      </w:pPr>
      <w:r>
        <w:rPr>
          <w:rFonts w:ascii="Cambria Math" w:hAnsi="Cambria Math" w:eastAsia="Cambria Math"/>
          <w:sz w:val="22"/>
        </w:rPr>
        <w:t>|rₚ⁽⁺⁾ − rₚ⁽⁻⁾| ≤ KrKf Cᴿ,θₚ ηₚ ‖xₚ‖₂.</w:t>
      </w:r>
    </w:p>
    <w:p>
      <w:pPr>
        <w:spacing w:line="300" w:lineRule="auto" w:after="120"/>
        <w:ind w:firstLine="420"/>
        <w:jc w:val="both"/>
        <w:widowControl/>
      </w:pPr>
      <w:r>
        <w:rPr>
          <w:rFonts w:ascii="Aptos" w:hAnsi="Aptos" w:eastAsia="Microsoft YaHei"/>
          <w:i w:val="0"/>
          <w:sz w:val="21"/>
        </w:rPr>
        <w:t>该结果不是一般谱稀疏化稳定性，而是针对患者功能探针、共享频率路由、反向配对视图和 DD-KAC Chebyshev 结构分支的任务特定界。</w:t>
      </w:r>
    </w:p>
    <w:p>
      <w:pPr>
        <w:pStyle w:val="Heading2"/>
        <w:keepNext/>
        <w:widowControl/>
      </w:pPr>
      <w:r>
        <w:t>9.2 定理二：图参数与频率参数的局部可辨识性</w:t>
      </w:r>
    </w:p>
    <w:p>
      <w:pPr>
        <w:spacing w:line="300" w:lineRule="auto" w:after="120"/>
        <w:ind w:firstLine="420"/>
        <w:jc w:val="both"/>
        <w:widowControl/>
      </w:pPr>
      <w:r>
        <w:rPr>
          <w:rFonts w:ascii="Aptos" w:hAnsi="Aptos" w:eastAsia="Microsoft YaHei"/>
          <w:i w:val="0"/>
          <w:sz w:val="21"/>
        </w:rPr>
        <w:t>定义归一化切空间最大相关性：</w:t>
      </w:r>
    </w:p>
    <w:p>
      <w:pPr>
        <w:keepLines/>
        <w:spacing w:before="80" w:after="140"/>
        <w:jc w:val="center"/>
        <w:widowControl/>
      </w:pPr>
      <w:r>
        <w:rPr>
          <w:rFonts w:ascii="Cambria Math" w:hAnsi="Cambria Math" w:eastAsia="Cambria Math"/>
          <w:sz w:val="22"/>
        </w:rPr>
        <w:t>κₚ = ‖(JₐᵀJₐ+τI)⁻¹ᐟ²JₐᵀJθ(JθᵀJθ+τI)⁻¹ᐟ²‖₂.</w:t>
      </w:r>
    </w:p>
    <w:p>
      <w:pPr>
        <w:spacing w:line="300" w:lineRule="auto" w:after="120"/>
        <w:ind w:firstLine="420"/>
        <w:jc w:val="both"/>
        <w:widowControl/>
      </w:pPr>
      <w:r>
        <w:rPr>
          <w:rFonts w:ascii="Aptos" w:hAnsi="Aptos" w:eastAsia="Microsoft YaHei"/>
          <w:i w:val="0"/>
          <w:sz w:val="21"/>
        </w:rPr>
        <w:t>当 κₚ &lt; 1 时，对联合 Gauss–Newton 矩阵 Gₚ 的最小特征值建立下界：</w:t>
      </w:r>
    </w:p>
    <w:p>
      <w:pPr>
        <w:keepLines/>
        <w:spacing w:before="80" w:after="140"/>
        <w:jc w:val="center"/>
        <w:widowControl/>
      </w:pPr>
      <w:r>
        <w:rPr>
          <w:rFonts w:ascii="Cambria Math" w:hAnsi="Cambria Math" w:eastAsia="Cambria Math"/>
          <w:sz w:val="22"/>
        </w:rPr>
        <w:t>λmin(Gₚ) ≥ (1 − κₚ) min{λmin(JₐᵀJₐ), λmin(JθᵀJθ)}.</w:t>
      </w:r>
    </w:p>
    <w:p>
      <w:pPr>
        <w:spacing w:line="300" w:lineRule="auto" w:after="120"/>
        <w:ind w:firstLine="420"/>
        <w:jc w:val="both"/>
        <w:widowControl/>
      </w:pPr>
      <w:r>
        <w:rPr>
          <w:rFonts w:ascii="Aptos" w:hAnsi="Aptos" w:eastAsia="Microsoft YaHei"/>
          <w:i w:val="0"/>
          <w:sz w:val="21"/>
        </w:rPr>
        <w:t>其含义是：图校准方向与频率路由方向不存在完全重合的局部作用子空间，从而降低二者通过反向补偿产生同一患者表示的可能性。</w:t>
      </w:r>
    </w:p>
    <w:p>
      <w:pPr>
        <w:pStyle w:val="Heading2"/>
        <w:keepNext/>
        <w:widowControl/>
      </w:pPr>
      <w:r>
        <w:t>9.3 可选命题：最小证据信赖域的先验回退</w:t>
      </w:r>
    </w:p>
    <w:p>
      <w:pPr>
        <w:spacing w:line="300" w:lineRule="auto" w:after="120"/>
        <w:ind w:firstLine="420"/>
        <w:jc w:val="both"/>
        <w:widowControl/>
      </w:pPr>
      <w:r>
        <w:rPr>
          <w:rFonts w:ascii="Aptos" w:hAnsi="Aptos" w:eastAsia="Microsoft YaHei"/>
          <w:i w:val="0"/>
          <w:sz w:val="21"/>
        </w:rPr>
        <w:t>可进一步证明，当目标响应变化 Δμₚ 接近 0、精度权重有界且正则充分强时，最优图形变满足 aₚ* → 0、ρₚ* → 0，患者图自动回退到先验图。这一命题可支撑“缺乏患者证据时不随意改图”的解释。</w:t>
      </w:r>
    </w:p>
    <w:p>
      <w:pPr>
        <w:pStyle w:val="Heading1"/>
        <w:keepNext/>
        <w:widowControl/>
      </w:pPr>
      <w:r>
        <w:t>10. 实验设计与必要消融</w:t>
      </w:r>
    </w:p>
    <w:p>
      <w:pPr>
        <w:pStyle w:val="Heading2"/>
        <w:keepNext/>
        <w:widowControl/>
      </w:pPr>
      <w:r>
        <w:t>10.1 主对比实验</w:t>
      </w:r>
    </w:p>
    <w:p>
      <w:pPr>
        <w:pStyle w:val="ListBullet"/>
        <w:spacing w:after="60" w:line="276" w:lineRule="auto"/>
        <w:widowControl/>
      </w:pPr>
      <w:r>
        <w:rPr>
          <w:rFonts w:ascii="Aptos" w:hAnsi="Aptos" w:eastAsia="Microsoft YaHei"/>
          <w:sz w:val="21"/>
        </w:rPr>
        <w:t>固定先验图 + 原 DD-KAC。</w:t>
      </w:r>
    </w:p>
    <w:p>
      <w:pPr>
        <w:pStyle w:val="ListBullet"/>
        <w:spacing w:after="60" w:line="276" w:lineRule="auto"/>
        <w:widowControl/>
      </w:pPr>
      <w:r>
        <w:rPr>
          <w:rFonts w:ascii="Aptos" w:hAnsi="Aptos" w:eastAsia="Microsoft YaHei"/>
          <w:sz w:val="21"/>
        </w:rPr>
        <w:t>普通患者边门控 + DD-KAC。</w:t>
      </w:r>
    </w:p>
    <w:p>
      <w:pPr>
        <w:pStyle w:val="ListBullet"/>
        <w:spacing w:after="60" w:line="276" w:lineRule="auto"/>
        <w:widowControl/>
      </w:pPr>
      <w:r>
        <w:rPr>
          <w:rFonts w:ascii="Aptos" w:hAnsi="Aptos" w:eastAsia="Microsoft YaHei"/>
          <w:sz w:val="21"/>
        </w:rPr>
        <w:t>参考度患者图算子 + 普通边门控。</w:t>
      </w:r>
    </w:p>
    <w:p>
      <w:pPr>
        <w:pStyle w:val="ListBullet"/>
        <w:spacing w:after="60" w:line="276" w:lineRule="auto"/>
        <w:widowControl/>
      </w:pPr>
      <w:r>
        <w:rPr>
          <w:rFonts w:ascii="Aptos" w:hAnsi="Aptos" w:eastAsia="Microsoft YaHei"/>
          <w:sz w:val="21"/>
        </w:rPr>
        <w:t>经典有效电阻谱增强 + DD-KAC。</w:t>
      </w:r>
    </w:p>
    <w:p>
      <w:pPr>
        <w:pStyle w:val="ListBullet"/>
        <w:spacing w:after="60" w:line="276" w:lineRule="auto"/>
        <w:widowControl/>
      </w:pPr>
      <w:r>
        <w:rPr>
          <w:rFonts w:ascii="Aptos" w:hAnsi="Aptos" w:eastAsia="Microsoft YaHei"/>
          <w:sz w:val="21"/>
        </w:rPr>
        <w:t>普通 Bernoulli 双视图 + VICReg/InfoNCE。</w:t>
      </w:r>
    </w:p>
    <w:p>
      <w:pPr>
        <w:pStyle w:val="ListBullet"/>
        <w:spacing w:after="60" w:line="276" w:lineRule="auto"/>
        <w:widowControl/>
      </w:pPr>
      <w:r>
        <w:rPr>
          <w:rFonts w:ascii="Aptos" w:hAnsi="Aptos" w:eastAsia="Microsoft YaHei"/>
          <w:sz w:val="21"/>
        </w:rPr>
        <w:t>完整 PC-CMKA-DDKAC。</w:t>
      </w:r>
    </w:p>
    <w:p>
      <w:pPr>
        <w:pStyle w:val="Heading2"/>
        <w:keepNext/>
        <w:widowControl/>
      </w:pPr>
      <w:r>
        <w:t>10.2 核心模块消融</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286"/>
            <w:shd w:fill="E2F0D9"/>
            <w:tcMar>
              <w:top w:w="80" w:type="dxa"/>
              <w:start w:w="100" w:type="dxa"/>
              <w:bottom w:w="80" w:type="dxa"/>
              <w:end w:w="100" w:type="dxa"/>
            </w:tcMar>
          </w:tcPr>
          <w:p>
            <w:r>
              <w:rPr>
                <w:rFonts w:ascii="Aptos" w:hAnsi="Aptos" w:eastAsia="Microsoft YaHei"/>
                <w:b/>
                <w:sz w:val="18"/>
              </w:rPr>
              <w:t>实验</w:t>
            </w:r>
          </w:p>
        </w:tc>
        <w:tc>
          <w:tcPr>
            <w:tcW w:type="dxa" w:w="3286"/>
            <w:shd w:fill="E2F0D9"/>
            <w:tcMar>
              <w:top w:w="80" w:type="dxa"/>
              <w:start w:w="100" w:type="dxa"/>
              <w:bottom w:w="80" w:type="dxa"/>
              <w:end w:w="100" w:type="dxa"/>
            </w:tcMar>
          </w:tcPr>
          <w:p>
            <w:r>
              <w:rPr>
                <w:rFonts w:ascii="Aptos" w:hAnsi="Aptos" w:eastAsia="Microsoft YaHei"/>
                <w:b/>
                <w:sz w:val="18"/>
              </w:rPr>
              <w:t>改动</w:t>
            </w:r>
          </w:p>
        </w:tc>
        <w:tc>
          <w:tcPr>
            <w:tcW w:type="dxa" w:w="3286"/>
            <w:shd w:fill="E2F0D9"/>
            <w:tcMar>
              <w:top w:w="80" w:type="dxa"/>
              <w:start w:w="100" w:type="dxa"/>
              <w:bottom w:w="80" w:type="dxa"/>
              <w:end w:w="100" w:type="dxa"/>
            </w:tcMar>
          </w:tcPr>
          <w:p>
            <w:r>
              <w:rPr>
                <w:rFonts w:ascii="Aptos" w:hAnsi="Aptos" w:eastAsia="Microsoft YaHei"/>
                <w:b/>
                <w:sz w:val="18"/>
              </w:rPr>
              <w:t>回答的问题</w:t>
            </w:r>
          </w:p>
        </w:tc>
      </w:tr>
      <w:tr>
        <w:trPr>
          <w:cantSplit/>
        </w:trPr>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A0</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完整模型</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最终性能与稳定性</w:t>
            </w:r>
          </w:p>
        </w:tc>
      </w:tr>
      <w:tr>
        <w:trPr>
          <w:cantSplit/>
        </w:trPr>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A1</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去掉 Chebyshev 矩逆校准，改为 MLP 直接输出 aₚ</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验证逆问题是否优于普通患者门控</w:t>
            </w:r>
          </w:p>
        </w:tc>
      </w:tr>
      <w:tr>
        <w:trPr>
          <w:cantSplit/>
        </w:trPr>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A2</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去掉最小证据信赖域，固定 ρ</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验证患者自适应最小偏移</w:t>
            </w:r>
          </w:p>
        </w:tc>
      </w:tr>
      <w:tr>
        <w:trPr>
          <w:cantSplit/>
        </w:trPr>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A3</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去掉功能探针，仅用全局随机探针</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验证生物功能方向的重要性</w:t>
            </w:r>
          </w:p>
        </w:tc>
      </w:tr>
      <w:tr>
        <w:trPr>
          <w:cantSplit/>
        </w:trPr>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A4</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去掉 Hessian，不确定方向改为各向同性噪声</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验证校准不确定性来源</w:t>
            </w:r>
          </w:p>
        </w:tc>
      </w:tr>
      <w:tr>
        <w:trPr>
          <w:cantSplit/>
        </w:trPr>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A5</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反向配对改为独立随机视图</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验证中心配对设计</w:t>
            </w:r>
          </w:p>
        </w:tc>
      </w:tr>
      <w:tr>
        <w:trPr>
          <w:cantSplit/>
        </w:trPr>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A6</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去掉 Krylov 安全约束</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验证任务相关谱稳定性</w:t>
            </w:r>
          </w:p>
        </w:tc>
      </w:tr>
      <w:tr>
        <w:trPr>
          <w:cantSplit/>
        </w:trPr>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A7</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两个视图分别计算频率路由</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验证共享路由的控制作用</w:t>
            </w:r>
          </w:p>
        </w:tc>
      </w:tr>
      <w:tr>
        <w:trPr>
          <w:cantSplit/>
        </w:trPr>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A8</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去掉切空间可辨识性 ℒid</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验证图—频率补偿问题</w:t>
            </w:r>
          </w:p>
        </w:tc>
      </w:tr>
      <w:tr>
        <w:trPr>
          <w:cantSplit/>
        </w:trPr>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A9</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仅结构一致性/仅融合一致性</w:t>
            </w:r>
          </w:p>
        </w:tc>
        <w:tc>
          <w:tcPr>
            <w:tcW w:type="dxa" w:w="3286"/>
            <w:tcMar>
              <w:top w:w="80" w:type="dxa"/>
              <w:start w:w="100" w:type="dxa"/>
              <w:bottom w:w="80" w:type="dxa"/>
              <w:end w:w="100" w:type="dxa"/>
            </w:tcMar>
            <w:vAlign w:val="center"/>
          </w:tcPr>
          <w:p>
            <w:pPr>
              <w:spacing w:after="0" w:line="252" w:lineRule="auto"/>
            </w:pPr>
            <w:r>
              <w:rPr>
                <w:rFonts w:ascii="Aptos" w:hAnsi="Aptos" w:eastAsia="Microsoft YaHei"/>
                <w:sz w:val="17"/>
              </w:rPr>
              <w:t>验证 DD-KAC 双分支防绕过</w:t>
            </w:r>
          </w:p>
        </w:tc>
      </w:tr>
    </w:tbl>
    <w:p>
      <w:pPr>
        <w:pStyle w:val="Heading2"/>
        <w:keepNext/>
        <w:widowControl/>
      </w:pPr>
      <w:r>
        <w:t>10.3 评价指标</w:t>
      </w:r>
    </w:p>
    <w:p>
      <w:pPr>
        <w:pStyle w:val="ListBullet"/>
        <w:spacing w:after="60" w:line="276" w:lineRule="auto"/>
        <w:widowControl/>
      </w:pPr>
      <w:r>
        <w:rPr>
          <w:rFonts w:ascii="Aptos" w:hAnsi="Aptos" w:eastAsia="Microsoft YaHei"/>
          <w:sz w:val="21"/>
        </w:rPr>
        <w:t>生存预测：C-index、time-dependent AUC、Integrated Brier Score、校准曲线。</w:t>
      </w:r>
    </w:p>
    <w:p>
      <w:pPr>
        <w:pStyle w:val="ListBullet"/>
        <w:spacing w:after="60" w:line="276" w:lineRule="auto"/>
        <w:widowControl/>
      </w:pPr>
      <w:r>
        <w:rPr>
          <w:rFonts w:ascii="Aptos" w:hAnsi="Aptos" w:eastAsia="Microsoft YaHei"/>
          <w:sz w:val="21"/>
        </w:rPr>
        <w:t>跨随机种子：均值、标准差、置信区间与显著性检验。</w:t>
      </w:r>
    </w:p>
    <w:p>
      <w:pPr>
        <w:pStyle w:val="ListBullet"/>
        <w:spacing w:after="60" w:line="276" w:lineRule="auto"/>
        <w:widowControl/>
      </w:pPr>
      <w:r>
        <w:rPr>
          <w:rFonts w:ascii="Aptos" w:hAnsi="Aptos" w:eastAsia="Microsoft YaHei"/>
          <w:sz w:val="21"/>
        </w:rPr>
        <w:t>患者图：ρₚ* 分布、边形变幅度、先验回退率、通路保持率。</w:t>
      </w:r>
    </w:p>
    <w:p>
      <w:pPr>
        <w:pStyle w:val="ListBullet"/>
        <w:spacing w:after="60" w:line="276" w:lineRule="auto"/>
        <w:widowControl/>
      </w:pPr>
      <w:r>
        <w:rPr>
          <w:rFonts w:ascii="Aptos" w:hAnsi="Aptos" w:eastAsia="Microsoft YaHei"/>
          <w:sz w:val="21"/>
        </w:rPr>
        <w:t>矩校准：目标矩误差、不同功能组/阶数的拟合误差。</w:t>
      </w:r>
    </w:p>
    <w:p>
      <w:pPr>
        <w:pStyle w:val="ListBullet"/>
        <w:spacing w:after="60" w:line="276" w:lineRule="auto"/>
        <w:widowControl/>
      </w:pPr>
      <w:r>
        <w:rPr>
          <w:rFonts w:ascii="Aptos" w:hAnsi="Aptos" w:eastAsia="Microsoft YaHei"/>
          <w:sz w:val="21"/>
        </w:rPr>
        <w:t>增强稳定性：Krylov 算子误差 ηₚ、正负视图中心性、结构表示差异。</w:t>
      </w:r>
    </w:p>
    <w:p>
      <w:pPr>
        <w:pStyle w:val="ListBullet"/>
        <w:spacing w:after="60" w:line="276" w:lineRule="auto"/>
        <w:widowControl/>
      </w:pPr>
      <w:r>
        <w:rPr>
          <w:rFonts w:ascii="Aptos" w:hAnsi="Aptos" w:eastAsia="Microsoft YaHei"/>
          <w:sz w:val="21"/>
        </w:rPr>
        <w:t>可辨识性：κₚ、联合 Gauss–Newton 条件数、图参数与频率参数梯度夹角。</w:t>
      </w:r>
    </w:p>
    <w:p>
      <w:pPr>
        <w:pStyle w:val="ListBullet"/>
        <w:spacing w:after="60" w:line="276" w:lineRule="auto"/>
        <w:widowControl/>
      </w:pPr>
      <w:r>
        <w:rPr>
          <w:rFonts w:ascii="Aptos" w:hAnsi="Aptos" w:eastAsia="Microsoft YaHei"/>
          <w:sz w:val="21"/>
        </w:rPr>
        <w:t>泛化：跨癌种、外部队列、缺失组学、噪声先验图和不同基因面板。</w:t>
      </w:r>
    </w:p>
    <w:p>
      <w:pPr>
        <w:pStyle w:val="Heading1"/>
        <w:keepNext/>
        <w:widowControl/>
      </w:pPr>
      <w:r>
        <w:t>11. 推荐的论文贡献表述</w:t>
      </w:r>
    </w:p>
    <w:p>
      <w:pPr>
        <w:spacing w:line="300" w:lineRule="auto" w:after="120"/>
        <w:ind w:firstLine="420"/>
        <w:jc w:val="both"/>
        <w:widowControl/>
      </w:pPr>
      <w:r>
        <w:rPr>
          <w:rFonts w:ascii="Aptos" w:hAnsi="Aptos" w:eastAsia="Microsoft YaHei"/>
          <w:i w:val="0"/>
          <w:sz w:val="21"/>
        </w:rPr>
        <w:t>正式论文中不应写“提出 15 个创新点”。建议只写以下四条贡献，并保证每条都有算法实现、消融和理论或可解释性证据：</w:t>
      </w:r>
    </w:p>
    <w:p>
      <w:pPr>
        <w:spacing w:after="60" w:line="276" w:lineRule="auto"/>
        <w:ind w:left="312" w:hanging="312"/>
        <w:widowControl/>
      </w:pPr>
      <w:r>
        <w:rPr>
          <w:rFonts w:ascii="Aptos" w:hAnsi="Aptos" w:eastAsia="Microsoft YaHei"/>
          <w:sz w:val="21"/>
        </w:rPr>
        <w:t xml:space="preserve">1. </w:t>
      </w:r>
      <w:r>
        <w:rPr>
          <w:rFonts w:ascii="Aptos" w:hAnsi="Aptos" w:eastAsia="Microsoft YaHei"/>
          <w:sz w:val="21"/>
        </w:rPr>
        <w:t>提出患者条件 Chebyshev 矩逆图校准：不直接输出边权，而是从患者功能组图扩散响应反推出固定生物先验支持上的患者图。</w:t>
      </w:r>
    </w:p>
    <w:p>
      <w:pPr>
        <w:spacing w:after="60" w:line="276" w:lineRule="auto"/>
        <w:ind w:left="312" w:hanging="312"/>
        <w:widowControl/>
      </w:pPr>
      <w:r>
        <w:rPr>
          <w:rFonts w:ascii="Aptos" w:hAnsi="Aptos" w:eastAsia="Microsoft YaHei"/>
          <w:sz w:val="21"/>
        </w:rPr>
        <w:t xml:space="preserve">2. </w:t>
      </w:r>
      <w:r>
        <w:rPr>
          <w:rFonts w:ascii="Aptos" w:hAnsi="Aptos" w:eastAsia="Microsoft YaHei"/>
          <w:sz w:val="21"/>
        </w:rPr>
        <w:t>提出最小证据信赖域参考谱几何：患者图只发生解释当前患者证据所需的最小结构偏移，并在固定参考度量下保持跨患者可比较。</w:t>
      </w:r>
    </w:p>
    <w:p>
      <w:pPr>
        <w:spacing w:after="60" w:line="276" w:lineRule="auto"/>
        <w:ind w:left="312" w:hanging="312"/>
        <w:widowControl/>
      </w:pPr>
      <w:r>
        <w:rPr>
          <w:rFonts w:ascii="Aptos" w:hAnsi="Aptos" w:eastAsia="Microsoft YaHei"/>
          <w:sz w:val="21"/>
        </w:rPr>
        <w:t xml:space="preserve">3. </w:t>
      </w:r>
      <w:r>
        <w:rPr>
          <w:rFonts w:ascii="Aptos" w:hAnsi="Aptos" w:eastAsia="Microsoft YaHei"/>
          <w:sz w:val="21"/>
        </w:rPr>
        <w:t>提出校准不确定性驱动的 Krylov 安全反向增强：从图逆问题的局部不确定方向生成以患者图为中心的正负视图，并保护 DD-KAC 实际访问的患者 Krylov 子空间。</w:t>
      </w:r>
    </w:p>
    <w:p>
      <w:pPr>
        <w:spacing w:after="60" w:line="276" w:lineRule="auto"/>
        <w:ind w:left="312" w:hanging="312"/>
        <w:widowControl/>
      </w:pPr>
      <w:r>
        <w:rPr>
          <w:rFonts w:ascii="Aptos" w:hAnsi="Aptos" w:eastAsia="Microsoft YaHei"/>
          <w:sz w:val="21"/>
        </w:rPr>
        <w:t xml:space="preserve">4. </w:t>
      </w:r>
      <w:r>
        <w:rPr>
          <w:rFonts w:ascii="Aptos" w:hAnsi="Aptos" w:eastAsia="Microsoft YaHei"/>
          <w:sz w:val="21"/>
        </w:rPr>
        <w:t>提出图校准—频率路由切空间可辨识性与生存风险稳定性理论：控制两类患者自适应参数的局部补偿，并建立从图扰动到生存风险的任务特定误差界。</w:t>
      </w:r>
    </w:p>
    <w:tbl>
      <w:tblPr>
        <w:tblW w:type="auto" w:w="0"/>
        <w:jc w:val="center"/>
        <w:tblLayout w:type="autofit"/>
        <w:tblLook w:firstColumn="1" w:firstRow="1" w:lastColumn="0" w:lastRow="0" w:noHBand="0" w:noVBand="1" w:val="04A0"/>
      </w:tblPr>
      <w:tblGrid>
        <w:gridCol w:w="9859"/>
      </w:tblGrid>
      <w:tr>
        <w:trPr>
          <w:cantSplit/>
        </w:trPr>
        <w:tc>
          <w:tcPr>
            <w:tcW w:type="dxa" w:w="9859"/>
            <w:shd w:fill="E2F0D9"/>
            <w:tcMar>
              <w:top w:w="120" w:type="dxa"/>
              <w:start w:w="160" w:type="dxa"/>
              <w:bottom w:w="120" w:type="dxa"/>
              <w:end w:w="160" w:type="dxa"/>
            </w:tcMar>
            <w:tcBorders>
              <w:top w:val="single" w:sz="8" w:color="70AD47"/>
              <w:left w:val="single" w:sz="8" w:color="70AD47"/>
              <w:bottom w:val="single" w:sz="8" w:color="70AD47"/>
              <w:right w:val="single" w:sz="8" w:color="70AD47"/>
            </w:tcBorders>
          </w:tcPr>
          <w:p>
            <w:pPr>
              <w:spacing w:after="40"/>
            </w:pPr>
            <w:r>
              <w:rPr>
                <w:rFonts w:ascii="Aptos" w:hAnsi="Aptos" w:eastAsia="Microsoft YaHei"/>
                <w:b/>
                <w:color w:val="1F4E79"/>
                <w:sz w:val="21"/>
              </w:rPr>
              <w:t>一句话创新摘要</w:t>
            </w:r>
          </w:p>
          <w:p>
            <w:pPr>
              <w:spacing w:after="0" w:line="276" w:lineRule="auto"/>
            </w:pPr>
            <w:r>
              <w:rPr>
                <w:rFonts w:ascii="Aptos" w:hAnsi="Aptos" w:eastAsia="Microsoft YaHei"/>
                <w:sz w:val="20"/>
              </w:rPr>
              <w:t>在统一参考谱几何下，用患者功能组的 Chebyshev 扩散响应反演患者图；再从图校准的局部不确定方向生成 Krylov 安全的中心反向视图，并通过图—频率切空间约束保证 DD-KAC 的结构适配可辨识。</w:t>
            </w:r>
          </w:p>
        </w:tc>
      </w:tr>
    </w:tbl>
    <w:p>
      <w:pPr>
        <w:spacing w:after="20"/>
        <w:widowControl/>
      </w:pPr>
    </w:p>
    <w:p>
      <w:pPr>
        <w:pStyle w:val="Heading1"/>
        <w:keepNext/>
        <w:widowControl/>
      </w:pPr>
      <w:r>
        <w:t>12. 实现优先级与工程路线</w:t>
      </w:r>
    </w:p>
    <w:p>
      <w:pPr>
        <w:pStyle w:val="Heading2"/>
        <w:keepNext/>
        <w:widowControl/>
      </w:pPr>
      <w:r>
        <w:t>12.1 最小可行版本（MVP）</w:t>
      </w:r>
    </w:p>
    <w:p>
      <w:pPr>
        <w:spacing w:after="60" w:line="276" w:lineRule="auto"/>
        <w:ind w:left="312" w:hanging="312"/>
        <w:widowControl/>
      </w:pPr>
      <w:r>
        <w:rPr>
          <w:rFonts w:ascii="Aptos" w:hAnsi="Aptos" w:eastAsia="Microsoft YaHei"/>
          <w:sz w:val="21"/>
        </w:rPr>
        <w:t xml:space="preserve">1. </w:t>
      </w:r>
      <w:r>
        <w:rPr>
          <w:rFonts w:ascii="Aptos" w:hAnsi="Aptos" w:eastAsia="Microsoft YaHei"/>
          <w:sz w:val="21"/>
        </w:rPr>
        <w:t>实现参考度图算子 S(w) 与共享谱缩放。</w:t>
      </w:r>
    </w:p>
    <w:p>
      <w:pPr>
        <w:spacing w:after="60" w:line="276" w:lineRule="auto"/>
        <w:ind w:left="312" w:hanging="312"/>
        <w:widowControl/>
      </w:pPr>
      <w:r>
        <w:rPr>
          <w:rFonts w:ascii="Aptos" w:hAnsi="Aptos" w:eastAsia="Microsoft YaHei"/>
          <w:sz w:val="21"/>
        </w:rPr>
        <w:t xml:space="preserve">2. </w:t>
      </w:r>
      <w:r>
        <w:rPr>
          <w:rFonts w:ascii="Aptos" w:hAnsi="Aptos" w:eastAsia="Microsoft YaHei"/>
          <w:sz w:val="21"/>
        </w:rPr>
        <w:t>固定功能组与低阶 R，计算 Chebyshev 响应矩。</w:t>
      </w:r>
    </w:p>
    <w:p>
      <w:pPr>
        <w:spacing w:after="60" w:line="276" w:lineRule="auto"/>
        <w:ind w:left="312" w:hanging="312"/>
        <w:widowControl/>
      </w:pPr>
      <w:r>
        <w:rPr>
          <w:rFonts w:ascii="Aptos" w:hAnsi="Aptos" w:eastAsia="Microsoft YaHei"/>
          <w:sz w:val="21"/>
        </w:rPr>
        <w:t xml:space="preserve">3. </w:t>
      </w:r>
      <w:r>
        <w:rPr>
          <w:rFonts w:ascii="Aptos" w:hAnsi="Aptos" w:eastAsia="Microsoft YaHei"/>
          <w:sz w:val="21"/>
        </w:rPr>
        <w:t>使用低维字典 P 和固定次数近端梯度展开求解 aₚ。</w:t>
      </w:r>
    </w:p>
    <w:p>
      <w:pPr>
        <w:spacing w:after="60" w:line="276" w:lineRule="auto"/>
        <w:ind w:left="312" w:hanging="312"/>
        <w:widowControl/>
      </w:pPr>
      <w:r>
        <w:rPr>
          <w:rFonts w:ascii="Aptos" w:hAnsi="Aptos" w:eastAsia="Microsoft YaHei"/>
          <w:sz w:val="21"/>
        </w:rPr>
        <w:t xml:space="preserve">4. </w:t>
      </w:r>
      <w:r>
        <w:rPr>
          <w:rFonts w:ascii="Aptos" w:hAnsi="Aptos" w:eastAsia="Microsoft YaHei"/>
          <w:sz w:val="21"/>
        </w:rPr>
        <w:t>暂用对角 Gauss–Newton 或低秩近似构造 Hₚ⁻¹ᐟ²。</w:t>
      </w:r>
    </w:p>
    <w:p>
      <w:pPr>
        <w:spacing w:after="60" w:line="276" w:lineRule="auto"/>
        <w:ind w:left="312" w:hanging="312"/>
        <w:widowControl/>
      </w:pPr>
      <w:r>
        <w:rPr>
          <w:rFonts w:ascii="Aptos" w:hAnsi="Aptos" w:eastAsia="Microsoft YaHei"/>
          <w:sz w:val="21"/>
        </w:rPr>
        <w:t xml:space="preserve">5. </w:t>
      </w:r>
      <w:r>
        <w:rPr>
          <w:rFonts w:ascii="Aptos" w:hAnsi="Aptos" w:eastAsia="Microsoft YaHei"/>
          <w:sz w:val="21"/>
        </w:rPr>
        <w:t>生成正负反向视图，并投影到 Krylov 安全半径。</w:t>
      </w:r>
    </w:p>
    <w:p>
      <w:pPr>
        <w:spacing w:after="60" w:line="276" w:lineRule="auto"/>
        <w:ind w:left="312" w:hanging="312"/>
        <w:widowControl/>
      </w:pPr>
      <w:r>
        <w:rPr>
          <w:rFonts w:ascii="Aptos" w:hAnsi="Aptos" w:eastAsia="Microsoft YaHei"/>
          <w:sz w:val="21"/>
        </w:rPr>
        <w:t xml:space="preserve">6. </w:t>
      </w:r>
      <w:r>
        <w:rPr>
          <w:rFonts w:ascii="Aptos" w:hAnsi="Aptos" w:eastAsia="Microsoft YaHei"/>
          <w:sz w:val="21"/>
        </w:rPr>
        <w:t>两个视图共享频率路由，先验证结构一致性与生存性能。</w:t>
      </w:r>
    </w:p>
    <w:p>
      <w:pPr>
        <w:pStyle w:val="Heading2"/>
        <w:keepNext/>
        <w:widowControl/>
      </w:pPr>
      <w:r>
        <w:t>12.2 完整版本</w:t>
      </w:r>
    </w:p>
    <w:p>
      <w:pPr>
        <w:spacing w:after="60" w:line="276" w:lineRule="auto"/>
        <w:ind w:left="312" w:hanging="312"/>
        <w:widowControl/>
      </w:pPr>
      <w:r>
        <w:rPr>
          <w:rFonts w:ascii="Aptos" w:hAnsi="Aptos" w:eastAsia="Microsoft YaHei"/>
          <w:sz w:val="21"/>
        </w:rPr>
        <w:t xml:space="preserve">1. </w:t>
      </w:r>
      <w:r>
        <w:rPr>
          <w:rFonts w:ascii="Aptos" w:hAnsi="Aptos" w:eastAsia="Microsoft YaHei"/>
          <w:sz w:val="21"/>
        </w:rPr>
        <w:t>学习患者目标矩精度 πₚ,ᵍ,ʳ。</w:t>
      </w:r>
    </w:p>
    <w:p>
      <w:pPr>
        <w:spacing w:after="60" w:line="276" w:lineRule="auto"/>
        <w:ind w:left="312" w:hanging="312"/>
        <w:widowControl/>
      </w:pPr>
      <w:r>
        <w:rPr>
          <w:rFonts w:ascii="Aptos" w:hAnsi="Aptos" w:eastAsia="Microsoft YaHei"/>
          <w:sz w:val="21"/>
        </w:rPr>
        <w:t xml:space="preserve">2. </w:t>
      </w:r>
      <w:r>
        <w:rPr>
          <w:rFonts w:ascii="Aptos" w:hAnsi="Aptos" w:eastAsia="Microsoft YaHei"/>
          <w:sz w:val="21"/>
        </w:rPr>
        <w:t>加入最小证据信赖域联合求解与先验回退分析。</w:t>
      </w:r>
    </w:p>
    <w:p>
      <w:pPr>
        <w:spacing w:after="60" w:line="276" w:lineRule="auto"/>
        <w:ind w:left="312" w:hanging="312"/>
        <w:widowControl/>
      </w:pPr>
      <w:r>
        <w:rPr>
          <w:rFonts w:ascii="Aptos" w:hAnsi="Aptos" w:eastAsia="Microsoft YaHei"/>
          <w:sz w:val="21"/>
        </w:rPr>
        <w:t xml:space="preserve">3. </w:t>
      </w:r>
      <w:r>
        <w:rPr>
          <w:rFonts w:ascii="Aptos" w:hAnsi="Aptos" w:eastAsia="Microsoft YaHei"/>
          <w:sz w:val="21"/>
        </w:rPr>
        <w:t>加入切空间相关损失的 JVP/VJP 随机估计。</w:t>
      </w:r>
    </w:p>
    <w:p>
      <w:pPr>
        <w:spacing w:after="60" w:line="276" w:lineRule="auto"/>
        <w:ind w:left="312" w:hanging="312"/>
        <w:widowControl/>
      </w:pPr>
      <w:r>
        <w:rPr>
          <w:rFonts w:ascii="Aptos" w:hAnsi="Aptos" w:eastAsia="Microsoft YaHei"/>
          <w:sz w:val="21"/>
        </w:rPr>
        <w:t xml:space="preserve">4. </w:t>
      </w:r>
      <w:r>
        <w:rPr>
          <w:rFonts w:ascii="Aptos" w:hAnsi="Aptos" w:eastAsia="Microsoft YaHei"/>
          <w:sz w:val="21"/>
        </w:rPr>
        <w:t>完成两类理论证明并验证理论常数与实测误差的关系。</w:t>
      </w:r>
    </w:p>
    <w:p>
      <w:pPr>
        <w:spacing w:after="60" w:line="276" w:lineRule="auto"/>
        <w:ind w:left="312" w:hanging="312"/>
        <w:widowControl/>
      </w:pPr>
      <w:r>
        <w:rPr>
          <w:rFonts w:ascii="Aptos" w:hAnsi="Aptos" w:eastAsia="Microsoft YaHei"/>
          <w:sz w:val="21"/>
        </w:rPr>
        <w:t xml:space="preserve">5. </w:t>
      </w:r>
      <w:r>
        <w:rPr>
          <w:rFonts w:ascii="Aptos" w:hAnsi="Aptos" w:eastAsia="Microsoft YaHei"/>
          <w:sz w:val="21"/>
        </w:rPr>
        <w:t>开展跨癌种、外部队列和先验噪声鲁棒性实验。</w:t>
      </w:r>
    </w:p>
    <w:p>
      <w:pPr>
        <w:pStyle w:val="Heading1"/>
        <w:keepNext/>
        <w:widowControl/>
      </w:pPr>
      <w:r>
        <w:t>13. 风险与备用方案</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286"/>
            <w:shd w:fill="FCE4D6"/>
            <w:tcMar>
              <w:top w:w="80" w:type="dxa"/>
              <w:start w:w="100" w:type="dxa"/>
              <w:bottom w:w="80" w:type="dxa"/>
              <w:end w:w="100" w:type="dxa"/>
            </w:tcMar>
          </w:tcPr>
          <w:p>
            <w:r>
              <w:rPr>
                <w:rFonts w:ascii="Aptos" w:hAnsi="Aptos" w:eastAsia="Microsoft YaHei"/>
                <w:b/>
                <w:sz w:val="18"/>
              </w:rPr>
              <w:t>风险</w:t>
            </w:r>
          </w:p>
        </w:tc>
        <w:tc>
          <w:tcPr>
            <w:tcW w:type="dxa" w:w="3286"/>
            <w:shd w:fill="FCE4D6"/>
            <w:tcMar>
              <w:top w:w="80" w:type="dxa"/>
              <w:start w:w="100" w:type="dxa"/>
              <w:bottom w:w="80" w:type="dxa"/>
              <w:end w:w="100" w:type="dxa"/>
            </w:tcMar>
          </w:tcPr>
          <w:p>
            <w:r>
              <w:rPr>
                <w:rFonts w:ascii="Aptos" w:hAnsi="Aptos" w:eastAsia="Microsoft YaHei"/>
                <w:b/>
                <w:sz w:val="18"/>
              </w:rPr>
              <w:t>表现</w:t>
            </w:r>
          </w:p>
        </w:tc>
        <w:tc>
          <w:tcPr>
            <w:tcW w:type="dxa" w:w="3286"/>
            <w:shd w:fill="FCE4D6"/>
            <w:tcMar>
              <w:top w:w="80" w:type="dxa"/>
              <w:start w:w="100" w:type="dxa"/>
              <w:bottom w:w="80" w:type="dxa"/>
              <w:end w:w="100" w:type="dxa"/>
            </w:tcMar>
          </w:tcPr>
          <w:p>
            <w:r>
              <w:rPr>
                <w:rFonts w:ascii="Aptos" w:hAnsi="Aptos" w:eastAsia="Microsoft YaHei"/>
                <w:b/>
                <w:sz w:val="18"/>
              </w:rPr>
              <w:t>建议处理</w:t>
            </w:r>
          </w:p>
        </w:tc>
      </w:tr>
      <w:tr>
        <w:trPr>
          <w:cantSplit/>
        </w:trPr>
        <w:tc>
          <w:tcPr>
            <w:tcW w:type="dxa" w:w="3286"/>
            <w:tcMar>
              <w:top w:w="80" w:type="dxa"/>
              <w:start w:w="100" w:type="dxa"/>
              <w:bottom w:w="80" w:type="dxa"/>
              <w:end w:w="100" w:type="dxa"/>
            </w:tcMar>
          </w:tcPr>
          <w:p>
            <w:pPr>
              <w:spacing w:after="0" w:line="252" w:lineRule="auto"/>
            </w:pPr>
            <w:r>
              <w:rPr>
                <w:rFonts w:ascii="Aptos" w:hAnsi="Aptos" w:eastAsia="Microsoft YaHei"/>
                <w:sz w:val="17"/>
              </w:rPr>
              <w:t>计算开销较高</w:t>
            </w:r>
          </w:p>
        </w:tc>
        <w:tc>
          <w:tcPr>
            <w:tcW w:type="dxa" w:w="3286"/>
            <w:tcMar>
              <w:top w:w="80" w:type="dxa"/>
              <w:start w:w="100" w:type="dxa"/>
              <w:bottom w:w="80" w:type="dxa"/>
              <w:end w:w="100" w:type="dxa"/>
            </w:tcMar>
          </w:tcPr>
          <w:p>
            <w:pPr>
              <w:spacing w:after="0" w:line="252" w:lineRule="auto"/>
            </w:pPr>
            <w:r>
              <w:rPr>
                <w:rFonts w:ascii="Aptos" w:hAnsi="Aptos" w:eastAsia="Microsoft YaHei"/>
                <w:sz w:val="17"/>
              </w:rPr>
              <w:t>每个患者需展开逆问题并估计局部 Hessian</w:t>
            </w:r>
          </w:p>
        </w:tc>
        <w:tc>
          <w:tcPr>
            <w:tcW w:type="dxa" w:w="3286"/>
            <w:tcMar>
              <w:top w:w="80" w:type="dxa"/>
              <w:start w:w="100" w:type="dxa"/>
              <w:bottom w:w="80" w:type="dxa"/>
              <w:end w:w="100" w:type="dxa"/>
            </w:tcMar>
          </w:tcPr>
          <w:p>
            <w:pPr>
              <w:spacing w:after="0" w:line="252" w:lineRule="auto"/>
            </w:pPr>
            <w:r>
              <w:rPr>
                <w:rFonts w:ascii="Aptos" w:hAnsi="Aptos" w:eastAsia="Microsoft YaHei"/>
                <w:sz w:val="17"/>
              </w:rPr>
              <w:t>限制 K、R 和功能组数量；固定迭代次数；采用对角/低秩 Hessian</w:t>
            </w:r>
          </w:p>
        </w:tc>
      </w:tr>
      <w:tr>
        <w:trPr>
          <w:cantSplit/>
        </w:trPr>
        <w:tc>
          <w:tcPr>
            <w:tcW w:type="dxa" w:w="3286"/>
            <w:tcMar>
              <w:top w:w="80" w:type="dxa"/>
              <w:start w:w="100" w:type="dxa"/>
              <w:bottom w:w="80" w:type="dxa"/>
              <w:end w:w="100" w:type="dxa"/>
            </w:tcMar>
          </w:tcPr>
          <w:p>
            <w:pPr>
              <w:spacing w:after="0" w:line="252" w:lineRule="auto"/>
            </w:pPr>
            <w:r>
              <w:rPr>
                <w:rFonts w:ascii="Aptos" w:hAnsi="Aptos" w:eastAsia="Microsoft YaHei"/>
                <w:sz w:val="17"/>
              </w:rPr>
              <w:t>矩目标不唯一</w:t>
            </w:r>
          </w:p>
        </w:tc>
        <w:tc>
          <w:tcPr>
            <w:tcW w:type="dxa" w:w="3286"/>
            <w:tcMar>
              <w:top w:w="80" w:type="dxa"/>
              <w:start w:w="100" w:type="dxa"/>
              <w:bottom w:w="80" w:type="dxa"/>
              <w:end w:w="100" w:type="dxa"/>
            </w:tcMar>
          </w:tcPr>
          <w:p>
            <w:pPr>
              <w:spacing w:after="0" w:line="252" w:lineRule="auto"/>
            </w:pPr>
            <w:r>
              <w:rPr>
                <w:rFonts w:ascii="Aptos" w:hAnsi="Aptos" w:eastAsia="Microsoft YaHei"/>
                <w:sz w:val="17"/>
              </w:rPr>
              <w:t>不同图可能产生相似低阶矩</w:t>
            </w:r>
          </w:p>
        </w:tc>
        <w:tc>
          <w:tcPr>
            <w:tcW w:type="dxa" w:w="3286"/>
            <w:tcMar>
              <w:top w:w="80" w:type="dxa"/>
              <w:start w:w="100" w:type="dxa"/>
              <w:bottom w:w="80" w:type="dxa"/>
              <w:end w:w="100" w:type="dxa"/>
            </w:tcMar>
          </w:tcPr>
          <w:p>
            <w:pPr>
              <w:spacing w:after="0" w:line="252" w:lineRule="auto"/>
            </w:pPr>
            <w:r>
              <w:rPr>
                <w:rFonts w:ascii="Aptos" w:hAnsi="Aptos" w:eastAsia="Microsoft YaHei"/>
                <w:sz w:val="17"/>
              </w:rPr>
              <w:t>低维字典、最小信赖域、多个功能探针与多阶矩联合约束</w:t>
            </w:r>
          </w:p>
        </w:tc>
      </w:tr>
      <w:tr>
        <w:trPr>
          <w:cantSplit/>
        </w:trPr>
        <w:tc>
          <w:tcPr>
            <w:tcW w:type="dxa" w:w="3286"/>
            <w:tcMar>
              <w:top w:w="80" w:type="dxa"/>
              <w:start w:w="100" w:type="dxa"/>
              <w:bottom w:w="80" w:type="dxa"/>
              <w:end w:w="100" w:type="dxa"/>
            </w:tcMar>
          </w:tcPr>
          <w:p>
            <w:pPr>
              <w:spacing w:after="0" w:line="252" w:lineRule="auto"/>
            </w:pPr>
            <w:r>
              <w:rPr>
                <w:rFonts w:ascii="Aptos" w:hAnsi="Aptos" w:eastAsia="Microsoft YaHei"/>
                <w:sz w:val="17"/>
              </w:rPr>
              <w:t>切空间损失不稳定</w:t>
            </w:r>
          </w:p>
        </w:tc>
        <w:tc>
          <w:tcPr>
            <w:tcW w:type="dxa" w:w="3286"/>
            <w:tcMar>
              <w:top w:w="80" w:type="dxa"/>
              <w:start w:w="100" w:type="dxa"/>
              <w:bottom w:w="80" w:type="dxa"/>
              <w:end w:w="100" w:type="dxa"/>
            </w:tcMar>
          </w:tcPr>
          <w:p>
            <w:pPr>
              <w:spacing w:after="0" w:line="252" w:lineRule="auto"/>
            </w:pPr>
            <w:r>
              <w:rPr>
                <w:rFonts w:ascii="Aptos" w:hAnsi="Aptos" w:eastAsia="Microsoft YaHei"/>
                <w:sz w:val="17"/>
              </w:rPr>
              <w:t>Jacobians 噪声较大</w:t>
            </w:r>
          </w:p>
        </w:tc>
        <w:tc>
          <w:tcPr>
            <w:tcW w:type="dxa" w:w="3286"/>
            <w:tcMar>
              <w:top w:w="80" w:type="dxa"/>
              <w:start w:w="100" w:type="dxa"/>
              <w:bottom w:w="80" w:type="dxa"/>
              <w:end w:w="100" w:type="dxa"/>
            </w:tcMar>
          </w:tcPr>
          <w:p>
            <w:pPr>
              <w:spacing w:after="0" w:line="252" w:lineRule="auto"/>
            </w:pPr>
            <w:r>
              <w:rPr>
                <w:rFonts w:ascii="Aptos" w:hAnsi="Aptos" w:eastAsia="Microsoft YaHei"/>
                <w:sz w:val="17"/>
              </w:rPr>
              <w:t>预热后再开启；使用随机投影和 EMA；控制 λid</w:t>
            </w:r>
          </w:p>
        </w:tc>
      </w:tr>
      <w:tr>
        <w:trPr>
          <w:cantSplit/>
        </w:trPr>
        <w:tc>
          <w:tcPr>
            <w:tcW w:type="dxa" w:w="3286"/>
            <w:tcMar>
              <w:top w:w="80" w:type="dxa"/>
              <w:start w:w="100" w:type="dxa"/>
              <w:bottom w:w="80" w:type="dxa"/>
              <w:end w:w="100" w:type="dxa"/>
            </w:tcMar>
          </w:tcPr>
          <w:p>
            <w:pPr>
              <w:spacing w:after="0" w:line="252" w:lineRule="auto"/>
            </w:pPr>
            <w:r>
              <w:rPr>
                <w:rFonts w:ascii="Aptos" w:hAnsi="Aptos" w:eastAsia="Microsoft YaHei"/>
                <w:sz w:val="17"/>
              </w:rPr>
              <w:t>患者样本量有限</w:t>
            </w:r>
          </w:p>
        </w:tc>
        <w:tc>
          <w:tcPr>
            <w:tcW w:type="dxa" w:w="3286"/>
            <w:tcMar>
              <w:top w:w="80" w:type="dxa"/>
              <w:start w:w="100" w:type="dxa"/>
              <w:bottom w:w="80" w:type="dxa"/>
              <w:end w:w="100" w:type="dxa"/>
            </w:tcMar>
          </w:tcPr>
          <w:p>
            <w:pPr>
              <w:spacing w:after="0" w:line="252" w:lineRule="auto"/>
            </w:pPr>
            <w:r>
              <w:rPr>
                <w:rFonts w:ascii="Aptos" w:hAnsi="Aptos" w:eastAsia="Microsoft YaHei"/>
                <w:sz w:val="17"/>
              </w:rPr>
              <w:t>复杂模块可能过拟合</w:t>
            </w:r>
          </w:p>
        </w:tc>
        <w:tc>
          <w:tcPr>
            <w:tcW w:type="dxa" w:w="3286"/>
            <w:tcMar>
              <w:top w:w="80" w:type="dxa"/>
              <w:start w:w="100" w:type="dxa"/>
              <w:bottom w:w="80" w:type="dxa"/>
              <w:end w:w="100" w:type="dxa"/>
            </w:tcMar>
          </w:tcPr>
          <w:p>
            <w:pPr>
              <w:spacing w:after="0" w:line="252" w:lineRule="auto"/>
            </w:pPr>
            <w:r>
              <w:rPr>
                <w:rFonts w:ascii="Aptos" w:hAnsi="Aptos" w:eastAsia="Microsoft YaHei"/>
                <w:sz w:val="17"/>
              </w:rPr>
              <w:t>共享字典 P、精度回退、先验锚定、跨癌种预训练</w:t>
            </w:r>
          </w:p>
        </w:tc>
      </w:tr>
      <w:tr>
        <w:trPr>
          <w:cantSplit/>
        </w:trPr>
        <w:tc>
          <w:tcPr>
            <w:tcW w:type="dxa" w:w="3286"/>
            <w:tcMar>
              <w:top w:w="80" w:type="dxa"/>
              <w:start w:w="100" w:type="dxa"/>
              <w:bottom w:w="80" w:type="dxa"/>
              <w:end w:w="100" w:type="dxa"/>
            </w:tcMar>
          </w:tcPr>
          <w:p>
            <w:pPr>
              <w:spacing w:after="0" w:line="252" w:lineRule="auto"/>
            </w:pPr>
            <w:r>
              <w:rPr>
                <w:rFonts w:ascii="Aptos" w:hAnsi="Aptos" w:eastAsia="Microsoft YaHei"/>
                <w:sz w:val="17"/>
              </w:rPr>
              <w:t>理论与实现不完全一致</w:t>
            </w:r>
          </w:p>
        </w:tc>
        <w:tc>
          <w:tcPr>
            <w:tcW w:type="dxa" w:w="3286"/>
            <w:tcMar>
              <w:top w:w="80" w:type="dxa"/>
              <w:start w:w="100" w:type="dxa"/>
              <w:bottom w:w="80" w:type="dxa"/>
              <w:end w:w="100" w:type="dxa"/>
            </w:tcMar>
          </w:tcPr>
          <w:p>
            <w:pPr>
              <w:spacing w:after="0" w:line="252" w:lineRule="auto"/>
            </w:pPr>
            <w:r>
              <w:rPr>
                <w:rFonts w:ascii="Aptos" w:hAnsi="Aptos" w:eastAsia="Microsoft YaHei"/>
                <w:sz w:val="17"/>
              </w:rPr>
              <w:t>证明对象可能与实际归一化/路由不对齐</w:t>
            </w:r>
          </w:p>
        </w:tc>
        <w:tc>
          <w:tcPr>
            <w:tcW w:type="dxa" w:w="3286"/>
            <w:tcMar>
              <w:top w:w="80" w:type="dxa"/>
              <w:start w:w="100" w:type="dxa"/>
              <w:bottom w:w="80" w:type="dxa"/>
              <w:end w:w="100" w:type="dxa"/>
            </w:tcMar>
          </w:tcPr>
          <w:p>
            <w:pPr>
              <w:spacing w:after="0" w:line="252" w:lineRule="auto"/>
            </w:pPr>
            <w:r>
              <w:rPr>
                <w:rFonts w:ascii="Aptos" w:hAnsi="Aptos" w:eastAsia="Microsoft YaHei"/>
                <w:sz w:val="17"/>
              </w:rPr>
              <w:t>从一开始固定参考度算子、共享谱上界和共享路由</w:t>
            </w:r>
          </w:p>
        </w:tc>
      </w:tr>
    </w:tbl>
    <w:p>
      <w:pPr>
        <w:pStyle w:val="Heading1"/>
        <w:keepNext/>
        <w:widowControl/>
      </w:pPr>
      <w:r>
        <w:t>14. 最终结论</w:t>
      </w:r>
    </w:p>
    <w:p>
      <w:pPr>
        <w:spacing w:line="300" w:lineRule="auto" w:after="120"/>
        <w:ind w:firstLine="420"/>
        <w:jc w:val="both"/>
        <w:widowControl/>
      </w:pPr>
      <w:r>
        <w:rPr>
          <w:rFonts w:ascii="Aptos" w:hAnsi="Aptos" w:eastAsia="Microsoft YaHei"/>
          <w:i w:val="0"/>
          <w:sz w:val="21"/>
        </w:rPr>
        <w:t>原始方案的主要问题不是整体“撞车”，而是大量子模块分别属于已有标准做法，导致论文容易被审稿人评价为组件拼装。最终版本通过重构数学对象，已经把创新来源从“患者门控 + 有效电阻 + VICReg”转移为：</w:t>
      </w:r>
    </w:p>
    <w:p>
      <w:pPr>
        <w:keepLines/>
        <w:spacing w:before="80" w:after="140"/>
        <w:jc w:val="center"/>
        <w:widowControl/>
      </w:pPr>
      <w:r>
        <w:rPr>
          <w:rFonts w:ascii="Cambria Math" w:hAnsi="Cambria Math" w:eastAsia="Cambria Math"/>
          <w:sz w:val="22"/>
        </w:rPr>
        <w:t>Chebyshev 矩逆校准  +  Hessian 反向增强  +  图—频率切空间可辨识性.</w:t>
      </w:r>
    </w:p>
    <w:p>
      <w:pPr>
        <w:spacing w:line="300" w:lineRule="auto" w:after="120"/>
        <w:ind w:firstLine="420"/>
        <w:jc w:val="both"/>
        <w:widowControl/>
      </w:pPr>
      <w:r>
        <w:rPr>
          <w:rFonts w:ascii="Aptos" w:hAnsi="Aptos" w:eastAsia="Microsoft YaHei"/>
          <w:i w:val="0"/>
          <w:sz w:val="21"/>
        </w:rPr>
        <w:t>这三个对象与 DD-KAC 的 Chebyshev 结构分支、患者频率路由和生存预测任务具有内在耦合，不能被简单拆分成若干已有损失的相加。它们共同构成一个更接近独立新算法、可形成理论闭环且具有明确消融路径的非核心创新模块。</w:t>
      </w:r>
    </w:p>
    <w:tbl>
      <w:tblPr>
        <w:tblW w:type="auto" w:w="0"/>
        <w:jc w:val="center"/>
        <w:tblLayout w:type="autofit"/>
        <w:tblLook w:firstColumn="1" w:firstRow="1" w:lastColumn="0" w:lastRow="0" w:noHBand="0" w:noVBand="1" w:val="04A0"/>
      </w:tblPr>
      <w:tblGrid>
        <w:gridCol w:w="9859"/>
      </w:tblGrid>
      <w:tr>
        <w:trPr>
          <w:cantSplit/>
        </w:trPr>
        <w:tc>
          <w:tcPr>
            <w:tcW w:type="dxa" w:w="9859"/>
            <w:shd w:fill="FCE4D6"/>
            <w:tcMar>
              <w:top w:w="120" w:type="dxa"/>
              <w:start w:w="160" w:type="dxa"/>
              <w:bottom w:w="120" w:type="dxa"/>
              <w:end w:w="160" w:type="dxa"/>
            </w:tcMar>
            <w:tcBorders>
              <w:top w:val="single" w:sz="8" w:color="C55A11"/>
              <w:left w:val="single" w:sz="8" w:color="C55A11"/>
              <w:bottom w:val="single" w:sz="8" w:color="C55A11"/>
              <w:right w:val="single" w:sz="8" w:color="C55A11"/>
            </w:tcBorders>
          </w:tcPr>
          <w:p>
            <w:pPr>
              <w:spacing w:after="40"/>
            </w:pPr>
            <w:r>
              <w:rPr>
                <w:rFonts w:ascii="Aptos" w:hAnsi="Aptos" w:eastAsia="Microsoft YaHei"/>
                <w:b/>
                <w:color w:val="1F4E79"/>
                <w:sz w:val="21"/>
              </w:rPr>
              <w:t>投稿前注意</w:t>
            </w:r>
          </w:p>
          <w:p>
            <w:pPr>
              <w:spacing w:after="0" w:line="276" w:lineRule="auto"/>
            </w:pPr>
            <w:r>
              <w:rPr>
                <w:rFonts w:ascii="Aptos" w:hAnsi="Aptos" w:eastAsia="Microsoft YaHei"/>
                <w:sz w:val="20"/>
              </w:rPr>
              <w:t>本方案的创新性判断基于当前设计与已知邻近方向的比较。正式投稿前仍需针对最终公式、方法名和实现细节做一次最新文献检索，避免后续出现高度近同构工作。</w:t>
            </w:r>
          </w:p>
        </w:tc>
      </w:tr>
    </w:tbl>
    <w:p>
      <w:pPr>
        <w:spacing w:after="20"/>
        <w:widowControl/>
      </w:pPr>
    </w:p>
    <w:p>
      <w:pPr>
        <w:spacing w:before="280"/>
        <w:jc w:val="center"/>
        <w:widowControl/>
      </w:pPr>
      <w:r>
        <w:rPr>
          <w:rFonts w:ascii="Aptos" w:hAnsi="Aptos" w:eastAsia="Microsoft YaHei"/>
          <w:color w:val="828282"/>
          <w:sz w:val="18"/>
        </w:rPr>
        <w:t>— 文档结束 —</w:t>
      </w:r>
    </w:p>
    <w:sectPr w:rsidR="00FC693F" w:rsidRPr="0006063C" w:rsidSect="00034616">
      <w:headerReference w:type="default" r:id="rId9"/>
      <w:foot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787878"/>
        <w:sz w:val="17"/>
      </w:rPr>
      <w:t>患者条件 Chebyshev 矩输运校准与 Krylov 安全反向增强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color w:val="787878"/>
        <w:sz w:val="17"/>
      </w:rPr>
      <w:t>PC-CMKA-DDKAC 最终创新方案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Microsoft YaHe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eastAsia="Microsoft YaHe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Microsoft YaHe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PC-CMKA-DDKAC 最终创新方案</dc:title>
  <dc:subject>患者条件 Chebyshev 矩输运校准与 Krylov 安全反向增强</dc:subject>
  <dc:creator>Research Draft</dc:creator>
  <cp:keywords>DD-KAC, Chebyshev moment, patient-specific graph, Krylov augmentation, survival prediction</cp:keywords>
  <dc:description>generated by python-docx</dc:description>
  <cp:lastModifiedBy/>
  <cp:revision>1</cp:revision>
  <dcterms:created xsi:type="dcterms:W3CDTF">2013-12-23T23:15:00Z</dcterms:created>
  <dcterms:modified xsi:type="dcterms:W3CDTF">2013-12-23T23:15:00Z</dcterms:modified>
  <cp:category/>
</cp:coreProperties>
</file>