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 w:eastAsia="Noto Sans CJK SC"/>
          <w:b/>
          <w:color w:val="1F4E79"/>
          <w:sz w:val="46"/>
        </w:rPr>
        <w:t>五种改进 KAN-like 基因组编码模块</w:t>
      </w:r>
    </w:p>
    <w:p>
      <w:pPr>
        <w:jc w:val="center"/>
      </w:pPr>
      <w:r>
        <w:rPr>
          <w:rFonts w:ascii="Arial" w:hAnsi="Arial" w:eastAsia="Noto Sans CJK SC"/>
          <w:color w:val="464646"/>
          <w:sz w:val="28"/>
        </w:rPr>
        <w:t>面向 MRePath 基因组 MLP 替换的思想、数学结构与实现规格</w:t>
      </w:r>
    </w:p>
    <w:p>
      <w:pPr>
        <w:spacing w:before="600"/>
        <w:jc w:val="center"/>
      </w:pPr>
      <w:r>
        <w:rPr>
          <w:rFonts w:ascii="Arial" w:hAnsi="Arial" w:eastAsia="Noto Sans CJK SC"/>
          <w:b/>
          <w:color w:val="2E74B5"/>
          <w:sz w:val="24"/>
        </w:rPr>
        <w:t>技术设计说明</w:t>
      </w:r>
    </w:p>
    <w:p>
      <w:pPr>
        <w:spacing w:before="2400"/>
        <w:jc w:val="center"/>
      </w:pPr>
      <w:r>
        <w:rPr>
          <w:rFonts w:ascii="Times New Roman" w:hAnsi="Times New Roman" w:eastAsia="Noto Serif CJK SC"/>
          <w:color w:val="505050"/>
          <w:sz w:val="21"/>
        </w:rPr>
        <w:t>适用模型：Multimodal Cancer Survival Analysis via Hypergraph Learning with Cross-Modality Rebalance（MRePath）</w:t>
      </w:r>
    </w:p>
    <w:p>
      <w:pPr>
        <w:jc w:val="center"/>
      </w:pPr>
      <w:r>
        <w:rPr>
          <w:rFonts w:ascii="Times New Roman" w:hAnsi="Times New Roman" w:eastAsia="Noto Serif CJK SC"/>
          <w:color w:val="646464"/>
          <w:sz w:val="21"/>
        </w:rPr>
        <w:t>文档日期：2026 年 8 月</w:t>
      </w:r>
    </w:p>
    <w:p>
      <w:r>
        <w:br w:type="page"/>
      </w:r>
    </w:p>
    <w:p>
      <w:pPr>
        <w:pStyle w:val="Heading1"/>
      </w:pPr>
      <w:r>
        <w:t>1 设计目标与统一接口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本文件给出五个面向 MRePath 基因组编码器的候选改进模块：PB-TAMLU、DO-LA、JC-MoA、TC-Free-RBF-KAN 与 DD-KAC。文档只描述模块思想、数学结构、训练约束、输入输出接口和关键实现细节，不提供程序代码。</w:t>
      </w:r>
    </w:p>
    <w:p>
      <w:pPr>
        <w:pStyle w:val="NoteBox"/>
        <w:shd w:fill="EEF4FB"/>
      </w:pPr>
      <w:r>
        <w:rPr>
          <w:rFonts w:ascii="Arial" w:hAnsi="Arial" w:eastAsia="Noto Sans CJK SC"/>
          <w:b/>
          <w:color w:val="1F4E79"/>
          <w:sz w:val="20"/>
        </w:rPr>
        <w:t>研究使用原则：</w:t>
      </w:r>
      <w:r>
        <w:rPr>
          <w:rFonts w:ascii="Times New Roman" w:hAnsi="Times New Roman" w:eastAsia="Noto Sans CJK SC"/>
          <w:sz w:val="20"/>
        </w:rPr>
        <w:t>五个模块应作为五个彼此独立的 genomic encoder 进行实现和实验，不建议在第一阶段把它们串联到同一个模型中。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MRePath 将 RNA-seq、CNV 和 SNV 特征划分为六个具有生物学含义的功能组，并将每个功能组编码为一个固定维度的基因组 token。六个 token 随后进入动态模态重平衡与交互对齐融合。为了保证替换实验公平，五个候选模块均需保持相同接口。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xₘ ∈ ℝᵈᵐ  →  gₘ ∈ ℝᵈ，     m = 1, …, 6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G = Stack(g₁, g₂, …, g₆) ∈ ℝ⁶ˣᵈ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其中，m 表示六个基因功能组：Tumor Suppression、Oncogenesis、Protein Kinases、Cellular Differentiation、Transcription、Cytokines and Growth。输出 G 的 token 数量和特征维度必须与原始基因组 MLP 完全一致，使病理分支、Sheaf 超图、动态权重、交互对齐融合和生存预测损失均保持不变。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核心自适应对象</w:t>
            </w:r>
          </w:p>
        </w:tc>
        <w:tc>
          <w:tcPr>
            <w:tcW w:type="dxa" w:w="1871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自适应粒度</w:t>
            </w:r>
          </w:p>
        </w:tc>
        <w:tc>
          <w:tcPr>
            <w:tcW w:type="dxa" w:w="3402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主要目标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PB-TAMLU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非线性强度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通路 + 层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在六条功能通路之间分配有限的非线性容量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DO-LA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激活函数形状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通路 + 层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降低候选激活函数在真实数据分布上的冗余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JC-MoA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激活专家选择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患者 + 通路 + 层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实现患者自适应激活并稳定局部梯度增益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TC-Free-RBF-KAN</w:t>
            </w:r>
          </w:p>
        </w:tc>
        <w:tc>
          <w:tcPr>
            <w:tcW w:type="dxa" w:w="2268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边上的一元函数</w:t>
            </w:r>
          </w:p>
        </w:tc>
        <w:tc>
          <w:tcPr>
            <w:tcW w:type="dxa" w:w="187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数据类型 + 连接</w:t>
            </w:r>
          </w:p>
        </w:tc>
        <w:tc>
          <w:tcPr>
            <w:tcW w:type="dxa" w:w="3402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通过单调传输构造稳定、稀疏的 RBF 网格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DD-KAC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值域函数与基因关系滤波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患者 + 通路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联合学习单基因数值非线性和基因网络结构</w:t>
            </w:r>
          </w:p>
        </w:tc>
      </w:tr>
    </w:tbl>
    <w:p>
      <w:pPr>
        <w:spacing w:after="40"/>
      </w:pPr>
    </w:p>
    <w:p>
      <w:pPr>
        <w:pStyle w:val="Heading1"/>
      </w:pPr>
      <w:r>
        <w:t>2 PB-TAMLU：通路预算耦合自适应激活模块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英文名称：Pathway-Budget Coupled TAMLU。</w:t>
      </w:r>
    </w:p>
    <w:p>
      <w:pPr>
        <w:pStyle w:val="Heading2"/>
      </w:pPr>
      <w:r>
        <w:t>2.1 核心思想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普通 MLP 在六个基因功能组中使用同一个固定激活函数。即使将固定激活替换为原始 TAMLU，各层的自适应参数通常仍相互独立，无法反映不同功能组和不同编码层之间的容量竞争。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PB-TAMLU 将整个基因组编码器的非线性能力视为有限资源：六个功能组及其编码层共同竞争一个全局非线性预算。与生存预测更相关的通路可以获得更强的非线性表达能力，信息较弱或噪声较大的通路则自动接近线性映射。</w:t>
      </w:r>
    </w:p>
    <w:p>
      <w:pPr>
        <w:pStyle w:val="Heading2"/>
      </w:pPr>
      <w:r>
        <w:t>2.2 基础激活函数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zₘ,ₗ = Wₘ,ₗ hₘ,ₗ₋₁ + bₘ,ₗ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PB-TAMLUₘ,ₗ(z) = z + βₘ,ₗ · z · tanh(αₘ,ₗ z)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参数 βₘ,ₗ 控制非线性修正分支的强度和方向，αₘ,ₗ 控制激活函数进入饱和区间的速度。恒等项 z 为稳定残差路径。当 βₘ,ₗ=0 时，模块退化为恒等激活，使网络可以从近线性状态开始训练。</w:t>
      </w:r>
    </w:p>
    <w:p>
      <w:pPr>
        <w:pStyle w:val="Heading2"/>
      </w:pPr>
      <w:r>
        <w:t>2.3 全局非线性预算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pₘ,ₗ = exp(aₘ,ₗ/τ) / Σₚ,ₛ exp(aₚ,ₛ/τ)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βₘ,ₗ = B · pₘ,ₗ · tanh(sₘ,ₗ)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Σₘ,ₗ pₘ,ₗ = 1，     Σₘ,ₗ |βₘ,ₗ| ≤ B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B 表示基因组编码器的总非线性预算；pₘ,ₗ 表示第 m 个功能组第 l 层获得的预算比例；sₘ,ₗ 决定修正方向；τ 为预算分配温度。该参数化能够抑制所有通路同时学习过强非线性的情况，适合 TCGA 小样本生存分析。</w:t>
      </w:r>
    </w:p>
    <w:p>
      <w:pPr>
        <w:pStyle w:val="Heading2"/>
      </w:pPr>
      <w:r>
        <w:t>2.4 非线性尺度约束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αₘ,ₗ = αmin + (αmax − αmin) · sigmoid(rₘ,ₗ)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建议使用有界参数化限制 α 的范围，例如 αmin=0.25、αmax=4，从而避免激活曲率无限增大。</w:t>
      </w:r>
    </w:p>
    <w:p>
      <w:pPr>
        <w:pStyle w:val="Heading2"/>
      </w:pPr>
      <w:r>
        <w:t>2.5 通路编码流程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每个功能组仍采用两层投影，但用普通 Dropout 替代 AlphaDropout，并在自适应激活前加入 LayerNorm。推荐顺序如下：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Linear(dₘ, dₕ) → LayerNorm → PB-TAMLUₘ,₁ → Dropout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Linear(dₕ, d) → LayerNorm → PB-TAMLUₘ,₂ → 得到 gₘ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LayerNorm 用于削弱不同功能组输入尺度差异对 TAMLU 参数的干扰。普通 Dropout 比 AlphaDropout 更适用于非 SELU 类激活。</w:t>
      </w:r>
    </w:p>
    <w:p>
      <w:pPr>
        <w:pStyle w:val="Heading2"/>
      </w:pPr>
      <w:r>
        <w:t>2.6 初始化与训练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令所有 aₘ,ₗ=0，使初始预算均匀分配。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令所有 sₘ,ₗ=0，使 βₘ,ₗ=0，初始激活近似恒等。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令 αₘ,ₗ 初始接近 1。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PB-TAMLU 参数可以使用主干学习率的 0.5 倍，防止早期预算快速塌缩。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可选地对预算分布加入弱熵正则，前期避免所有预算集中到单一通路，后期逐渐减弱。</w:t>
      </w:r>
    </w:p>
    <w:p>
      <w:pPr>
        <w:pStyle w:val="Heading2"/>
      </w:pPr>
      <w:r>
        <w:t>2.7 可解释输出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Pₘ = Σₗ pₘ,ₗ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Pₘ 表示第 m 个基因功能组获得的总非线性预算。可以比较五个癌种、高风险与低风险患者对应训练模型中的预算分布，分析不同癌种更依赖哪些功能组的非线性表达。</w:t>
      </w:r>
    </w:p>
    <w:p>
      <w:pPr>
        <w:pStyle w:val="Heading1"/>
      </w:pPr>
      <w:r>
        <w:t>3 DO-LA：分布正交化可学习激活模块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英文名称：Distribution-Orthogonalized Learnable Activation。</w:t>
      </w:r>
    </w:p>
    <w:p>
      <w:pPr>
        <w:pStyle w:val="Heading2"/>
      </w:pPr>
      <w:r>
        <w:t>3.1 核心思想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普通 Learnable Activation 使用多个激活函数的线性组合，但 ELU、GELU、SiLU、Mish 和 Tanh 在实际预激活分布的主要区间内可能高度相关。表面上存在多个激活专家，实际函数字典的有效秩可能很低，导致参数不可辨识、跨随机种子不稳定以及重复计算。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DO-LA 根据每个功能组、每一层的真实预激活分布，对候选激活函数进行统计正交化，然后再学习组合权重，使每个激活方向在当前数据分布上提供尽可能独立的信息。</w:t>
      </w:r>
    </w:p>
    <w:p>
      <w:pPr>
        <w:pStyle w:val="Heading2"/>
      </w:pPr>
      <w:r>
        <w:t>3.2 激活函数字典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A = {ELU, GELU, SiLU, tanh, Identity}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σ(z) = [σ₁(z), σ₂(z), …, σK(z)]ᵀ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第一版建议 K=4 或 5。为避免 Identity 与后续线性残差重复，正式版本可以从字典中删除 Identity，仅保留显式残差项。</w:t>
      </w:r>
    </w:p>
    <w:p>
      <w:pPr>
        <w:pStyle w:val="Heading2"/>
      </w:pPr>
      <w:r>
        <w:t>3.3 去均值与 Gram 矩阵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μₘ,ₗ = E[σ(zₘ,ₗ)]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vₘ,ₗ(z) = σ(z) − μₘ,ₗ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Gₘ,ₗ = E[vₘ,ₗ(z) vₘ,ₗ(z)ᵀ] + εI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均值和 Gram 矩阵均按功能组和层分别维护。统计时可同时利用 batch 维度和隐藏特征维度，因而即使患者 batch 较小，仍可以得到足够多的激活采样点。</w:t>
      </w:r>
    </w:p>
    <w:p>
      <w:pPr>
        <w:pStyle w:val="Heading2"/>
      </w:pPr>
      <w:r>
        <w:t>3.4 分布正交化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σ̃ₘ,ₗ(z) = Gₘ,ₗ⁻¹ᐟ² vₘ,ₗ(z)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E[σ̃ₘ,ₗ σ̃ₘ,ₗᵀ] ≈ I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由于 G 的尺寸仅为 K×K，逆平方根计算量很小。可通过特征分解或稳定的 Cholesky/牛顿迭代求解。为降低训练抖动，不建议每个 step 都重新计算逆平方根。</w:t>
      </w:r>
    </w:p>
    <w:p>
      <w:pPr>
        <w:pStyle w:val="Heading2"/>
      </w:pPr>
      <w:r>
        <w:t>3.5 激活组合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αₘ,ₗ = softmax(qₘ,ₗ / τ)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fₘ,ₗ(z) = γₘ,ₗ · αₘ,ₗᵀ σ̃ₘ,ₗ(z) + δₘ,ₗ z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αₘ,ₗ 是静态但按通路、按层独立的混合权重；γₘ,ₗ 控制正交激活分支尺度；δₘ,ₗ z 为线性残差。与 JC-MoA 不同，DO-LA 不根据患者动态改变激活权重，因此更适合小样本设置。</w:t>
      </w:r>
    </w:p>
    <w:p>
      <w:pPr>
        <w:pStyle w:val="Heading2"/>
      </w:pPr>
      <w:r>
        <w:t>3.6 EMA 更新与热身阶段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Gₘ,ₗ⁽ᵗ⁾ = ρGₘ,ₗ⁽ᵗ⁻¹⁾ + (1−ρ)Ĝₘ,ₗ⁽ᵗ⁾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EMA 衰减系数建议在 0.95–0.99 之间。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训练前若干 epoch 使用 G=I，待激活分布稳定后逐步开启正交化。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每 5–10 个 step 更新一次 G⁻¹ᐟ²，其他 step 使用缓存值。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推理阶段冻结 μ、G、α、γ 和 δ，不依赖推理 batch 的统计量。</w:t>
      </w:r>
    </w:p>
    <w:p>
      <w:pPr>
        <w:pStyle w:val="Heading2"/>
      </w:pPr>
      <w:r>
        <w:t>3.7 稳定约束与解释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Lscale = Σₘ,ₗ (Var[fₘ,ₗ(z)] − 1)²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可以使用弱方差约束防止正交化后的输出尺度漂移。训练结束后应报告激活 Gram 矩阵条件数、有效秩、混合权重和跨随机种子稳定性，以证明性能提升确实来自函数字典去冗余。</w:t>
      </w:r>
    </w:p>
    <w:p>
      <w:pPr>
        <w:pStyle w:val="Heading1"/>
      </w:pPr>
      <w:r>
        <w:t>4 JC-MoA：雅可比校准激活专家混合模块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英文名称：Jacobian-Calibrated Mixture of Activations。</w:t>
      </w:r>
    </w:p>
    <w:p>
      <w:pPr>
        <w:pStyle w:val="Heading2"/>
      </w:pPr>
      <w:r>
        <w:t>4.1 核心思想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同一癌种、同一基因通路中的不同患者可能需要不同的非线性。JC-MoA 根据当前患者的通路特征动态生成激活专家权重，使激活函数具有患者自适应性。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动态激活会改变局部导数尺度。若不同患者被路由到导数增益差异明显的激活函数，深层网络的梯度尺度和训练稳定性可能波动。因此 JC-MoA 在动态路由之外加入显式导数能量校准。</w:t>
      </w:r>
    </w:p>
    <w:p>
      <w:pPr>
        <w:pStyle w:val="Heading2"/>
      </w:pPr>
      <w:r>
        <w:t>4.2 激活专家集合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A = {ELU, GELU, SiLU, tanh, Identity}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第一版不建议加入过多专家。专家数量过多不仅增加计算，还会提高路由学习难度。后续消融可以加入 PB-TAMLU 或 RBF 激活专家。</w:t>
      </w:r>
    </w:p>
    <w:p>
      <w:pPr>
        <w:pStyle w:val="Heading2"/>
      </w:pPr>
      <w:r>
        <w:t>4.3 患者级通路描述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s(z) = [mean(z), std(z), mean|z|, max(z), min(z)]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对于原始基因输入，还可以加入非零比例、突变负荷、CNV 异常比例、分布偏度等统计量。每个功能组配置一个可学习通路嵌入 eₘ，路由器输入为 [s(zₘ,ₗ); eₘ]。</w:t>
      </w:r>
    </w:p>
    <w:p>
      <w:pPr>
        <w:pStyle w:val="Heading2"/>
      </w:pPr>
      <w:r>
        <w:t>4.4 静态先验与动态修正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Δaₘ,ₗ(x) = Rₗ([s(zₘ,ₗ); eₘ])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πₘ,ₗ(x) = softmax((aₘ,ₗ + Δaₘ,ₗ(x))/τ)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aₘ,ₗ 表示该通路在该层的长期激活偏好，Δaₘ,ₗ(x) 表示当前患者的动态修正。六个功能组可共享同一层的路由器 Rₗ，并通过通路嵌入区分，以减少参数量和过拟合。</w:t>
      </w:r>
    </w:p>
    <w:p>
      <w:pPr>
        <w:pStyle w:val="Heading2"/>
      </w:pPr>
      <w:r>
        <w:t>4.5 动态激活输出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fₘ,ₗ(z) = Σₖ πₘ,ₗ,ₖ(x) · σₖ(z)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同一患者、同一功能组、同一层的所有隐藏维度共享一组 π，而不是给每个神经元单独预测路由权重。该粒度兼顾患者自适应能力和小样本稳定性。第一版建议使用软路由，不使用硬 Top-k。</w:t>
      </w:r>
    </w:p>
    <w:p>
      <w:pPr>
        <w:pStyle w:val="Heading2"/>
      </w:pPr>
      <w:r>
        <w:t>4.6 雅可比/导数能量校准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d̃ₘ,ₗ(z) = Σₖ sg(πₘ,ₗ,ₖ) · σ′ₖ(z)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Cₘ,ₗ = E[d̃ₘ,ₗ(z)²]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LJ = Σₘ,ₗ (Cₘ,ₗ − Crefₘ,ₗ)²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sg 表示在校准项中停止路由权重梯度。Crefₘ,ₗ 应由原始 ELU/SNN 基因组编码器在相同输入尺度下测得，而不是简单固定为 1。这样校准目标与原始稳定基线保持一致。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Ltotal = Lsurv + λJ LJ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λJ 建议从 10⁻⁴、10⁻³、10⁻² 中搜索。若校准过强，可能压制动态激活的表达能力，因此应结合路由熵和性能进行选择。</w:t>
      </w:r>
    </w:p>
    <w:p>
      <w:pPr>
        <w:pStyle w:val="Heading2"/>
      </w:pPr>
      <w:r>
        <w:t>4.7 路由稳定约束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Lprior = Σₘ,ₗ DKL(πₘ,ₗ(x) || π̄ₘ,ₗ)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训练初期可以使用弱 KL 约束，使动态路由不要过早偏离静态先验；随后逐渐降低其权重。还应监测专家使用率、路由熵、高风险/低风险组的路由差异以及不同随机种子的路由一致性。</w:t>
      </w:r>
    </w:p>
    <w:p>
      <w:pPr>
        <w:pStyle w:val="Heading2"/>
      </w:pPr>
      <w:r>
        <w:t>4.8 可解释性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比较不同癌种六条功能通路的平均专家权重。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比较高风险与低风险患者的路由分布。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对单个患者展示某条通路在两个编码层中选择的激活组合。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关联路由变化、基因模态权重 wg 和最终风险预测。</w:t>
      </w:r>
    </w:p>
    <w:p>
      <w:pPr>
        <w:pStyle w:val="Heading1"/>
      </w:pPr>
      <w:r>
        <w:t>5 TC-Free-RBF-KAN：传输约束自由 RBF-KAN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英文名称：Transport-Constrained Free-RBF-KAN。</w:t>
      </w:r>
    </w:p>
    <w:p>
      <w:pPr>
        <w:pStyle w:val="Heading2"/>
      </w:pPr>
      <w:r>
        <w:t>5.1 核心思想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该模块最接近经典 KAN：普通 MLP 的连接只包含标量权重，而 RBF-KAN 在连接上学习一元函数。Free-RBF-KAN 允许中心和宽度自由学习，但无约束自由度容易造成中心碰撞、网格空洞、宽度退化和死基函数。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TC-Free-RBF-KAN 使用单调传输统一生成有序中心，并根据 RNA、CNV、SNV 的数据类型配置不同网格与核函数规模，在保留函数表达能力的同时提高稳定性和参数效率。</w:t>
      </w:r>
    </w:p>
    <w:p>
      <w:pPr>
        <w:pStyle w:val="Heading2"/>
      </w:pPr>
      <w:r>
        <w:t>5.2 类型感知输入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t(i) ∈ {RNA, CNV, SNV}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RNA-seq：连续、偏态，建议在训练折内进行稳健标准化或分位数变换。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CNV：常呈分段连续或离散水平，需保留增益和缺失方向。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SNV：通常稀疏且接近二值，不应配置大量连续 RBF 中心。</w:t>
      </w:r>
    </w:p>
    <w:p>
      <w:pPr>
        <w:pStyle w:val="NoteBox"/>
        <w:shd w:fill="EEF4FB"/>
      </w:pPr>
      <w:r>
        <w:rPr>
          <w:rFonts w:ascii="Arial" w:hAnsi="Arial" w:eastAsia="Noto Sans CJK SC"/>
          <w:b/>
          <w:color w:val="1F4E79"/>
          <w:sz w:val="20"/>
        </w:rPr>
        <w:t>数据处理要求：</w:t>
      </w:r>
      <w:r>
        <w:rPr>
          <w:rFonts w:ascii="Times New Roman" w:hAnsi="Times New Roman" w:eastAsia="Noto Sans CJK SC"/>
          <w:sz w:val="20"/>
        </w:rPr>
        <w:t>所有归一化统计量、分位点和中心初始化只能使用当前交叉验证训练折，避免数据泄漏。</w:t>
      </w:r>
    </w:p>
    <w:p>
      <w:pPr>
        <w:pStyle w:val="Heading2"/>
      </w:pPr>
      <w:r>
        <w:t>5.3 单调传输网格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uₖ = (k − 1/2) / Kt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Δt,ₖ = softplus(ρt,ₖ) + ε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μt,ₖ = at + (bt−at) · (Σq≤k Δt,q)/(Σq≤Kt Δt,q)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at &lt; μt,1 &lt; μt,2 &lt; … &lt; μt,Kt ≤ bt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正增量参数化天然保证中心有序，避免中心交叉。不同数据类型分别维护传输参数，使 RNA、CNV 和 SNV 可以学习不同的网格密度。</w:t>
      </w:r>
    </w:p>
    <w:p>
      <w:pPr>
        <w:pStyle w:val="Heading2"/>
      </w:pPr>
      <w:r>
        <w:t>5.4 宽度与局部网格绑定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st,ₖ = κt,ₖ · (μt,ₖ₊₁ − μt,ₖ₋₁)/2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κt,ₖ = κmin + (κmax−κmin) · sigmoid(ηt,ₖ)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网格密集处自动使用较窄的核，网格稀疏处使用较宽的核。边界中心采用单侧间距。该设计避免宽度与中心位置相互独立导致的极端退化。</w:t>
      </w:r>
    </w:p>
    <w:p>
      <w:pPr>
        <w:pStyle w:val="Heading2"/>
      </w:pPr>
      <w:r>
        <w:t>5.5 局部 RBF 激活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ψt,ₖ(x) = exp(−(x−μt,ₖ)² / (2st,ₖ²))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NQ(x) = Q 个距离 x 最近的中心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ψt,ₖ(x)=0，若 k ∉ NQ(x)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建议 RNA 使用 8–16 个中心、CNV 使用 5–8 个中心、SNV 使用 2–3 个状态中心；每个输入仅计算最近的 Q=3 个中心。</w:t>
      </w:r>
    </w:p>
    <w:p>
      <w:pPr>
        <w:pStyle w:val="Heading2"/>
      </w:pPr>
      <w:r>
        <w:t>5.6 低秩边函数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cⱼ,ᵢ,ₖ = Σr Pⱼ,r · Qᵢ,r · Br,t(i),ₖ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φⱼ,ᵢ(xᵢ) = aⱼ,ᵢ xᵢ + Σₖ∈NQ(xᵢ) cⱼ,ᵢ,ₖ ψt(i),ₖ(xᵢ)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yⱼ = bⱼ + Σᵢ φⱼ,ᵢ(xᵢ)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低秩分解将完整的三维边函数系数张量压缩为输出因子、输入因子和少量函数模板。R 建议取 16 或 32。线性残差 aⱼ,ᵢxᵢ 保证模块在初始化时接近线性层，并改善训练范围外的外推。</w:t>
      </w:r>
    </w:p>
    <w:p>
      <w:pPr>
        <w:pStyle w:val="Heading2"/>
      </w:pPr>
      <w:r>
        <w:t>5.7 推荐层级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第一版不建议连续堆叠两个大型 RBF-KAN 层。推荐使用一个 TC-RBFKAN 层完成主要非线性编码，再使用普通线性投影统一输出维度：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TC-RBFKAN(dₘ, dₕ) → LayerNorm → Dropout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Linear(dₕ, d) → 得到 gₘ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若实验稳定且参数量可控，再尝试第二个轻量 TC-RBFKAN 层。</w:t>
      </w:r>
    </w:p>
    <w:p>
      <w:pPr>
        <w:pStyle w:val="Heading2"/>
      </w:pPr>
      <w:r>
        <w:t>5.8 正则项与诊断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Lcover = Ex[minₖ |x−μₖ|²/sₖ²]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还应监测最小中心间距、宽度分布、中心使用频率、死基函数比例和边函数有效秩。网格覆盖损失、宽度边界约束和利用率均衡只能使用较小权重，避免模型为了平均使用中心而损失任务适应性。</w:t>
      </w:r>
    </w:p>
    <w:p>
      <w:pPr>
        <w:pStyle w:val="Heading1"/>
      </w:pPr>
      <w:r>
        <w:t>6 DD-KAC：双域基因结构 KAC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英文名称：Dual-Domain Gene Kolmogorov-Arnold Convolution。</w:t>
      </w:r>
    </w:p>
    <w:p>
      <w:pPr>
        <w:pStyle w:val="Heading2"/>
      </w:pPr>
      <w:r>
        <w:t>6.1 核心思想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Structural KAC 最初面向图像，分别学习像素值的非线性变换和卷积滤波器形状。基因向量没有天然的一维空间顺序，因此不能把 CSV 中相邻基因直接当作局部邻域使用 Conv1D。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DD-KAC 将图像中的“值域”和“空间形状域”重新定义为：值域分支学习单基因测量值的非线性；结构分支在真实基因关系图上学习患者自适应图滤波。两者通过患者级通路门控融合。</w:t>
      </w:r>
    </w:p>
    <w:p>
      <w:pPr>
        <w:pStyle w:val="Heading2"/>
      </w:pPr>
      <w:r>
        <w:t>6.2 基因关系图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Gₘ = (Vₘ, Eₘ, Aₘ)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对每个功能组分别构建基因图。Aₘ 可来源于 PPI、Reactome、KEGG、MSigDB、转录调控关系，或仅使用训练折计算的表达相关性。外部知识图谱必须明确版本和筛选规则；数据驱动相关图必须在每个训练折内重新构建。</w:t>
      </w:r>
    </w:p>
    <w:p>
      <w:pPr>
        <w:pStyle w:val="Heading2"/>
      </w:pPr>
      <w:r>
        <w:t>6.3 值域 KAN 分支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vᵢ = φₘ,t(i)(xᵢ)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φₘ,t(x) = aₘ,t x + Σₖ cₘ,t,ₖ ψt,ₖ(x)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hvalueₘ = Wvₘ [v₁, …, vdₘ]ᵀ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同一功能组、同一数据类型共享一元函数，而不是每个基因独立一套函数。该共享策略可以降低小样本过拟合，同时仍允许 RNA、CNV 和 SNV 使用不同的非线性。</w:t>
      </w:r>
    </w:p>
    <w:p>
      <w:pPr>
        <w:pStyle w:val="Heading2"/>
      </w:pPr>
      <w:r>
        <w:t>6.4 结构滤波分支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Lₘ = I − Dₘ⁻¹ᐟ² Aₘ Dₘ⁻¹ᐟ²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L̃ₘ = 2Lₘ/λmax − I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T₀(L̃)=I，T₁(L̃)=L̃，Tr(L̃)=2L̃Tr₋₁(L̃)−Tr₋₂(L̃)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uₘ = Σr=0…R θₘ,r(xₘ) Tr(L̃ₘ) x̄ₘ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hstructureₘ = Wsₘ uₘ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x̄ₘ 为通路内中心化后的基因信号，用于减少结构分支重复学习全局平均表达。图多项式阶数建议从 2 或 3 开始，避免高阶滤波造成过平滑和不稳定。</w:t>
      </w:r>
    </w:p>
    <w:p>
      <w:pPr>
        <w:pStyle w:val="Heading2"/>
      </w:pPr>
      <w:r>
        <w:t>6.5 患者自适应结构滤波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sₘ(x) = [mean(x), std(x), sparsity(x), xᵀLₘx/||x||², mutation burden]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θₘ(x) = softmax(Rₘ(sₘ(x)))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图能量 xᵀLx/||x||² 反映相互连接基因之间的不一致程度。患者级 θₘ 可以在低频、中频和高频图响应之间动态选择，从而适应不同患者的通路状态。</w:t>
      </w:r>
    </w:p>
    <w:p>
      <w:pPr>
        <w:pStyle w:val="Heading2"/>
      </w:pPr>
      <w:r>
        <w:t>6.6 双域融合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λₘ(x) = sigmoid(qₘᵀsₘ(x)+bₘ)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gₘ = LayerNorm[λₘ hvalueₘ + (1−λₘ) hstructureₘ + W⁰ₘxₘ]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λₘ 是患者级、通路级标量门控。第一版不建议使用每个输出通道独立门控。W⁰ₘxₘ 为线性残差，确保模型在结构图不可靠或动态门控训练不足时仍有稳定路径。</w:t>
      </w:r>
    </w:p>
    <w:p>
      <w:pPr>
        <w:pStyle w:val="Heading2"/>
      </w:pPr>
      <w:r>
        <w:t>6.7 双分支约束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Lcons = Σₘ [1 − cos(hvalueₘ, hstructureₘ)]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或   Ldecor = Σₘ ||Cov(hvalueₘ, hstructureₘ)||F²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一致性约束鼓励两个分支方向相容；去相关约束鼓励两个分支学习互补信息。二者不宜同时强约束，第一版应二选一，并通过消融确定哪一种更适合。</w:t>
      </w:r>
    </w:p>
    <w:p>
      <w:pPr>
        <w:pStyle w:val="Heading2"/>
      </w:pPr>
      <w:r>
        <w:t>6.8 适用前提</w:t>
      </w:r>
    </w:p>
    <w:p>
      <w:pPr>
        <w:pStyle w:val="NoteBox"/>
        <w:shd w:fill="EEF4FB"/>
      </w:pPr>
      <w:r>
        <w:rPr>
          <w:rFonts w:ascii="Arial" w:hAnsi="Arial" w:eastAsia="Noto Sans CJK SC"/>
          <w:b/>
          <w:color w:val="1F4E79"/>
          <w:sz w:val="20"/>
        </w:rPr>
        <w:t>关键前提：</w:t>
      </w:r>
      <w:r>
        <w:rPr>
          <w:rFonts w:ascii="Times New Roman" w:hAnsi="Times New Roman" w:eastAsia="Noto Sans CJK SC"/>
          <w:sz w:val="20"/>
        </w:rPr>
        <w:t>若暂时无法获得可靠的基因关系矩阵，应推迟 DD-KAC 实验，而不是把基因索引当作一维空间位置。错误的邻接先验会削弱方法可信度。</w:t>
      </w:r>
    </w:p>
    <w:p>
      <w:pPr>
        <w:pStyle w:val="Heading1"/>
      </w:pPr>
      <w:r>
        <w:t>7 统一实现规格与训练约束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143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统一要求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六个功能组分别输入，保持原始特征划分不变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714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每组输出一个 d 维 token，最终 G∈ℝ⁶ˣᵈ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病理分支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保持预训练病理编码器与 Sheaf 超图不变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融合模块</w:t>
            </w:r>
          </w:p>
        </w:tc>
        <w:tc>
          <w:tcPr>
            <w:tcW w:type="dxa" w:w="714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动态权重与 IFA 保持不变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损失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沿用原生存 NLL；新正则作为附加项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数据划分</w:t>
            </w:r>
          </w:p>
        </w:tc>
        <w:tc>
          <w:tcPr>
            <w:tcW w:type="dxa" w:w="714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沿用原五折划分，所有数据统计仅使用训练折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归一化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不同模块使用统一的输入预处理基线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参数预算</w:t>
            </w:r>
          </w:p>
        </w:tc>
        <w:tc>
          <w:tcPr>
            <w:tcW w:type="dxa" w:w="714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尽可能匹配或报告参数差异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随机种子</w:t>
            </w:r>
          </w:p>
        </w:tc>
        <w:tc>
          <w:tcPr>
            <w:tcW w:type="dxa" w:w="714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每个配置至少重复 3–5 次</w:t>
            </w:r>
          </w:p>
        </w:tc>
      </w:tr>
    </w:tbl>
    <w:p>
      <w:pPr>
        <w:spacing w:after="40"/>
      </w:pPr>
    </w:p>
    <w:p>
      <w:pPr>
        <w:pStyle w:val="Heading2"/>
      </w:pPr>
      <w:r>
        <w:t>7.1 推荐默认规模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005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超参数</w:t>
            </w:r>
          </w:p>
        </w:tc>
        <w:tc>
          <w:tcPr>
            <w:tcW w:type="dxa" w:w="5953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建议初值/搜索范围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输出 token 维度 d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与原模型一致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隐藏维度 dₕ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与原 MLP 一致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Dropout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0.20–0.30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PB-TAMLU 总预算 B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0.5、1.0、2.0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DO-LA 激活数 K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4–5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DO-LA EMA ρ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0.95–0.99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JC-MoA 专家数 K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4–5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JC-MoA 路由温度 τ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1.0 起步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雅可比损失 λJ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10⁻⁴、10⁻³、10⁻²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TC-RBF 低秩 R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16 或 32</w:t>
            </w:r>
          </w:p>
        </w:tc>
      </w:tr>
      <w:tr>
        <w:tc>
          <w:tcPr>
            <w:tcW w:type="dxa" w:w="3005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TC-RBF 最近中心数 Q</w:t>
            </w:r>
          </w:p>
        </w:tc>
        <w:tc>
          <w:tcPr>
            <w:tcW w:type="dxa" w:w="595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3</w:t>
            </w:r>
          </w:p>
        </w:tc>
      </w:tr>
      <w:tr>
        <w:tc>
          <w:tcPr>
            <w:tcW w:type="dxa" w:w="3005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DD-KAC 图多项式阶数</w:t>
            </w:r>
          </w:p>
        </w:tc>
        <w:tc>
          <w:tcPr>
            <w:tcW w:type="dxa" w:w="595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2 或 3</w:t>
            </w:r>
          </w:p>
        </w:tc>
      </w:tr>
    </w:tbl>
    <w:p>
      <w:pPr>
        <w:spacing w:after="40"/>
      </w:pPr>
    </w:p>
    <w:p>
      <w:pPr>
        <w:pStyle w:val="Heading2"/>
      </w:pPr>
      <w:r>
        <w:t>7.2 每个模块需要记录的诊断量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154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803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7"/>
              </w:rPr>
              <w:t>必须记录的内部诊断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PB-TAMLU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预算 pₘ,ₗ、β/α 分布、不同癌种通路预算、激活导数尺度</w:t>
            </w:r>
          </w:p>
        </w:tc>
      </w:tr>
      <w:tr>
        <w:tc>
          <w:tcPr>
            <w:tcW w:type="dxa" w:w="215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DO-LA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Gram 条件数、有效秩、激活相关性、混合系数跨种子稳定性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JC-MoA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路由熵、专家使用率、导数能量 C、HR/LR 路由差异</w:t>
            </w:r>
          </w:p>
        </w:tc>
      </w:tr>
      <w:tr>
        <w:tc>
          <w:tcPr>
            <w:tcW w:type="dxa" w:w="215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TC-Free-RBF-KAN</w:t>
            </w:r>
          </w:p>
        </w:tc>
        <w:tc>
          <w:tcPr>
            <w:tcW w:type="dxa" w:w="6803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中心间距、宽度、死基函数率、覆盖率、函数模板有效秩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DD-KAC</w:t>
            </w:r>
          </w:p>
        </w:tc>
        <w:tc>
          <w:tcPr>
            <w:tcW w:type="dxa" w:w="6803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7"/>
              </w:rPr>
              <w:t>值域/结构门控 λ、图滤波频率权重、双分支相似度、图先验敏感性</w:t>
            </w:r>
          </w:p>
        </w:tc>
      </w:tr>
    </w:tbl>
    <w:p>
      <w:pPr>
        <w:spacing w:after="40"/>
      </w:pPr>
    </w:p>
    <w:p>
      <w:pPr>
        <w:pStyle w:val="Heading2"/>
      </w:pPr>
      <w:r>
        <w:t>7.3 实验对照关系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每条研究路线均应使用三级对照，而不是只比较原始 MLP 和最终改进模块：</w:t>
      </w:r>
    </w:p>
    <w:p>
      <w:pPr>
        <w:pStyle w:val="Equation"/>
        <w:shd w:fill="F8F8F8"/>
      </w:pPr>
      <w:r>
        <w:rPr>
          <w:rFonts w:ascii="Cambria Math" w:hAnsi="Cambria Math" w:eastAsia="Cambria Math"/>
          <w:sz w:val="21"/>
        </w:rPr>
        <w:t>原始 MLP/SNN  →  2026 原始模块  →  本文改进模块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MLP/SNN → TAMLU → PB-TAMLU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MLP/SNN → LA → DO-LA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MLP/SNN → MoA → JC-MoA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MLP/SNN → Free-RBF-KAN → TC-Free-RBF-KAN</w:t>
      </w:r>
    </w:p>
    <w:p>
      <w:pPr>
        <w:pStyle w:val="ListBullet"/>
        <w:spacing w:after="60" w:line="300" w:lineRule="auto"/>
        <w:ind w:left="397" w:hanging="198"/>
      </w:pPr>
      <w:r>
        <w:rPr>
          <w:rFonts w:ascii="Times New Roman" w:hAnsi="Times New Roman" w:eastAsia="Noto Serif CJK SC"/>
          <w:sz w:val="21"/>
        </w:rPr>
        <w:t>MLP/SNN → Structural KAC 的基因适配版 → DD-KAC</w:t>
      </w: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随后再对改进模块内部的关键机制进行真正消融，例如去除预算耦合、去除正交化、去除雅可比校准、改为自由中心、去除结构分支等。</w:t>
      </w:r>
    </w:p>
    <w:p>
      <w:pPr>
        <w:pStyle w:val="Heading1"/>
      </w:pPr>
      <w:r>
        <w:t>8 五个模块的定位与建议优先级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14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稳定性预期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创新潜力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实现难度</w:t>
            </w:r>
          </w:p>
        </w:tc>
        <w:tc>
          <w:tcPr>
            <w:tcW w:type="dxa" w:w="1701"/>
            <w:vAlign w:val="center"/>
            <w:shd w:fill="1F4E79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建议优先级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PB-TAMLU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中高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第一批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DO-LA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第一批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JC-MoA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很高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第一批</w:t>
            </w:r>
          </w:p>
        </w:tc>
      </w:tr>
      <w:tr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TC-Free-RBF-KAN</w:t>
            </w:r>
          </w:p>
        </w:tc>
        <w:tc>
          <w:tcPr>
            <w:tcW w:type="dxa" w:w="1814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  <w:shd w:fill="F4F7FA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第二批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DD-KAC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取决于基因图质量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很高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76" w:lineRule="auto"/>
              <w:jc w:val="left"/>
            </w:pPr>
            <w:r/>
            <w:r>
              <w:rPr>
                <w:rFonts w:ascii="Times New Roman" w:hAnsi="Times New Roman" w:eastAsia="Noto Serif CJK SC"/>
                <w:b w:val="0"/>
                <w:color w:val="000000"/>
                <w:sz w:val="18"/>
              </w:rPr>
              <w:t>第三批</w:t>
            </w:r>
          </w:p>
        </w:tc>
      </w:tr>
    </w:tbl>
    <w:p>
      <w:pPr>
        <w:spacing w:after="40"/>
      </w:pPr>
    </w:p>
    <w:p>
      <w:pPr>
        <w:keepNext w:val="0"/>
        <w:spacing w:before="0" w:after="100" w:line="324" w:lineRule="auto"/>
        <w:ind w:firstLine="420"/>
      </w:pPr>
      <w:r>
        <w:rPr>
          <w:rFonts w:ascii="Times New Roman" w:hAnsi="Times New Roman" w:eastAsia="Noto Serif CJK SC"/>
          <w:sz w:val="21"/>
        </w:rPr>
        <w:t>推荐先实现 PB-TAMLU、DO-LA 和 JC-MoA。三者都能在不改变六个基因 token 接口的前提下替换原 MLP，调试和公平对照最容易。TC-Free-RBF-KAN 需要更严格的参数与数值稳定性控制；DD-KAC 还依赖可靠的基因关系图，应在前三个模块完成后推进。</w:t>
      </w:r>
    </w:p>
    <w:p>
      <w:pPr>
        <w:pStyle w:val="NoteBox"/>
        <w:shd w:fill="EEF4FB"/>
      </w:pPr>
      <w:r>
        <w:rPr>
          <w:rFonts w:ascii="Arial" w:hAnsi="Arial" w:eastAsia="Noto Sans CJK SC"/>
          <w:b/>
          <w:color w:val="1F4E79"/>
          <w:sz w:val="20"/>
        </w:rPr>
        <w:t>新颖性声明：</w:t>
      </w:r>
      <w:r>
        <w:rPr>
          <w:rFonts w:ascii="Times New Roman" w:hAnsi="Times New Roman" w:eastAsia="Noto Sans CJK SC"/>
          <w:sz w:val="20"/>
        </w:rPr>
        <w:t>五个模块的数学结构目前是候选研究设计。最终论文中的新颖性表述必须以投稿前的系统文献检索为准，并采用“据我们所知，截至检索日期尚未发现等价结构”的谨慎写法。</w:t>
      </w:r>
    </w:p>
    <w:p>
      <w:pPr>
        <w:pStyle w:val="Heading1"/>
      </w:pPr>
      <w:r>
        <w:t>参考依据</w:t>
      </w:r>
    </w:p>
    <w:p>
      <w:pPr>
        <w:ind w:firstLine="0" w:left="340"/>
      </w:pPr>
      <w:r>
        <w:rPr>
          <w:rFonts w:ascii="Times New Roman" w:hAnsi="Times New Roman" w:eastAsia="Noto Serif CJK SC"/>
          <w:sz w:val="20"/>
        </w:rPr>
        <w:t>[1] Qu, M., Yang, G., Di, D., et al. Multimodal Cancer Survival Analysis via Hypergraph Learning with Cross-Modality Rebalance. arXiv:2505.11997v2, 2025.</w:t>
      </w:r>
    </w:p>
    <w:p>
      <w:pPr>
        <w:ind w:firstLine="0"/>
      </w:pPr>
      <w:r>
        <w:rPr>
          <w:rFonts w:ascii="Times New Roman" w:hAnsi="Times New Roman" w:eastAsia="Noto Serif CJK SC"/>
          <w:i/>
          <w:color w:val="505050"/>
          <w:sz w:val="20"/>
        </w:rPr>
        <w:t>说明：本文件中的五个模块设计基于 MRePath 的六通路基因组编码接口进行领域化改造，未改变其病理超图、模态重平衡和交互对齐融合的总体流程。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Noto Serif CJK SC"/>
        <w:color w:val="646464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Times New Roman" w:hAnsi="Times New Roman" w:eastAsia="Noto Serif CJK SC"/>
        <w:color w:val="64646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Noto Sans CJK SC"/>
        <w:color w:val="696969"/>
        <w:sz w:val="18"/>
      </w:rPr>
      <w:t>MRePath 基因组编码器改进模块设计说明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  <w:ind w:firstLine="42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Arial" w:hAnsi="Arial" w:eastAsia="Noto Sans CJK SC"/>
      <w:b w:val="0"/>
      <w:i/>
      <w:iCs/>
      <w:color w:val="5A5A5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60" w:after="120"/>
      <w:ind w:firstLine="0"/>
      <w:jc w:val="center"/>
    </w:pPr>
    <w:rPr>
      <w:rFonts w:ascii="Cambria Math" w:hAnsi="Cambria Math" w:eastAsia="Cambria Math"/>
      <w:sz w:val="21"/>
    </w:rPr>
  </w:style>
  <w:style w:type="paragraph" w:customStyle="1" w:styleId="NoteBox">
    <w:name w:val="Note Box"/>
    <w:pPr>
      <w:spacing w:before="80" w:after="120"/>
      <w:ind w:firstLine="0" w:left="255" w:right="255"/>
    </w:pPr>
    <w:rPr>
      <w:rFonts w:ascii="Times New Roman" w:hAnsi="Times New Roman" w:eastAsia="Noto Sans CJK SC"/>
      <w:color w:val="3737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五种改进 KAN-like 基因组编码模块设计说明</dc:title>
  <dc:subject>MRePath 基因组 MLP 替换模块</dc:subject>
  <dc:creator>OpenAI</dc:creator>
  <cp:keywords>MRePath, KAN, TAMLU, MoA, RBF-KAN, 基因组编码, 生存分析</cp:keywords>
  <dc:description>技术设计说明，不含代码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