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Noto Sans CJK SC" w:hAnsi="Noto Sans CJK SC" w:eastAsia="Noto Sans CJK SC"/>
          <w:b/>
          <w:color w:val="123B5D"/>
          <w:sz w:val="48"/>
        </w:rPr>
        <w:t>MRePath 论文潜在问题发现与验证方案</w:t>
      </w:r>
    </w:p>
    <w:p>
      <w:pPr>
        <w:jc w:val="center"/>
      </w:pPr>
      <w:r>
        <w:rPr>
          <w:rFonts w:ascii="Noto Sans CJK SC" w:hAnsi="Noto Sans CJK SC" w:eastAsia="Noto Sans CJK SC"/>
          <w:color w:val="4A5568"/>
          <w:sz w:val="26"/>
        </w:rPr>
        <w:t>面向多模态癌症生存分析的可靠性重平衡与冲突感知研究</w:t>
      </w:r>
    </w:p>
    <w:tbl>
      <w:tblPr>
        <w:tblW w:type="auto" w:w="0"/>
        <w:jc w:val="center"/>
        <w:tblLook w:firstColumn="1" w:firstRow="1" w:lastColumn="0" w:lastRow="0" w:noHBand="0" w:noVBand="1" w:val="04A0"/>
      </w:tblPr>
      <w:tblGrid>
        <w:gridCol w:w="6803"/>
      </w:tblGrid>
      <w:tr>
        <w:trPr>
          <w:cantSplit/>
        </w:trPr>
        <w:tc>
          <w:tcPr>
            <w:tcW w:type="dxa" w:w="9632"/>
            <w:shd w:fill="2B6F95"/>
          </w:tcPr>
          <w:p>
            <w:pPr>
              <w:spacing w:after="40" w:line="276" w:lineRule="auto"/>
            </w:pPr>
          </w:p>
        </w:tc>
      </w:tr>
    </w:tbl>
    <w:p>
      <w:pPr>
        <w:spacing w:before="520"/>
        <w:jc w:val="center"/>
      </w:pPr>
      <w:r>
        <w:rPr>
          <w:rFonts w:ascii="Noto Serif CJK SC" w:hAnsi="Noto Serif CJK SC" w:eastAsia="Noto Serif CJK SC"/>
          <w:b/>
          <w:color w:val="1F4E78"/>
          <w:sz w:val="24"/>
        </w:rPr>
        <w:t>研究目标</w:t>
      </w:r>
    </w:p>
    <w:p>
      <w:pPr>
        <w:ind w:left="1134" w:right="1134"/>
        <w:jc w:val="center"/>
      </w:pPr>
      <w:r>
        <w:rPr>
          <w:rFonts w:ascii="Noto Serif CJK SC" w:hAnsi="Noto Serif CJK SC" w:eastAsia="Noto Serif CJK SC"/>
          <w:sz w:val="22"/>
        </w:rPr>
        <w:t>识别 MRePath 动态模态重平衡机制中可能存在的可靠性语义偏差，设计可复现的受控实验，证明问题是否真实存在，并形成可进一步投稿的改进路线。</w:t>
      </w:r>
    </w:p>
    <w:p>
      <w:pPr>
        <w:spacing w:before="520"/>
        <w:jc w:val="center"/>
      </w:pPr>
      <w:r>
        <w:rPr>
          <w:rFonts w:ascii="Noto Serif CJK SC" w:hAnsi="Noto Serif CJK SC" w:eastAsia="Noto Serif CJK SC"/>
          <w:i/>
          <w:color w:val="646464"/>
          <w:sz w:val="19"/>
        </w:rPr>
        <w:t>基于论文：Multimodal Cancer Survival Analysis via Hypergraph Learning with Cross-Modality Rebalance</w:t>
      </w:r>
    </w:p>
    <w:p>
      <w:pPr>
        <w:spacing w:before="1000"/>
        <w:jc w:val="center"/>
      </w:pPr>
      <w:r>
        <w:rPr>
          <w:rFonts w:ascii="Noto Serif CJK SC" w:hAnsi="Noto Serif CJK SC" w:eastAsia="Noto Serif CJK SC"/>
          <w:color w:val="6E6E6E"/>
          <w:sz w:val="20"/>
        </w:rPr>
        <w:t>研究分析稿 · 2026年7月</w:t>
      </w:r>
    </w:p>
    <w:p>
      <w:r>
        <w:rPr>
          <w:rFonts w:ascii="Noto Serif CJK SC" w:hAnsi="Noto Serif CJK SC" w:eastAsia="Noto Serif CJK SC"/>
        </w:rPr>
        <w:br w:type="page"/>
      </w:r>
    </w:p>
    <w:p>
      <w:pPr>
        <w:pStyle w:val="Heading1"/>
        <w:keepNext/>
      </w:pPr>
      <w:r>
        <w:rPr>
          <w:rFonts w:ascii="Noto Serif CJK SC" w:hAnsi="Noto Serif CJK SC" w:eastAsia="Noto Serif CJK SC"/>
        </w:rPr>
        <w:t>摘要</w:t>
      </w:r>
    </w:p>
    <w:p>
      <w:r>
        <w:rPr>
          <w:rFonts w:ascii="Noto Serif CJK SC" w:hAnsi="Noto Serif CJK SC" w:eastAsia="Noto Serif CJK SC"/>
          <w:b/>
        </w:rPr>
        <w:t>本文建议优先研究的核心问题是：</w:t>
      </w:r>
      <w:r>
        <w:rPr>
          <w:rFonts w:ascii="Noto Serif CJK SC" w:hAnsi="Noto Serif CJK SC" w:eastAsia="Noto Serif CJK SC"/>
        </w:rPr>
        <w:t>MRePath 的动态重平衡权重是否真的能够反映病理与基因模态的样本级可靠性，以及两种模态之间的一致、互补或冲突关系。论文通过 mono-confidence 与由其推导的 holo-confidence 计算最终模态权重，但 holo-confidence 仅由两个单模态置信度标量构成，没有显式使用跨模态特征对齐、预测分歧或联合信息。因此，它可能更接近一种置信度重参数化或弱模态补偿机制，而不一定是真正的“跨模态交互可靠性”度量。</w:t>
      </w:r>
    </w:p>
    <w:tbl>
      <w:tblPr>
        <w:tblW w:type="auto" w:w="0"/>
        <w:jc w:val="center"/>
        <w:tblLayout w:type="autofit"/>
        <w:tblLook w:firstColumn="1" w:firstRow="1" w:lastColumn="0" w:lastRow="0" w:noHBand="0" w:noVBand="1" w:val="04A0"/>
      </w:tblPr>
      <w:tblGrid>
        <w:gridCol w:w="9632"/>
      </w:tblGrid>
      <w:tr>
        <w:trPr>
          <w:cantSplit/>
        </w:trPr>
        <w:tc>
          <w:tcPr>
            <w:tcW w:type="dxa" w:w="9632"/>
            <w:shd w:fill="EAF2F8"/>
            <w:tcMar>
              <w:top w:w="140" w:type="dxa"/>
              <w:start w:w="180" w:type="dxa"/>
              <w:bottom w:w="140" w:type="dxa"/>
              <w:end w:w="180" w:type="dxa"/>
            </w:tcMar>
          </w:tcPr>
          <w:p>
            <w:pPr>
              <w:spacing w:after="40" w:line="276" w:lineRule="auto"/>
            </w:pPr>
            <w:r>
              <w:rPr>
                <w:rFonts w:ascii="Noto Serif CJK SC" w:hAnsi="Noto Serif CJK SC" w:eastAsia="Noto Serif CJK SC"/>
                <w:b/>
                <w:color w:val="1F4E78"/>
                <w:sz w:val="19"/>
              </w:rPr>
              <w:t>核心研究假设</w:t>
            </w:r>
          </w:p>
          <w:p>
            <w:pPr>
              <w:spacing w:after="40" w:line="276" w:lineRule="auto"/>
            </w:pPr>
            <w:r>
              <w:rPr>
                <w:rFonts w:ascii="Noto Serif CJK SC" w:hAnsi="Noto Serif CJK SC" w:eastAsia="Noto Serif CJK SC"/>
                <w:sz w:val="19"/>
              </w:rPr>
              <w:t>在模态噪声、患者错配、模态缺失或跨模态预测冲突条件下，MRePath 的动态权重可能无法稳定、单调地跟随真实模态可靠性变化，甚至可能出现低可靠性模态获得更高权重的反直觉现象。</w:t>
            </w:r>
          </w:p>
        </w:tc>
      </w:tr>
    </w:tbl>
    <w:p>
      <w:pPr>
        <w:spacing w:after="0"/>
      </w:pPr>
    </w:p>
    <w:p>
      <w:r>
        <w:rPr>
          <w:rFonts w:ascii="Noto Serif CJK SC" w:hAnsi="Noto Serif CJK SC" w:eastAsia="Noto Serif CJK SC"/>
          <w:b/>
        </w:rPr>
        <w:t>建议采用三层证据链进行验证：</w:t>
      </w:r>
      <w:r>
        <w:rPr>
          <w:rFonts w:ascii="Noto Serif CJK SC" w:hAnsi="Noto Serif CJK SC" w:eastAsia="Noto Serif CJK SC"/>
        </w:rPr>
        <w:t>第一层为公式性质分析；第二层为前向传播与梯度 sanity check；第三层为噪声、错配、缺失和可靠性相关性实验。若多项证据同时成立，即可把“现有重平衡机制缺乏质量感知和冲突感知能力”发展为一篇较完整的改进论文。</w:t>
      </w:r>
    </w:p>
    <w:p>
      <w:pPr>
        <w:pStyle w:val="Heading1"/>
      </w:pPr>
      <w:r>
        <w:rPr>
          <w:rFonts w:ascii="Noto Serif CJK SC" w:hAnsi="Noto Serif CJK SC" w:eastAsia="Noto Serif CJK SC"/>
        </w:rPr>
        <w:t>内容导航</w:t>
      </w:r>
    </w:p>
    <w:p>
      <w:pPr>
        <w:pStyle w:val="ListBullet"/>
        <w:spacing w:after="40"/>
      </w:pPr>
      <w:r>
        <w:rPr>
          <w:rFonts w:ascii="Noto Serif CJK SC" w:hAnsi="Noto Serif CJK SC" w:eastAsia="Noto Serif CJK SC"/>
        </w:rPr>
        <w:t>1. 原论文机制与可疑点</w:t>
      </w:r>
    </w:p>
    <w:p>
      <w:pPr>
        <w:pStyle w:val="ListBullet"/>
        <w:spacing w:after="40"/>
      </w:pPr>
      <w:r>
        <w:rPr>
          <w:rFonts w:ascii="Noto Serif CJK SC" w:hAnsi="Noto Serif CJK SC" w:eastAsia="Noto Serif CJK SC"/>
        </w:rPr>
        <w:t>2. 建议发现的研究问题</w:t>
      </w:r>
    </w:p>
    <w:p>
      <w:pPr>
        <w:pStyle w:val="ListBullet"/>
        <w:spacing w:after="40"/>
      </w:pPr>
      <w:r>
        <w:rPr>
          <w:rFonts w:ascii="Noto Serif CJK SC" w:hAnsi="Noto Serif CJK SC" w:eastAsia="Noto Serif CJK SC"/>
        </w:rPr>
        <w:t>3. 数学层面的初步分析</w:t>
      </w:r>
    </w:p>
    <w:p>
      <w:pPr>
        <w:pStyle w:val="ListBullet"/>
        <w:spacing w:after="40"/>
      </w:pPr>
      <w:r>
        <w:rPr>
          <w:rFonts w:ascii="Noto Serif CJK SC" w:hAnsi="Noto Serif CJK SC" w:eastAsia="Noto Serif CJK SC"/>
        </w:rPr>
        <w:t>4. 如何证明问题存在</w:t>
      </w:r>
    </w:p>
    <w:p>
      <w:pPr>
        <w:pStyle w:val="ListBullet"/>
        <w:spacing w:after="40"/>
      </w:pPr>
      <w:r>
        <w:rPr>
          <w:rFonts w:ascii="Noto Serif CJK SC" w:hAnsi="Noto Serif CJK SC" w:eastAsia="Noto Serif CJK SC"/>
        </w:rPr>
        <w:t>5. 实验设计与评价指标</w:t>
      </w:r>
    </w:p>
    <w:p>
      <w:pPr>
        <w:pStyle w:val="ListBullet"/>
        <w:spacing w:after="40"/>
      </w:pPr>
      <w:r>
        <w:rPr>
          <w:rFonts w:ascii="Noto Serif CJK SC" w:hAnsi="Noto Serif CJK SC" w:eastAsia="Noto Serif CJK SC"/>
        </w:rPr>
        <w:t>6. 证据判定标准</w:t>
      </w:r>
    </w:p>
    <w:p>
      <w:pPr>
        <w:pStyle w:val="ListBullet"/>
        <w:spacing w:after="40"/>
      </w:pPr>
      <w:r>
        <w:rPr>
          <w:rFonts w:ascii="Noto Serif CJK SC" w:hAnsi="Noto Serif CJK SC" w:eastAsia="Noto Serif CJK SC"/>
        </w:rPr>
        <w:t>7. 可行的改进方向</w:t>
      </w:r>
    </w:p>
    <w:p>
      <w:pPr>
        <w:pStyle w:val="ListBullet"/>
        <w:spacing w:after="40"/>
      </w:pPr>
      <w:r>
        <w:rPr>
          <w:rFonts w:ascii="Noto Serif CJK SC" w:hAnsi="Noto Serif CJK SC" w:eastAsia="Noto Serif CJK SC"/>
        </w:rPr>
        <w:t>8. 消融实验与投稿叙事</w:t>
      </w:r>
    </w:p>
    <w:p>
      <w:pPr>
        <w:pStyle w:val="ListBullet"/>
        <w:spacing w:after="40"/>
      </w:pPr>
      <w:r>
        <w:rPr>
          <w:rFonts w:ascii="Noto Serif CJK SC" w:hAnsi="Noto Serif CJK SC" w:eastAsia="Noto Serif CJK SC"/>
        </w:rPr>
        <w:t>9. 研究推进路线与风险控制</w:t>
      </w:r>
    </w:p>
    <w:p>
      <w:pPr>
        <w:pStyle w:val="ListBullet"/>
        <w:spacing w:after="40"/>
      </w:pPr>
      <w:r>
        <w:rPr>
          <w:rFonts w:ascii="Noto Serif CJK SC" w:hAnsi="Noto Serif CJK SC" w:eastAsia="Noto Serif CJK SC"/>
        </w:rPr>
        <w:t>附录：备选问题——固定超边阈值的尺度不一致性</w:t>
      </w:r>
    </w:p>
    <w:p>
      <w:r>
        <w:rPr>
          <w:rFonts w:ascii="Noto Serif CJK SC" w:hAnsi="Noto Serif CJK SC" w:eastAsia="Noto Serif CJK SC"/>
        </w:rPr>
        <w:br w:type="page"/>
      </w:r>
    </w:p>
    <w:p>
      <w:pPr>
        <w:pStyle w:val="Heading1"/>
        <w:keepNext/>
      </w:pPr>
      <w:r>
        <w:rPr>
          <w:rFonts w:ascii="Noto Serif CJK SC" w:hAnsi="Noto Serif CJK SC" w:eastAsia="Noto Serif CJK SC"/>
        </w:rPr>
        <w:t>1. 原论文机制与可疑点</w:t>
      </w:r>
    </w:p>
    <w:p>
      <w:pPr>
        <w:pStyle w:val="Heading2"/>
      </w:pPr>
      <w:r>
        <w:rPr>
          <w:rFonts w:ascii="Noto Serif CJK SC" w:hAnsi="Noto Serif CJK SC" w:eastAsia="Noto Serif CJK SC"/>
        </w:rPr>
        <w:t>1.1 MRePath 的核心结构</w:t>
      </w:r>
    </w:p>
    <w:p>
      <w:r>
        <w:rPr>
          <w:rFonts w:ascii="Noto Serif CJK SC" w:hAnsi="Noto Serif CJK SC" w:eastAsia="Noto Serif CJK SC"/>
        </w:rPr>
        <w:t>MRePath 面向病理全切片图像（WSI）与基因组数据的多模态生存预测，主要包含三个阶段：</w:t>
      </w:r>
    </w:p>
    <w:p>
      <w:pPr>
        <w:spacing w:after="40"/>
        <w:ind w:left="369" w:hanging="255"/>
      </w:pPr>
      <w:r>
        <w:rPr>
          <w:rFonts w:ascii="Noto Serif CJK SC" w:hAnsi="Noto Serif CJK SC" w:eastAsia="Noto Serif CJK SC"/>
        </w:rPr>
        <w:t>1. 病理与基因特征提取：病理图像被切分为 patch 并编码为节点特征，基因数据按功能类别编码。</w:t>
      </w:r>
    </w:p>
    <w:p>
      <w:pPr>
        <w:spacing w:after="40"/>
        <w:ind w:left="369" w:hanging="255"/>
      </w:pPr>
      <w:r>
        <w:rPr>
          <w:rFonts w:ascii="Noto Serif CJK SC" w:hAnsi="Noto Serif CJK SC" w:eastAsia="Noto Serif CJK SC"/>
        </w:rPr>
        <w:t>2. Sheaf 超图学习：在空间拓扑和特征相似度两个空间构造超边，并使用 sheaf hypergraph 提取上下文和层次信息。</w:t>
      </w:r>
    </w:p>
    <w:p>
      <w:pPr>
        <w:spacing w:after="40"/>
        <w:ind w:left="369" w:hanging="255"/>
      </w:pPr>
      <w:r>
        <w:rPr>
          <w:rFonts w:ascii="Noto Serif CJK SC" w:hAnsi="Noto Serif CJK SC" w:eastAsia="Noto Serif CJK SC"/>
        </w:rPr>
        <w:t>3. 模态重平衡与交互融合：根据 mono-confidence 和 holo-confidence 计算病理、基因权重，再通过交叉注意力进行融合和生存风险预测。</w:t>
      </w:r>
    </w:p>
    <w:p>
      <w:pPr>
        <w:spacing w:before="40" w:after="100"/>
        <w:ind w:left="340" w:right="340"/>
      </w:pPr>
      <w:r>
        <w:rPr>
          <w:rFonts w:ascii="Noto Serif CJK SC" w:hAnsi="Noto Serif CJK SC" w:eastAsia="Noto Serif CJK SC"/>
          <w:b/>
          <w:color w:val="5F6368"/>
        </w:rPr>
        <w:t>来源依据：</w:t>
      </w:r>
      <w:r>
        <w:rPr>
          <w:rFonts w:ascii="Noto Serif CJK SC" w:hAnsi="Noto Serif CJK SC" w:eastAsia="Noto Serif CJK SC"/>
          <w:i/>
          <w:color w:val="5F6368"/>
          <w:sz w:val="18"/>
        </w:rPr>
        <w:t>原论文第2—4页，尤其是图2、公式(2)—(11)。</w:t>
      </w:r>
    </w:p>
    <w:p>
      <w:pPr>
        <w:pStyle w:val="Heading2"/>
      </w:pPr>
      <w:r>
        <w:rPr>
          <w:rFonts w:ascii="Noto Serif CJK SC" w:hAnsi="Noto Serif CJK SC" w:eastAsia="Noto Serif CJK SC"/>
        </w:rPr>
        <w:t>1.2 动态重平衡的公式</w:t>
      </w:r>
    </w:p>
    <w:p>
      <w:r>
        <w:rPr>
          <w:rFonts w:ascii="Noto Serif CJK SC" w:hAnsi="Noto Serif CJK SC" w:eastAsia="Noto Serif CJK SC"/>
        </w:rPr>
        <w:t>论文先由两个 MLP 得到病理与基因的单模态置信度：</w:t>
      </w:r>
    </w:p>
    <w:p>
      <w:pPr>
        <w:spacing w:before="80" w:after="80"/>
        <w:jc w:val="center"/>
      </w:pPr>
      <w:r>
        <w:rPr>
          <w:rFonts w:ascii="Cambria Math" w:hAnsi="Cambria Math" w:eastAsia="Noto Serif CJK SC"/>
          <w:sz w:val="22"/>
        </w:rPr>
        <w:t>wₚᵐ = PΦₚ，    w_gᵐ = GΦ_g</w:t>
      </w:r>
    </w:p>
    <w:p>
      <w:r>
        <w:rPr>
          <w:rFonts w:ascii="Noto Serif CJK SC" w:hAnsi="Noto Serif CJK SC" w:eastAsia="Noto Serif CJK SC"/>
        </w:rPr>
        <w:t>随后定义 holo-confidence：</w:t>
      </w:r>
    </w:p>
    <w:p>
      <w:pPr>
        <w:spacing w:before="80" w:after="80"/>
        <w:jc w:val="center"/>
      </w:pPr>
      <w:r>
        <w:rPr>
          <w:rFonts w:ascii="Cambria Math" w:hAnsi="Cambria Math" w:eastAsia="Noto Serif CJK SC"/>
          <w:sz w:val="22"/>
        </w:rPr>
        <w:t>wₚʰ = log(wₚᵐ) / log(wₚᵐ · w_gᵐ)</w:t>
      </w:r>
    </w:p>
    <w:p>
      <w:pPr>
        <w:spacing w:before="80" w:after="80"/>
        <w:jc w:val="center"/>
      </w:pPr>
      <w:r>
        <w:rPr>
          <w:rFonts w:ascii="Cambria Math" w:hAnsi="Cambria Math" w:eastAsia="Noto Serif CJK SC"/>
          <w:sz w:val="22"/>
        </w:rPr>
        <w:t>w_gʰ = log(w_gᵐ) / log(wₚᵐ · w_gᵐ)</w:t>
      </w:r>
    </w:p>
    <w:p>
      <w:r>
        <w:rPr>
          <w:rFonts w:ascii="Noto Serif CJK SC" w:hAnsi="Noto Serif CJK SC" w:eastAsia="Noto Serif CJK SC"/>
        </w:rPr>
        <w:t>最终将 mono-confidence 与 holo-confidence 相加，并通过 Softmax 得到模态权重：</w:t>
      </w:r>
    </w:p>
    <w:p>
      <w:pPr>
        <w:spacing w:before="80" w:after="80"/>
        <w:jc w:val="center"/>
      </w:pPr>
      <w:r>
        <w:rPr>
          <w:rFonts w:ascii="Cambria Math" w:hAnsi="Cambria Math" w:eastAsia="Noto Serif CJK SC"/>
          <w:sz w:val="22"/>
        </w:rPr>
        <w:t>(wₚ, w_g) = Softmax(wₚᵐ + wₚʰ， w_gᵐ + w_gʰ)</w:t>
      </w:r>
    </w:p>
    <w:p>
      <w:pPr>
        <w:spacing w:before="40" w:after="100"/>
        <w:ind w:left="340" w:right="340"/>
      </w:pPr>
      <w:r>
        <w:rPr>
          <w:rFonts w:ascii="Noto Serif CJK SC" w:hAnsi="Noto Serif CJK SC" w:eastAsia="Noto Serif CJK SC"/>
          <w:b/>
          <w:color w:val="5F6368"/>
        </w:rPr>
        <w:t>来源依据：</w:t>
      </w:r>
      <w:r>
        <w:rPr>
          <w:rFonts w:ascii="Noto Serif CJK SC" w:hAnsi="Noto Serif CJK SC" w:eastAsia="Noto Serif CJK SC"/>
          <w:i/>
          <w:color w:val="5F6368"/>
          <w:sz w:val="18"/>
        </w:rPr>
        <w:t>原论文第4页，公式(7)—(9)。</w:t>
      </w:r>
    </w:p>
    <w:p>
      <w:pPr>
        <w:pStyle w:val="Heading2"/>
      </w:pPr>
      <w:r>
        <w:rPr>
          <w:rFonts w:ascii="Noto Serif CJK SC" w:hAnsi="Noto Serif CJK SC" w:eastAsia="Noto Serif CJK SC"/>
        </w:rPr>
        <w:t>1.3 可疑点：名称与实际计算量之间可能存在语义差距</w:t>
      </w:r>
    </w:p>
    <w:p>
      <w:r>
        <w:rPr>
          <w:rFonts w:ascii="Noto Serif CJK SC" w:hAnsi="Noto Serif CJK SC" w:eastAsia="Noto Serif CJK SC"/>
          <w:b/>
        </w:rPr>
        <w:t>论文将 holo-confidence 解释为对跨模态协调和互补性的衡量。</w:t>
      </w:r>
      <w:r>
        <w:rPr>
          <w:rFonts w:ascii="Noto Serif CJK SC" w:hAnsi="Noto Serif CJK SC" w:eastAsia="Noto Serif CJK SC"/>
        </w:rPr>
        <w:t>但其计算仅依赖两个 mono-confidence 标量，没有直接输入病理特征 P 与基因特征 G 的相似度、注意力对齐、风险预测分歧、联合互信息或冲突信号。因此，一个合理的研究疑问是：它是否真的能识别“跨模态一致与冲突”，还是仅对单模态置信度进行非线性重参数化。</w:t>
      </w:r>
    </w:p>
    <w:tbl>
      <w:tblPr>
        <w:tblW w:type="auto" w:w="0"/>
        <w:jc w:val="center"/>
        <w:tblLayout w:type="autofit"/>
        <w:tblLook w:firstColumn="1" w:firstRow="1" w:lastColumn="0" w:lastRow="0" w:noHBand="0" w:noVBand="1" w:val="04A0"/>
      </w:tblPr>
      <w:tblGrid>
        <w:gridCol w:w="9632"/>
      </w:tblGrid>
      <w:tr>
        <w:trPr>
          <w:cantSplit/>
        </w:trPr>
        <w:tc>
          <w:tcPr>
            <w:tcW w:type="dxa" w:w="9632"/>
            <w:shd w:fill="FFF4E5"/>
            <w:tcMar>
              <w:top w:w="140" w:type="dxa"/>
              <w:start w:w="180" w:type="dxa"/>
              <w:bottom w:w="140" w:type="dxa"/>
              <w:end w:w="180" w:type="dxa"/>
            </w:tcMar>
          </w:tcPr>
          <w:p>
            <w:pPr>
              <w:spacing w:after="40" w:line="276" w:lineRule="auto"/>
            </w:pPr>
            <w:r>
              <w:rPr>
                <w:rFonts w:ascii="Noto Serif CJK SC" w:hAnsi="Noto Serif CJK SC" w:eastAsia="Noto Serif CJK SC"/>
                <w:b/>
                <w:color w:val="9A5B00"/>
                <w:sz w:val="19"/>
              </w:rPr>
              <w:t>本文推断，而非原论文结论</w:t>
            </w:r>
          </w:p>
          <w:p>
            <w:pPr>
              <w:spacing w:after="40" w:line="276" w:lineRule="auto"/>
            </w:pPr>
            <w:r>
              <w:rPr>
                <w:rFonts w:ascii="Noto Serif CJK SC" w:hAnsi="Noto Serif CJK SC" w:eastAsia="Noto Serif CJK SC"/>
                <w:sz w:val="19"/>
              </w:rPr>
              <w:t>“holo-confidence 可能不能直接度量跨模态交互”是基于公式结构提出的研究假设，需要通过下文实验验证，不能在未实验前直接写成已证明事实。</w:t>
            </w:r>
          </w:p>
        </w:tc>
      </w:tr>
    </w:tbl>
    <w:p>
      <w:pPr>
        <w:spacing w:after="0"/>
      </w:pPr>
    </w:p>
    <w:p>
      <w:pPr>
        <w:pStyle w:val="Heading1"/>
        <w:keepNext/>
      </w:pPr>
      <w:r>
        <w:rPr>
          <w:rFonts w:ascii="Noto Serif CJK SC" w:hAnsi="Noto Serif CJK SC" w:eastAsia="Noto Serif CJK SC"/>
        </w:rPr>
        <w:t>2. 建议发现的研究问题</w:t>
      </w:r>
    </w:p>
    <w:p>
      <w:pPr>
        <w:pStyle w:val="Heading2"/>
      </w:pPr>
      <w:r>
        <w:rPr>
          <w:rFonts w:ascii="Noto Serif CJK SC" w:hAnsi="Noto Serif CJK SC" w:eastAsia="Noto Serif CJK SC"/>
        </w:rPr>
        <w:t>2.1 核心问题表述</w:t>
      </w:r>
    </w:p>
    <w:tbl>
      <w:tblPr>
        <w:tblW w:type="auto" w:w="0"/>
        <w:jc w:val="center"/>
        <w:tblLayout w:type="autofit"/>
        <w:tblLook w:firstColumn="1" w:firstRow="1" w:lastColumn="0" w:lastRow="0" w:noHBand="0" w:noVBand="1" w:val="04A0"/>
      </w:tblPr>
      <w:tblGrid>
        <w:gridCol w:w="9632"/>
      </w:tblGrid>
      <w:tr>
        <w:trPr>
          <w:cantSplit/>
        </w:trPr>
        <w:tc>
          <w:tcPr>
            <w:tcW w:type="dxa" w:w="9632"/>
            <w:shd w:fill="EAF2F8"/>
            <w:tcMar>
              <w:top w:w="140" w:type="dxa"/>
              <w:start w:w="180" w:type="dxa"/>
              <w:bottom w:w="140" w:type="dxa"/>
              <w:end w:w="180" w:type="dxa"/>
            </w:tcMar>
          </w:tcPr>
          <w:p>
            <w:pPr>
              <w:spacing w:after="40" w:line="276" w:lineRule="auto"/>
            </w:pPr>
            <w:r>
              <w:rPr>
                <w:rFonts w:ascii="Noto Serif CJK SC" w:hAnsi="Noto Serif CJK SC" w:eastAsia="Noto Serif CJK SC"/>
                <w:b/>
                <w:color w:val="1F4E78"/>
                <w:sz w:val="19"/>
              </w:rPr>
              <w:t>推荐论文问题定义</w:t>
            </w:r>
          </w:p>
          <w:p>
            <w:pPr>
              <w:spacing w:after="40" w:line="276" w:lineRule="auto"/>
            </w:pPr>
            <w:r>
              <w:rPr>
                <w:rFonts w:ascii="Noto Serif CJK SC" w:hAnsi="Noto Serif CJK SC" w:eastAsia="Noto Serif CJK SC"/>
                <w:sz w:val="19"/>
              </w:rPr>
              <w:t>现有动态重平衡机制是否缺乏显式的质量感知与跨模态冲突感知能力，从而在模态受噪、错配、缺失或预测矛盾时产生不可靠的样本级权重？</w:t>
            </w:r>
          </w:p>
        </w:tc>
      </w:tr>
    </w:tbl>
    <w:p>
      <w:pPr>
        <w:spacing w:after="0"/>
      </w:pPr>
    </w:p>
    <w:p>
      <w:pPr>
        <w:pStyle w:val="Heading2"/>
      </w:pPr>
      <w:r>
        <w:rPr>
          <w:rFonts w:ascii="Noto Serif CJK SC" w:hAnsi="Noto Serif CJK SC" w:eastAsia="Noto Serif CJK SC"/>
        </w:rPr>
        <w:t>2.2 可检验的研究假设</w:t>
      </w:r>
    </w:p>
    <w:p>
      <w:pPr>
        <w:spacing w:after="60"/>
      </w:pPr>
      <w:r>
        <w:rPr>
          <w:rFonts w:ascii="Noto Serif CJK SC" w:hAnsi="Noto Serif CJK SC" w:eastAsia="Noto Serif CJK SC"/>
          <w:b/>
        </w:rPr>
        <w:t>H1：质量单调性不足：</w:t>
      </w:r>
      <w:r>
        <w:rPr>
          <w:rFonts w:ascii="Noto Serif CJK SC" w:hAnsi="Noto Serif CJK SC" w:eastAsia="Noto Serif CJK SC"/>
        </w:rPr>
        <w:t>当某一模态的噪声强度持续增加时，该模态权重不一定稳定下降。</w:t>
      </w:r>
    </w:p>
    <w:p>
      <w:pPr>
        <w:spacing w:after="60"/>
      </w:pPr>
      <w:r>
        <w:rPr>
          <w:rFonts w:ascii="Noto Serif CJK SC" w:hAnsi="Noto Serif CJK SC" w:eastAsia="Noto Serif CJK SC"/>
          <w:b/>
        </w:rPr>
        <w:t>H2：错配敏感性不足：</w:t>
      </w:r>
      <w:r>
        <w:rPr>
          <w:rFonts w:ascii="Noto Serif CJK SC" w:hAnsi="Noto Serif CJK SC" w:eastAsia="Noto Serif CJK SC"/>
        </w:rPr>
        <w:t>将患者 i 的病理与患者 j 的基因错误配对后，holo-confidence 与最终权重可能变化很小。</w:t>
      </w:r>
    </w:p>
    <w:p>
      <w:pPr>
        <w:spacing w:after="60"/>
      </w:pPr>
      <w:r>
        <w:rPr>
          <w:rFonts w:ascii="Noto Serif CJK SC" w:hAnsi="Noto Serif CJK SC" w:eastAsia="Noto Serif CJK SC"/>
          <w:b/>
        </w:rPr>
        <w:t>H3：可靠性校准不足：</w:t>
      </w:r>
      <w:r>
        <w:rPr>
          <w:rFonts w:ascii="Noto Serif CJK SC" w:hAnsi="Noto Serif CJK SC" w:eastAsia="Noto Serif CJK SC"/>
        </w:rPr>
        <w:t>动态权重与该模态真实预测正确性或不确定性之间的相关性较低。</w:t>
      </w:r>
    </w:p>
    <w:p>
      <w:pPr>
        <w:spacing w:after="60"/>
      </w:pPr>
      <w:r>
        <w:rPr>
          <w:rFonts w:ascii="Noto Serif CJK SC" w:hAnsi="Noto Serif CJK SC" w:eastAsia="Noto Serif CJK SC"/>
          <w:b/>
        </w:rPr>
        <w:t>H4：缺失模态鲁棒性不足：</w:t>
      </w:r>
      <w:r>
        <w:rPr>
          <w:rFonts w:ascii="Noto Serif CJK SC" w:hAnsi="Noto Serif CJK SC" w:eastAsia="Noto Serif CJK SC"/>
        </w:rPr>
        <w:t>当某一模态部分缺失或完全缺失时，权重与预测可能出现异常波动。</w:t>
      </w:r>
    </w:p>
    <w:p>
      <w:pPr>
        <w:spacing w:after="60"/>
      </w:pPr>
      <w:r>
        <w:rPr>
          <w:rFonts w:ascii="Noto Serif CJK SC" w:hAnsi="Noto Serif CJK SC" w:eastAsia="Noto Serif CJK SC"/>
          <w:b/>
        </w:rPr>
        <w:t>H5：交互语义不足：</w:t>
      </w:r>
      <w:r>
        <w:rPr>
          <w:rFonts w:ascii="Noto Serif CJK SC" w:hAnsi="Noto Serif CJK SC" w:eastAsia="Noto Serif CJK SC"/>
        </w:rPr>
        <w:t>两组样本具有相同 mono-confidence、但跨模态一致性不同，模型可能给出相同或近似的 holo-confidence。</w:t>
      </w:r>
    </w:p>
    <w:p>
      <w:pPr>
        <w:pStyle w:val="Heading2"/>
      </w:pPr>
      <w:r>
        <w:rPr>
          <w:rFonts w:ascii="Noto Serif CJK SC" w:hAnsi="Noto Serif CJK SC" w:eastAsia="Noto Serif CJK SC"/>
        </w:rPr>
        <w:t>2.3 为什么这个问题值得研究</w:t>
      </w:r>
    </w:p>
    <w:p>
      <w:pPr>
        <w:pStyle w:val="ListBullet"/>
        <w:spacing w:after="40"/>
      </w:pPr>
      <w:r>
        <w:rPr>
          <w:rFonts w:ascii="Noto Serif CJK SC" w:hAnsi="Noto Serif CJK SC" w:eastAsia="Noto Serif CJK SC"/>
        </w:rPr>
        <w:t>它直接针对原论文的第二个核心贡献——跨模态重平衡，而不是外围模块替换。</w:t>
      </w:r>
    </w:p>
    <w:p>
      <w:pPr>
        <w:pStyle w:val="ListBullet"/>
        <w:spacing w:after="40"/>
      </w:pPr>
      <w:r>
        <w:rPr>
          <w:rFonts w:ascii="Noto Serif CJK SC" w:hAnsi="Noto Serif CJK SC" w:eastAsia="Noto Serif CJK SC"/>
        </w:rPr>
        <w:t>问题可以通过受控扰动实验明确证明，具有较强可复现性。</w:t>
      </w:r>
    </w:p>
    <w:p>
      <w:pPr>
        <w:pStyle w:val="ListBullet"/>
        <w:spacing w:after="40"/>
      </w:pPr>
      <w:r>
        <w:rPr>
          <w:rFonts w:ascii="Noto Serif CJK SC" w:hAnsi="Noto Serif CJK SC" w:eastAsia="Noto Serif CJK SC"/>
        </w:rPr>
        <w:t>若问题成立，可自然引出“质量感知 + 冲突感知 + 缺失鲁棒”的新融合方法。</w:t>
      </w:r>
    </w:p>
    <w:p>
      <w:pPr>
        <w:pStyle w:val="ListBullet"/>
        <w:spacing w:after="40"/>
      </w:pPr>
      <w:r>
        <w:rPr>
          <w:rFonts w:ascii="Noto Serif CJK SC" w:hAnsi="Noto Serif CJK SC" w:eastAsia="Noto Serif CJK SC"/>
        </w:rPr>
        <w:t>医学多模态场景天然存在低质量切片、不完整基因检测和配对缺失，问题具有临床实际意义。</w:t>
      </w:r>
    </w:p>
    <w:p>
      <w:pPr>
        <w:spacing w:before="40" w:after="100"/>
        <w:ind w:left="340" w:right="340"/>
      </w:pPr>
      <w:r>
        <w:rPr>
          <w:rFonts w:ascii="Noto Serif CJK SC" w:hAnsi="Noto Serif CJK SC" w:eastAsia="Noto Serif CJK SC"/>
          <w:b/>
          <w:color w:val="5F6368"/>
        </w:rPr>
        <w:t>来源依据：</w:t>
      </w:r>
      <w:r>
        <w:rPr>
          <w:rFonts w:ascii="Noto Serif CJK SC" w:hAnsi="Noto Serif CJK SC" w:eastAsia="Noto Serif CJK SC"/>
          <w:i/>
          <w:color w:val="5F6368"/>
          <w:sz w:val="18"/>
        </w:rPr>
        <w:t>原论文在“Limitations”中明确指出低质量数据、缺失模态会影响重平衡过程，并需要更强鲁棒性。原论文第7页。</w:t>
      </w:r>
    </w:p>
    <w:p>
      <w:pPr>
        <w:pStyle w:val="Heading1"/>
        <w:keepNext/>
      </w:pPr>
      <w:r>
        <w:rPr>
          <w:rFonts w:ascii="Noto Serif CJK SC" w:hAnsi="Noto Serif CJK SC" w:eastAsia="Noto Serif CJK SC"/>
        </w:rPr>
        <w:t>3. 数学层面的初步分析</w:t>
      </w:r>
    </w:p>
    <w:p>
      <w:pPr>
        <w:pStyle w:val="Heading2"/>
      </w:pPr>
      <w:r>
        <w:rPr>
          <w:rFonts w:ascii="Noto Serif CJK SC" w:hAnsi="Noto Serif CJK SC" w:eastAsia="Noto Serif CJK SC"/>
        </w:rPr>
        <w:t>3.1 holo-confidence 的归一关系</w:t>
      </w:r>
    </w:p>
    <w:p>
      <w:r>
        <w:rPr>
          <w:rFonts w:ascii="Noto Serif CJK SC" w:hAnsi="Noto Serif CJK SC" w:eastAsia="Noto Serif CJK SC"/>
        </w:rPr>
        <w:t>令病理和基因的 mono-confidence 分别为 a 与 b，并假设 a,b∈(0,1)。由于：</w:t>
      </w:r>
    </w:p>
    <w:p>
      <w:pPr>
        <w:spacing w:before="80" w:after="80"/>
        <w:jc w:val="center"/>
      </w:pPr>
      <w:r>
        <w:rPr>
          <w:rFonts w:ascii="Cambria Math" w:hAnsi="Cambria Math" w:eastAsia="Noto Serif CJK SC"/>
          <w:sz w:val="22"/>
        </w:rPr>
        <w:t>log(ab) = log(a) + log(b)</w:t>
      </w:r>
    </w:p>
    <w:p>
      <w:r>
        <w:rPr>
          <w:rFonts w:ascii="Noto Serif CJK SC" w:hAnsi="Noto Serif CJK SC" w:eastAsia="Noto Serif CJK SC"/>
        </w:rPr>
        <w:t>因此：</w:t>
      </w:r>
    </w:p>
    <w:p>
      <w:pPr>
        <w:spacing w:before="80" w:after="80"/>
        <w:jc w:val="center"/>
      </w:pPr>
      <w:r>
        <w:rPr>
          <w:rFonts w:ascii="Cambria Math" w:hAnsi="Cambria Math" w:eastAsia="Noto Serif CJK SC"/>
          <w:sz w:val="22"/>
        </w:rPr>
        <w:t>wₚʰ + w_gʰ = 1</w:t>
      </w:r>
    </w:p>
    <w:p>
      <w:r>
        <w:rPr>
          <w:rFonts w:ascii="Noto Serif CJK SC" w:hAnsi="Noto Serif CJK SC" w:eastAsia="Noto Serif CJK SC"/>
        </w:rPr>
        <w:t>这说明 holo-confidence 的两项天然形成一个和为 1 的分配。它具有“相对分配”性质，但仍不能自动说明其度量的是跨模态互补或交互。</w:t>
      </w:r>
    </w:p>
    <w:p>
      <w:pPr>
        <w:pStyle w:val="Heading2"/>
      </w:pPr>
      <w:r>
        <w:rPr>
          <w:rFonts w:ascii="Noto Serif CJK SC" w:hAnsi="Noto Serif CJK SC" w:eastAsia="Noto Serif CJK SC"/>
        </w:rPr>
        <w:t>3.2 反直觉的单调性</w:t>
      </w:r>
    </w:p>
    <w:p>
      <w:r>
        <w:rPr>
          <w:rFonts w:ascii="Noto Serif CJK SC" w:hAnsi="Noto Serif CJK SC" w:eastAsia="Noto Serif CJK SC"/>
        </w:rPr>
        <w:t>对病理 holo-confidence 关于病理 mono-confidence a 求偏导：</w:t>
      </w:r>
    </w:p>
    <w:p>
      <w:pPr>
        <w:spacing w:before="80" w:after="80"/>
        <w:jc w:val="center"/>
      </w:pPr>
      <w:r>
        <w:rPr>
          <w:rFonts w:ascii="Cambria Math" w:hAnsi="Cambria Math" w:eastAsia="Noto Serif CJK SC"/>
          <w:sz w:val="22"/>
        </w:rPr>
        <w:t>∂wₚʰ/∂a = log(b) / { a[log(a)+log(b)]² }</w:t>
      </w:r>
    </w:p>
    <w:p>
      <w:r>
        <w:rPr>
          <w:rFonts w:ascii="Noto Serif CJK SC" w:hAnsi="Noto Serif CJK SC" w:eastAsia="Noto Serif CJK SC"/>
        </w:rPr>
        <w:t>当 0&lt;b&lt;1 时，log(b)&lt;0，因此该偏导为负。也就是说，在固定基因置信度 b 的情况下，病理自身的 mono-confidence a 越高，病理 holo-confidence 反而越低。</w:t>
      </w:r>
    </w:p>
    <w:p>
      <w:pPr>
        <w:pStyle w:val="Heading2"/>
      </w:pPr>
      <w:r>
        <w:rPr>
          <w:rFonts w:ascii="Noto Serif CJK SC" w:hAnsi="Noto Serif CJK SC" w:eastAsia="Noto Serif CJK SC"/>
        </w:rPr>
        <w:t>3.3 数值例子</w:t>
      </w:r>
    </w:p>
    <w:p>
      <w:r>
        <w:rPr>
          <w:rFonts w:ascii="Noto Serif CJK SC" w:hAnsi="Noto Serif CJK SC" w:eastAsia="Noto Serif CJK SC"/>
        </w:rPr>
        <w:t>假设：</w:t>
      </w:r>
    </w:p>
    <w:p>
      <w:pPr>
        <w:spacing w:before="80" w:after="80"/>
        <w:jc w:val="center"/>
      </w:pPr>
      <w:r>
        <w:rPr>
          <w:rFonts w:ascii="Cambria Math" w:hAnsi="Cambria Math" w:eastAsia="Noto Serif CJK SC"/>
          <w:sz w:val="22"/>
        </w:rPr>
        <w:t>a = 0.9，    b = 0.2</w:t>
      </w:r>
    </w:p>
    <w:p>
      <w:r>
        <w:rPr>
          <w:rFonts w:ascii="Noto Serif CJK SC" w:hAnsi="Noto Serif CJK SC" w:eastAsia="Noto Serif CJK SC"/>
        </w:rPr>
        <w:t>则：</w:t>
      </w:r>
    </w:p>
    <w:p>
      <w:pPr>
        <w:spacing w:before="80" w:after="80"/>
        <w:jc w:val="center"/>
      </w:pPr>
      <w:r>
        <w:rPr>
          <w:rFonts w:ascii="Cambria Math" w:hAnsi="Cambria Math" w:eastAsia="Noto Serif CJK SC"/>
          <w:sz w:val="22"/>
        </w:rPr>
        <w:t>wₚʰ ≈ 0.061，    w_gʰ ≈ 0.939</w:t>
      </w:r>
    </w:p>
    <w:p>
      <w:r>
        <w:rPr>
          <w:rFonts w:ascii="Noto Serif CJK SC" w:hAnsi="Noto Serif CJK SC" w:eastAsia="Noto Serif CJK SC"/>
        </w:rPr>
        <w:t>加入 mono-confidence 后：</w:t>
      </w:r>
    </w:p>
    <w:p>
      <w:pPr>
        <w:spacing w:before="80" w:after="80"/>
        <w:jc w:val="center"/>
      </w:pPr>
      <w:r>
        <w:rPr>
          <w:rFonts w:ascii="Cambria Math" w:hAnsi="Cambria Math" w:eastAsia="Noto Serif CJK SC"/>
          <w:sz w:val="22"/>
        </w:rPr>
        <w:t>sₚ ≈ 0.961，    s_g ≈ 1.139</w:t>
      </w:r>
    </w:p>
    <w:p>
      <w:r>
        <w:rPr>
          <w:rFonts w:ascii="Noto Serif CJK SC" w:hAnsi="Noto Serif CJK SC" w:eastAsia="Noto Serif CJK SC"/>
        </w:rPr>
        <w:t>经过 Softmax，基因模态可能获得约 0.544 的权重，而病理模态约为 0.456。虽然这可能被解释为对弱模态的补偿，但它与“权重代表可靠性”的直觉并不一致。</w:t>
      </w:r>
    </w:p>
    <w:tbl>
      <w:tblPr>
        <w:tblW w:type="auto" w:w="0"/>
        <w:jc w:val="center"/>
        <w:tblLayout w:type="autofit"/>
        <w:tblLook w:firstColumn="1" w:firstRow="1" w:lastColumn="0" w:lastRow="0" w:noHBand="0" w:noVBand="1" w:val="04A0"/>
      </w:tblPr>
      <w:tblGrid>
        <w:gridCol w:w="9632"/>
      </w:tblGrid>
      <w:tr>
        <w:trPr>
          <w:cantSplit/>
        </w:trPr>
        <w:tc>
          <w:tcPr>
            <w:tcW w:type="dxa" w:w="9632"/>
            <w:shd w:fill="EAF7EE"/>
            <w:tcMar>
              <w:top w:w="140" w:type="dxa"/>
              <w:start w:w="180" w:type="dxa"/>
              <w:bottom w:w="140" w:type="dxa"/>
              <w:end w:w="180" w:type="dxa"/>
            </w:tcMar>
          </w:tcPr>
          <w:p>
            <w:pPr>
              <w:spacing w:after="40" w:line="276" w:lineRule="auto"/>
            </w:pPr>
            <w:r>
              <w:rPr>
                <w:rFonts w:ascii="Noto Serif CJK SC" w:hAnsi="Noto Serif CJK SC" w:eastAsia="Noto Serif CJK SC"/>
                <w:b/>
                <w:color w:val="236A3B"/>
                <w:sz w:val="19"/>
              </w:rPr>
              <w:t>可形成的理论命题</w:t>
            </w:r>
          </w:p>
          <w:p>
            <w:pPr>
              <w:spacing w:after="40" w:line="276" w:lineRule="auto"/>
            </w:pPr>
            <w:r>
              <w:rPr>
                <w:rFonts w:ascii="Noto Serif CJK SC" w:hAnsi="Noto Serif CJK SC" w:eastAsia="Noto Serif CJK SC"/>
                <w:sz w:val="19"/>
              </w:rPr>
              <w:t>当前权重机制同时混合了“可靠性估计”和“弱模态补偿”两种目标，导致最终权重的语义不明确。你的改进可以把两者显式解耦：一条支路估计质量可靠性，另一条支路估计跨模态互补或冲突。</w:t>
            </w:r>
          </w:p>
        </w:tc>
      </w:tr>
    </w:tbl>
    <w:p>
      <w:pPr>
        <w:spacing w:after="0"/>
      </w:pPr>
    </w:p>
    <w:p>
      <w:pPr>
        <w:pStyle w:val="Heading1"/>
        <w:keepNext/>
      </w:pPr>
      <w:r>
        <w:rPr>
          <w:rFonts w:ascii="Noto Serif CJK SC" w:hAnsi="Noto Serif CJK SC" w:eastAsia="Noto Serif CJK SC"/>
        </w:rPr>
        <w:t>4. 如何证明问题存在</w:t>
      </w:r>
    </w:p>
    <w:p>
      <w:pPr>
        <w:pStyle w:val="Heading2"/>
      </w:pPr>
      <w:r>
        <w:rPr>
          <w:rFonts w:ascii="Noto Serif CJK SC" w:hAnsi="Noto Serif CJK SC" w:eastAsia="Noto Serif CJK SC"/>
        </w:rPr>
        <w:t>4.1 第一步：实现层面的 sanity check</w:t>
      </w:r>
    </w:p>
    <w:p>
      <w:r>
        <w:rPr>
          <w:rFonts w:ascii="Noto Serif CJK SC" w:hAnsi="Noto Serif CJK SC" w:eastAsia="Noto Serif CJK SC"/>
        </w:rPr>
        <w:t>在开展大规模实验前，应先确认动态权重确实参与前向预测并能被反向传播训练。建议执行：</w:t>
      </w:r>
    </w:p>
    <w:p>
      <w:pPr>
        <w:spacing w:after="40"/>
        <w:ind w:left="369" w:hanging="255"/>
      </w:pPr>
      <w:r>
        <w:rPr>
          <w:rFonts w:ascii="Noto Serif CJK SC" w:hAnsi="Noto Serif CJK SC" w:eastAsia="Noto Serif CJK SC"/>
        </w:rPr>
        <w:t>1. 固定同一输入，将 (wₚ,w_g) 人工设置为 (1,0)、(0,1)、(0.5,0.5)，比较预测风险是否发生明显变化。</w:t>
      </w:r>
    </w:p>
    <w:p>
      <w:pPr>
        <w:spacing w:after="40"/>
        <w:ind w:left="369" w:hanging="255"/>
      </w:pPr>
      <w:r>
        <w:rPr>
          <w:rFonts w:ascii="Noto Serif CJK SC" w:hAnsi="Noto Serif CJK SC" w:eastAsia="Noto Serif CJK SC"/>
        </w:rPr>
        <w:t>2. 记录置信度网络参数的梯度范数；若长期接近 0，说明模块可能没有被有效训练。</w:t>
      </w:r>
    </w:p>
    <w:p>
      <w:pPr>
        <w:spacing w:after="40"/>
        <w:ind w:left="369" w:hanging="255"/>
      </w:pPr>
      <w:r>
        <w:rPr>
          <w:rFonts w:ascii="Noto Serif CJK SC" w:hAnsi="Noto Serif CJK SC" w:eastAsia="Noto Serif CJK SC"/>
        </w:rPr>
        <w:t>3. 移除动态权重模块，检查输出与原模型是否一致。</w:t>
      </w:r>
    </w:p>
    <w:p>
      <w:pPr>
        <w:spacing w:after="40"/>
        <w:ind w:left="369" w:hanging="255"/>
      </w:pPr>
      <w:r>
        <w:rPr>
          <w:rFonts w:ascii="Noto Serif CJK SC" w:hAnsi="Noto Serif CJK SC" w:eastAsia="Noto Serif CJK SC"/>
        </w:rPr>
        <w:t>4. 保存每个患者的 wₚ、w_g、单模态风险、融合风险和生存标签，建立后续统计分析日志。</w:t>
      </w:r>
    </w:p>
    <w:p>
      <w:pPr>
        <w:pStyle w:val="Heading2"/>
      </w:pPr>
      <w:r>
        <w:rPr>
          <w:rFonts w:ascii="Noto Serif CJK SC" w:hAnsi="Noto Serif CJK SC" w:eastAsia="Noto Serif CJK SC"/>
        </w:rPr>
        <w:t>4.2 模态质量退化实验</w:t>
      </w:r>
    </w:p>
    <w:p>
      <w:r>
        <w:rPr>
          <w:rFonts w:ascii="Noto Serif CJK SC" w:hAnsi="Noto Serif CJK SC" w:eastAsia="Noto Serif CJK SC"/>
        </w:rPr>
        <w:t>保持患者配对不变，逐级降低一个模态的质量，观察对应权重是否单调下降。</w:t>
      </w:r>
    </w:p>
    <w:tbl>
      <w:tblPr>
        <w:tblW w:type="auto" w:w="0"/>
        <w:jc w:val="center"/>
        <w:tblLook w:firstColumn="1" w:firstRow="1" w:lastColumn="0" w:lastRow="0" w:noHBand="0" w:noVBand="1" w:val="04A0"/>
        <w:tblBorders>
          <w:top w:val="single" w:sz="6" w:space="0" w:color="B8C2CC"/>
          <w:start w:val="single" w:sz="6" w:space="0" w:color="B8C2CC"/>
          <w:bottom w:val="single" w:sz="6" w:space="0" w:color="B8C2CC"/>
          <w:end w:val="single" w:sz="6" w:space="0" w:color="B8C2CC"/>
          <w:insideH w:val="single" w:sz="6" w:space="0" w:color="B8C2CC"/>
          <w:insideV w:val="single" w:sz="6" w:space="0" w:color="B8C2CC"/>
        </w:tblBorders>
      </w:tblPr>
      <w:tblGrid>
        <w:gridCol w:w="2408"/>
        <w:gridCol w:w="2408"/>
        <w:gridCol w:w="2408"/>
        <w:gridCol w:w="2408"/>
      </w:tblGrid>
      <w:tr>
        <w:trPr>
          <w:tblHeader w:val="true"/>
          <w:cantSplit/>
        </w:trPr>
        <w:tc>
          <w:tcPr>
            <w:tcW w:type="dxa" w:w="2408"/>
            <w:shd w:fill="D9EAF7"/>
            <w:tcMar>
              <w:top w:w="120" w:type="dxa"/>
              <w:start w:w="120" w:type="dxa"/>
              <w:bottom w:w="120" w:type="dxa"/>
              <w:end w:w="120" w:type="dxa"/>
            </w:tcMar>
            <w:vAlign w:val="center"/>
          </w:tcPr>
          <w:p>
            <w:pPr>
              <w:spacing w:after="40" w:line="276" w:lineRule="auto"/>
            </w:pPr>
            <w:r>
              <w:rPr>
                <w:rFonts w:ascii="Noto Serif CJK SC" w:hAnsi="Noto Serif CJK SC" w:eastAsia="Noto Serif CJK SC"/>
                <w:b/>
                <w:sz w:val="19"/>
              </w:rPr>
              <w:t>模态</w:t>
            </w:r>
          </w:p>
        </w:tc>
        <w:tc>
          <w:tcPr>
            <w:tcW w:type="dxa" w:w="2408"/>
            <w:shd w:fill="D9EAF7"/>
            <w:tcMar>
              <w:top w:w="120" w:type="dxa"/>
              <w:start w:w="120" w:type="dxa"/>
              <w:bottom w:w="120" w:type="dxa"/>
              <w:end w:w="120" w:type="dxa"/>
            </w:tcMar>
            <w:vAlign w:val="center"/>
          </w:tcPr>
          <w:p>
            <w:pPr>
              <w:spacing w:after="40" w:line="276" w:lineRule="auto"/>
            </w:pPr>
            <w:r>
              <w:rPr>
                <w:rFonts w:ascii="Noto Serif CJK SC" w:hAnsi="Noto Serif CJK SC" w:eastAsia="Noto Serif CJK SC"/>
                <w:b/>
                <w:sz w:val="19"/>
              </w:rPr>
              <w:t>扰动方式</w:t>
            </w:r>
          </w:p>
        </w:tc>
        <w:tc>
          <w:tcPr>
            <w:tcW w:type="dxa" w:w="2408"/>
            <w:shd w:fill="D9EAF7"/>
            <w:tcMar>
              <w:top w:w="120" w:type="dxa"/>
              <w:start w:w="120" w:type="dxa"/>
              <w:bottom w:w="120" w:type="dxa"/>
              <w:end w:w="120" w:type="dxa"/>
            </w:tcMar>
            <w:vAlign w:val="center"/>
          </w:tcPr>
          <w:p>
            <w:pPr>
              <w:spacing w:after="40" w:line="276" w:lineRule="auto"/>
            </w:pPr>
            <w:r>
              <w:rPr>
                <w:rFonts w:ascii="Noto Serif CJK SC" w:hAnsi="Noto Serif CJK SC" w:eastAsia="Noto Serif CJK SC"/>
                <w:b/>
                <w:sz w:val="19"/>
              </w:rPr>
              <w:t>强度建议</w:t>
            </w:r>
          </w:p>
        </w:tc>
        <w:tc>
          <w:tcPr>
            <w:tcW w:type="dxa" w:w="2408"/>
            <w:shd w:fill="D9EAF7"/>
            <w:tcMar>
              <w:top w:w="120" w:type="dxa"/>
              <w:start w:w="120" w:type="dxa"/>
              <w:bottom w:w="120" w:type="dxa"/>
              <w:end w:w="120" w:type="dxa"/>
            </w:tcMar>
            <w:vAlign w:val="center"/>
          </w:tcPr>
          <w:p>
            <w:pPr>
              <w:spacing w:after="40" w:line="276" w:lineRule="auto"/>
            </w:pPr>
            <w:r>
              <w:rPr>
                <w:rFonts w:ascii="Noto Serif CJK SC" w:hAnsi="Noto Serif CJK SC" w:eastAsia="Noto Serif CJK SC"/>
                <w:b/>
                <w:sz w:val="19"/>
              </w:rPr>
              <w:t>应观察的理想现象</w:t>
            </w:r>
          </w:p>
        </w:tc>
      </w:tr>
      <w:tr>
        <w:trPr>
          <w:cantSplit/>
        </w:trPr>
        <w:tc>
          <w:tcPr>
            <w:tcW w:type="dxa" w:w="2408"/>
            <w:tcMar>
              <w:top w:w="120" w:type="dxa"/>
              <w:start w:w="120" w:type="dxa"/>
              <w:bottom w:w="120" w:type="dxa"/>
              <w:end w:w="120" w:type="dxa"/>
            </w:tcMar>
            <w:vAlign w:val="center"/>
          </w:tcPr>
          <w:p>
            <w:pPr>
              <w:spacing w:after="40" w:line="276" w:lineRule="auto"/>
            </w:pPr>
            <w:r>
              <w:rPr>
                <w:rFonts w:ascii="Noto Serif CJK SC" w:hAnsi="Noto Serif CJK SC" w:eastAsia="Noto Serif CJK SC"/>
                <w:sz w:val="19"/>
              </w:rPr>
              <w:t>病理</w:t>
            </w:r>
          </w:p>
        </w:tc>
        <w:tc>
          <w:tcPr>
            <w:tcW w:type="dxa" w:w="2408"/>
            <w:tcMar>
              <w:top w:w="120" w:type="dxa"/>
              <w:start w:w="120" w:type="dxa"/>
              <w:bottom w:w="120" w:type="dxa"/>
              <w:end w:w="120" w:type="dxa"/>
            </w:tcMar>
            <w:vAlign w:val="center"/>
          </w:tcPr>
          <w:p>
            <w:pPr>
              <w:spacing w:after="40" w:line="276" w:lineRule="auto"/>
            </w:pPr>
            <w:r>
              <w:rPr>
                <w:rFonts w:ascii="Noto Serif CJK SC" w:hAnsi="Noto Serif CJK SC" w:eastAsia="Noto Serif CJK SC"/>
                <w:sz w:val="19"/>
              </w:rPr>
              <w:t>随机删除 patch</w:t>
            </w:r>
          </w:p>
        </w:tc>
        <w:tc>
          <w:tcPr>
            <w:tcW w:type="dxa" w:w="2408"/>
            <w:tcMar>
              <w:top w:w="120" w:type="dxa"/>
              <w:start w:w="120" w:type="dxa"/>
              <w:bottom w:w="120" w:type="dxa"/>
              <w:end w:w="120" w:type="dxa"/>
            </w:tcMar>
            <w:vAlign w:val="center"/>
          </w:tcPr>
          <w:p>
            <w:pPr>
              <w:spacing w:after="40" w:line="276" w:lineRule="auto"/>
            </w:pPr>
            <w:r>
              <w:rPr>
                <w:rFonts w:ascii="Noto Serif CJK SC" w:hAnsi="Noto Serif CJK SC" w:eastAsia="Noto Serif CJK SC"/>
                <w:sz w:val="19"/>
              </w:rPr>
              <w:t>0%、25%、50%、75%</w:t>
            </w:r>
          </w:p>
        </w:tc>
        <w:tc>
          <w:tcPr>
            <w:tcW w:type="dxa" w:w="2408"/>
            <w:tcMar>
              <w:top w:w="120" w:type="dxa"/>
              <w:start w:w="120" w:type="dxa"/>
              <w:bottom w:w="120" w:type="dxa"/>
              <w:end w:w="120" w:type="dxa"/>
            </w:tcMar>
            <w:vAlign w:val="center"/>
          </w:tcPr>
          <w:p>
            <w:pPr>
              <w:spacing w:after="40" w:line="276" w:lineRule="auto"/>
            </w:pPr>
            <w:r>
              <w:rPr>
                <w:rFonts w:ascii="Noto Serif CJK SC" w:hAnsi="Noto Serif CJK SC" w:eastAsia="Noto Serif CJK SC"/>
                <w:sz w:val="19"/>
              </w:rPr>
              <w:t>删除越多，wₚ 越低</w:t>
            </w:r>
          </w:p>
        </w:tc>
      </w:tr>
      <w:tr>
        <w:trPr>
          <w:cantSplit/>
        </w:trPr>
        <w:tc>
          <w:tcPr>
            <w:tcW w:type="dxa" w:w="2408"/>
            <w:tcMar>
              <w:top w:w="120" w:type="dxa"/>
              <w:start w:w="120" w:type="dxa"/>
              <w:bottom w:w="120" w:type="dxa"/>
              <w:end w:w="120" w:type="dxa"/>
            </w:tcMar>
            <w:vAlign w:val="center"/>
          </w:tcPr>
          <w:p>
            <w:pPr>
              <w:spacing w:after="40" w:line="276" w:lineRule="auto"/>
            </w:pPr>
            <w:r>
              <w:rPr>
                <w:rFonts w:ascii="Noto Serif CJK SC" w:hAnsi="Noto Serif CJK SC" w:eastAsia="Noto Serif CJK SC"/>
                <w:sz w:val="19"/>
              </w:rPr>
              <w:t>病理</w:t>
            </w:r>
          </w:p>
        </w:tc>
        <w:tc>
          <w:tcPr>
            <w:tcW w:type="dxa" w:w="2408"/>
            <w:tcMar>
              <w:top w:w="120" w:type="dxa"/>
              <w:start w:w="120" w:type="dxa"/>
              <w:bottom w:w="120" w:type="dxa"/>
              <w:end w:w="120" w:type="dxa"/>
            </w:tcMar>
            <w:vAlign w:val="center"/>
          </w:tcPr>
          <w:p>
            <w:pPr>
              <w:spacing w:after="40" w:line="276" w:lineRule="auto"/>
            </w:pPr>
            <w:r>
              <w:rPr>
                <w:rFonts w:ascii="Noto Serif CJK SC" w:hAnsi="Noto Serif CJK SC" w:eastAsia="Noto Serif CJK SC"/>
                <w:sz w:val="19"/>
              </w:rPr>
              <w:t>patch 特征加高斯噪声</w:t>
            </w:r>
          </w:p>
        </w:tc>
        <w:tc>
          <w:tcPr>
            <w:tcW w:type="dxa" w:w="2408"/>
            <w:tcMar>
              <w:top w:w="120" w:type="dxa"/>
              <w:start w:w="120" w:type="dxa"/>
              <w:bottom w:w="120" w:type="dxa"/>
              <w:end w:w="120" w:type="dxa"/>
            </w:tcMar>
            <w:vAlign w:val="center"/>
          </w:tcPr>
          <w:p>
            <w:pPr>
              <w:spacing w:after="40" w:line="276" w:lineRule="auto"/>
            </w:pPr>
            <w:r>
              <w:rPr>
                <w:rFonts w:ascii="Noto Serif CJK SC" w:hAnsi="Noto Serif CJK SC" w:eastAsia="Noto Serif CJK SC"/>
                <w:sz w:val="19"/>
              </w:rPr>
              <w:t>σ=0、0.1、0.3、0.5</w:t>
            </w:r>
          </w:p>
        </w:tc>
        <w:tc>
          <w:tcPr>
            <w:tcW w:type="dxa" w:w="2408"/>
            <w:tcMar>
              <w:top w:w="120" w:type="dxa"/>
              <w:start w:w="120" w:type="dxa"/>
              <w:bottom w:w="120" w:type="dxa"/>
              <w:end w:w="120" w:type="dxa"/>
            </w:tcMar>
            <w:vAlign w:val="center"/>
          </w:tcPr>
          <w:p>
            <w:pPr>
              <w:spacing w:after="40" w:line="276" w:lineRule="auto"/>
            </w:pPr>
            <w:r>
              <w:rPr>
                <w:rFonts w:ascii="Noto Serif CJK SC" w:hAnsi="Noto Serif CJK SC" w:eastAsia="Noto Serif CJK SC"/>
                <w:sz w:val="19"/>
              </w:rPr>
              <w:t>噪声越大，wₚ 越低</w:t>
            </w:r>
          </w:p>
        </w:tc>
      </w:tr>
      <w:tr>
        <w:trPr>
          <w:cantSplit/>
        </w:trPr>
        <w:tc>
          <w:tcPr>
            <w:tcW w:type="dxa" w:w="2408"/>
            <w:tcMar>
              <w:top w:w="120" w:type="dxa"/>
              <w:start w:w="120" w:type="dxa"/>
              <w:bottom w:w="120" w:type="dxa"/>
              <w:end w:w="120" w:type="dxa"/>
            </w:tcMar>
            <w:vAlign w:val="center"/>
          </w:tcPr>
          <w:p>
            <w:pPr>
              <w:spacing w:after="40" w:line="276" w:lineRule="auto"/>
            </w:pPr>
            <w:r>
              <w:rPr>
                <w:rFonts w:ascii="Noto Serif CJK SC" w:hAnsi="Noto Serif CJK SC" w:eastAsia="Noto Serif CJK SC"/>
                <w:sz w:val="19"/>
              </w:rPr>
              <w:t>病理</w:t>
            </w:r>
          </w:p>
        </w:tc>
        <w:tc>
          <w:tcPr>
            <w:tcW w:type="dxa" w:w="2408"/>
            <w:tcMar>
              <w:top w:w="120" w:type="dxa"/>
              <w:start w:w="120" w:type="dxa"/>
              <w:bottom w:w="120" w:type="dxa"/>
              <w:end w:w="120" w:type="dxa"/>
            </w:tcMar>
            <w:vAlign w:val="center"/>
          </w:tcPr>
          <w:p>
            <w:pPr>
              <w:spacing w:after="40" w:line="276" w:lineRule="auto"/>
            </w:pPr>
            <w:r>
              <w:rPr>
                <w:rFonts w:ascii="Noto Serif CJK SC" w:hAnsi="Noto Serif CJK SC" w:eastAsia="Noto Serif CJK SC"/>
                <w:sz w:val="19"/>
              </w:rPr>
              <w:t>打乱空间坐标</w:t>
            </w:r>
          </w:p>
        </w:tc>
        <w:tc>
          <w:tcPr>
            <w:tcW w:type="dxa" w:w="2408"/>
            <w:tcMar>
              <w:top w:w="120" w:type="dxa"/>
              <w:start w:w="120" w:type="dxa"/>
              <w:bottom w:w="120" w:type="dxa"/>
              <w:end w:w="120" w:type="dxa"/>
            </w:tcMar>
            <w:vAlign w:val="center"/>
          </w:tcPr>
          <w:p>
            <w:pPr>
              <w:spacing w:after="40" w:line="276" w:lineRule="auto"/>
            </w:pPr>
            <w:r>
              <w:rPr>
                <w:rFonts w:ascii="Noto Serif CJK SC" w:hAnsi="Noto Serif CJK SC" w:eastAsia="Noto Serif CJK SC"/>
                <w:sz w:val="19"/>
              </w:rPr>
              <w:t>局部/全局打乱</w:t>
            </w:r>
          </w:p>
        </w:tc>
        <w:tc>
          <w:tcPr>
            <w:tcW w:type="dxa" w:w="2408"/>
            <w:tcMar>
              <w:top w:w="120" w:type="dxa"/>
              <w:start w:w="120" w:type="dxa"/>
              <w:bottom w:w="120" w:type="dxa"/>
              <w:end w:w="120" w:type="dxa"/>
            </w:tcMar>
            <w:vAlign w:val="center"/>
          </w:tcPr>
          <w:p>
            <w:pPr>
              <w:spacing w:after="40" w:line="276" w:lineRule="auto"/>
            </w:pPr>
            <w:r>
              <w:rPr>
                <w:rFonts w:ascii="Noto Serif CJK SC" w:hAnsi="Noto Serif CJK SC" w:eastAsia="Noto Serif CJK SC"/>
                <w:sz w:val="19"/>
              </w:rPr>
              <w:t>拓扑质量下降后，wₚ 降低</w:t>
            </w:r>
          </w:p>
        </w:tc>
      </w:tr>
      <w:tr>
        <w:trPr>
          <w:cantSplit/>
        </w:trPr>
        <w:tc>
          <w:tcPr>
            <w:tcW w:type="dxa" w:w="2408"/>
            <w:tcMar>
              <w:top w:w="120" w:type="dxa"/>
              <w:start w:w="120" w:type="dxa"/>
              <w:bottom w:w="120" w:type="dxa"/>
              <w:end w:w="120" w:type="dxa"/>
            </w:tcMar>
            <w:vAlign w:val="center"/>
          </w:tcPr>
          <w:p>
            <w:pPr>
              <w:spacing w:after="40" w:line="276" w:lineRule="auto"/>
            </w:pPr>
            <w:r>
              <w:rPr>
                <w:rFonts w:ascii="Noto Serif CJK SC" w:hAnsi="Noto Serif CJK SC" w:eastAsia="Noto Serif CJK SC"/>
                <w:sz w:val="19"/>
              </w:rPr>
              <w:t>基因</w:t>
            </w:r>
          </w:p>
        </w:tc>
        <w:tc>
          <w:tcPr>
            <w:tcW w:type="dxa" w:w="2408"/>
            <w:tcMar>
              <w:top w:w="120" w:type="dxa"/>
              <w:start w:w="120" w:type="dxa"/>
              <w:bottom w:w="120" w:type="dxa"/>
              <w:end w:w="120" w:type="dxa"/>
            </w:tcMar>
            <w:vAlign w:val="center"/>
          </w:tcPr>
          <w:p>
            <w:pPr>
              <w:spacing w:after="40" w:line="276" w:lineRule="auto"/>
            </w:pPr>
            <w:r>
              <w:rPr>
                <w:rFonts w:ascii="Noto Serif CJK SC" w:hAnsi="Noto Serif CJK SC" w:eastAsia="Noto Serif CJK SC"/>
                <w:sz w:val="19"/>
              </w:rPr>
              <w:t>随机屏蔽基因或通路</w:t>
            </w:r>
          </w:p>
        </w:tc>
        <w:tc>
          <w:tcPr>
            <w:tcW w:type="dxa" w:w="2408"/>
            <w:tcMar>
              <w:top w:w="120" w:type="dxa"/>
              <w:start w:w="120" w:type="dxa"/>
              <w:bottom w:w="120" w:type="dxa"/>
              <w:end w:w="120" w:type="dxa"/>
            </w:tcMar>
            <w:vAlign w:val="center"/>
          </w:tcPr>
          <w:p>
            <w:pPr>
              <w:spacing w:after="40" w:line="276" w:lineRule="auto"/>
            </w:pPr>
            <w:r>
              <w:rPr>
                <w:rFonts w:ascii="Noto Serif CJK SC" w:hAnsi="Noto Serif CJK SC" w:eastAsia="Noto Serif CJK SC"/>
                <w:sz w:val="19"/>
              </w:rPr>
              <w:t>0%、25%、50%、75%</w:t>
            </w:r>
          </w:p>
        </w:tc>
        <w:tc>
          <w:tcPr>
            <w:tcW w:type="dxa" w:w="2408"/>
            <w:tcMar>
              <w:top w:w="120" w:type="dxa"/>
              <w:start w:w="120" w:type="dxa"/>
              <w:bottom w:w="120" w:type="dxa"/>
              <w:end w:w="120" w:type="dxa"/>
            </w:tcMar>
            <w:vAlign w:val="center"/>
          </w:tcPr>
          <w:p>
            <w:pPr>
              <w:spacing w:after="40" w:line="276" w:lineRule="auto"/>
            </w:pPr>
            <w:r>
              <w:rPr>
                <w:rFonts w:ascii="Noto Serif CJK SC" w:hAnsi="Noto Serif CJK SC" w:eastAsia="Noto Serif CJK SC"/>
                <w:sz w:val="19"/>
              </w:rPr>
              <w:t>屏蔽越多，w_g 越低</w:t>
            </w:r>
          </w:p>
        </w:tc>
      </w:tr>
      <w:tr>
        <w:trPr>
          <w:cantSplit/>
        </w:trPr>
        <w:tc>
          <w:tcPr>
            <w:tcW w:type="dxa" w:w="2408"/>
            <w:tcMar>
              <w:top w:w="120" w:type="dxa"/>
              <w:start w:w="120" w:type="dxa"/>
              <w:bottom w:w="120" w:type="dxa"/>
              <w:end w:w="120" w:type="dxa"/>
            </w:tcMar>
            <w:vAlign w:val="center"/>
          </w:tcPr>
          <w:p>
            <w:pPr>
              <w:spacing w:after="40" w:line="276" w:lineRule="auto"/>
            </w:pPr>
            <w:r>
              <w:rPr>
                <w:rFonts w:ascii="Noto Serif CJK SC" w:hAnsi="Noto Serif CJK SC" w:eastAsia="Noto Serif CJK SC"/>
                <w:sz w:val="19"/>
              </w:rPr>
              <w:t>基因</w:t>
            </w:r>
          </w:p>
        </w:tc>
        <w:tc>
          <w:tcPr>
            <w:tcW w:type="dxa" w:w="2408"/>
            <w:tcMar>
              <w:top w:w="120" w:type="dxa"/>
              <w:start w:w="120" w:type="dxa"/>
              <w:bottom w:w="120" w:type="dxa"/>
              <w:end w:w="120" w:type="dxa"/>
            </w:tcMar>
            <w:vAlign w:val="center"/>
          </w:tcPr>
          <w:p>
            <w:pPr>
              <w:spacing w:after="40" w:line="276" w:lineRule="auto"/>
            </w:pPr>
            <w:r>
              <w:rPr>
                <w:rFonts w:ascii="Noto Serif CJK SC" w:hAnsi="Noto Serif CJK SC" w:eastAsia="Noto Serif CJK SC"/>
                <w:sz w:val="19"/>
              </w:rPr>
              <w:t>基因特征加噪声</w:t>
            </w:r>
          </w:p>
        </w:tc>
        <w:tc>
          <w:tcPr>
            <w:tcW w:type="dxa" w:w="2408"/>
            <w:tcMar>
              <w:top w:w="120" w:type="dxa"/>
              <w:start w:w="120" w:type="dxa"/>
              <w:bottom w:w="120" w:type="dxa"/>
              <w:end w:w="120" w:type="dxa"/>
            </w:tcMar>
            <w:vAlign w:val="center"/>
          </w:tcPr>
          <w:p>
            <w:pPr>
              <w:spacing w:after="40" w:line="276" w:lineRule="auto"/>
            </w:pPr>
            <w:r>
              <w:rPr>
                <w:rFonts w:ascii="Noto Serif CJK SC" w:hAnsi="Noto Serif CJK SC" w:eastAsia="Noto Serif CJK SC"/>
                <w:sz w:val="19"/>
              </w:rPr>
              <w:t>多个 SNR 档位</w:t>
            </w:r>
          </w:p>
        </w:tc>
        <w:tc>
          <w:tcPr>
            <w:tcW w:type="dxa" w:w="2408"/>
            <w:tcMar>
              <w:top w:w="120" w:type="dxa"/>
              <w:start w:w="120" w:type="dxa"/>
              <w:bottom w:w="120" w:type="dxa"/>
              <w:end w:w="120" w:type="dxa"/>
            </w:tcMar>
            <w:vAlign w:val="center"/>
          </w:tcPr>
          <w:p>
            <w:pPr>
              <w:spacing w:after="40" w:line="276" w:lineRule="auto"/>
            </w:pPr>
            <w:r>
              <w:rPr>
                <w:rFonts w:ascii="Noto Serif CJK SC" w:hAnsi="Noto Serif CJK SC" w:eastAsia="Noto Serif CJK SC"/>
                <w:sz w:val="19"/>
              </w:rPr>
              <w:t>噪声越大，w_g 越低</w:t>
            </w:r>
          </w:p>
        </w:tc>
      </w:tr>
      <w:tr>
        <w:trPr>
          <w:cantSplit/>
        </w:trPr>
        <w:tc>
          <w:tcPr>
            <w:tcW w:type="dxa" w:w="2408"/>
            <w:tcMar>
              <w:top w:w="120" w:type="dxa"/>
              <w:start w:w="120" w:type="dxa"/>
              <w:bottom w:w="120" w:type="dxa"/>
              <w:end w:w="120" w:type="dxa"/>
            </w:tcMar>
            <w:vAlign w:val="center"/>
          </w:tcPr>
          <w:p>
            <w:pPr>
              <w:spacing w:after="40" w:line="276" w:lineRule="auto"/>
            </w:pPr>
            <w:r>
              <w:rPr>
                <w:rFonts w:ascii="Noto Serif CJK SC" w:hAnsi="Noto Serif CJK SC" w:eastAsia="Noto Serif CJK SC"/>
                <w:sz w:val="19"/>
              </w:rPr>
              <w:t>基因</w:t>
            </w:r>
          </w:p>
        </w:tc>
        <w:tc>
          <w:tcPr>
            <w:tcW w:type="dxa" w:w="2408"/>
            <w:tcMar>
              <w:top w:w="120" w:type="dxa"/>
              <w:start w:w="120" w:type="dxa"/>
              <w:bottom w:w="120" w:type="dxa"/>
              <w:end w:w="120" w:type="dxa"/>
            </w:tcMar>
            <w:vAlign w:val="center"/>
          </w:tcPr>
          <w:p>
            <w:pPr>
              <w:spacing w:after="40" w:line="276" w:lineRule="auto"/>
            </w:pPr>
            <w:r>
              <w:rPr>
                <w:rFonts w:ascii="Noto Serif CJK SC" w:hAnsi="Noto Serif CJK SC" w:eastAsia="Noto Serif CJK SC"/>
                <w:sz w:val="19"/>
              </w:rPr>
              <w:t>完全缺失</w:t>
            </w:r>
          </w:p>
        </w:tc>
        <w:tc>
          <w:tcPr>
            <w:tcW w:type="dxa" w:w="2408"/>
            <w:tcMar>
              <w:top w:w="120" w:type="dxa"/>
              <w:start w:w="120" w:type="dxa"/>
              <w:bottom w:w="120" w:type="dxa"/>
              <w:end w:w="120" w:type="dxa"/>
            </w:tcMar>
            <w:vAlign w:val="center"/>
          </w:tcPr>
          <w:p>
            <w:pPr>
              <w:spacing w:after="40" w:line="276" w:lineRule="auto"/>
            </w:pPr>
            <w:r>
              <w:rPr>
                <w:rFonts w:ascii="Noto Serif CJK SC" w:hAnsi="Noto Serif CJK SC" w:eastAsia="Noto Serif CJK SC"/>
                <w:sz w:val="19"/>
              </w:rPr>
              <w:t>零向量/掩码输入</w:t>
            </w:r>
          </w:p>
        </w:tc>
        <w:tc>
          <w:tcPr>
            <w:tcW w:type="dxa" w:w="2408"/>
            <w:tcMar>
              <w:top w:w="120" w:type="dxa"/>
              <w:start w:w="120" w:type="dxa"/>
              <w:bottom w:w="120" w:type="dxa"/>
              <w:end w:w="120" w:type="dxa"/>
            </w:tcMar>
            <w:vAlign w:val="center"/>
          </w:tcPr>
          <w:p>
            <w:pPr>
              <w:spacing w:after="40" w:line="276" w:lineRule="auto"/>
            </w:pPr>
            <w:r>
              <w:rPr>
                <w:rFonts w:ascii="Noto Serif CJK SC" w:hAnsi="Noto Serif CJK SC" w:eastAsia="Noto Serif CJK SC"/>
                <w:sz w:val="19"/>
              </w:rPr>
              <w:t>w_g 接近 0，模型保持稳定</w:t>
            </w:r>
          </w:p>
        </w:tc>
      </w:tr>
    </w:tbl>
    <w:p>
      <w:pPr>
        <w:pStyle w:val="CaptionCN"/>
      </w:pPr>
      <w:r>
        <w:rPr>
          <w:rFonts w:ascii="Noto Serif CJK SC" w:hAnsi="Noto Serif CJK SC" w:eastAsia="Noto Serif CJK SC"/>
        </w:rPr>
        <w:t>表1  模态质量退化实验设计</w:t>
      </w:r>
    </w:p>
    <w:p>
      <w:pPr>
        <w:pStyle w:val="Heading2"/>
      </w:pPr>
      <w:r>
        <w:rPr>
          <w:rFonts w:ascii="Noto Serif CJK SC" w:hAnsi="Noto Serif CJK SC" w:eastAsia="Noto Serif CJK SC"/>
        </w:rPr>
        <w:t>4.3 跨模态错配实验</w:t>
      </w:r>
    </w:p>
    <w:p>
      <w:r>
        <w:rPr>
          <w:rFonts w:ascii="Noto Serif CJK SC" w:hAnsi="Noto Serif CJK SC" w:eastAsia="Noto Serif CJK SC"/>
        </w:rPr>
        <w:t>对同一病理模态 Pᵢ 构造两种输入：</w:t>
      </w:r>
    </w:p>
    <w:p>
      <w:pPr>
        <w:spacing w:before="80" w:after="80"/>
        <w:jc w:val="center"/>
      </w:pPr>
      <w:r>
        <w:rPr>
          <w:rFonts w:ascii="Cambria Math" w:hAnsi="Cambria Math" w:eastAsia="Noto Serif CJK SC"/>
          <w:sz w:val="22"/>
        </w:rPr>
        <w:t>正确配对： (Pᵢ, Gᵢ)</w:t>
      </w:r>
    </w:p>
    <w:p>
      <w:pPr>
        <w:spacing w:before="80" w:after="80"/>
        <w:jc w:val="center"/>
      </w:pPr>
      <w:r>
        <w:rPr>
          <w:rFonts w:ascii="Cambria Math" w:hAnsi="Cambria Math" w:eastAsia="Noto Serif CJK SC"/>
          <w:sz w:val="22"/>
        </w:rPr>
        <w:t>错误配对： (Pᵢ, Gⱼ)， i ≠ j</w:t>
      </w:r>
    </w:p>
    <w:p>
      <w:r>
        <w:rPr>
          <w:rFonts w:ascii="Noto Serif CJK SC" w:hAnsi="Noto Serif CJK SC" w:eastAsia="Noto Serif CJK SC"/>
        </w:rPr>
        <w:t>错配患者应尽量来自同一癌症队列，并匹配年龄、分期或 mono-confidence 范围，从而排除简单的数据分布差异。若 holo-confidence 真能感知跨模态协调关系，错误配对应导致交互置信度下降、预测不确定性上升或权重明显变化。</w:t>
      </w:r>
    </w:p>
    <w:p>
      <w:pPr>
        <w:pStyle w:val="Heading2"/>
      </w:pPr>
      <w:r>
        <w:rPr>
          <w:rFonts w:ascii="Noto Serif CJK SC" w:hAnsi="Noto Serif CJK SC" w:eastAsia="Noto Serif CJK SC"/>
        </w:rPr>
        <w:t>4.4 与“真实可靠性”建立相关性</w:t>
      </w:r>
    </w:p>
    <w:p>
      <w:r>
        <w:rPr>
          <w:rFonts w:ascii="Noto Serif CJK SC" w:hAnsi="Noto Serif CJK SC" w:eastAsia="Noto Serif CJK SC"/>
        </w:rPr>
        <w:t>分别为病理和基因建立独立预测头，得到单模态预测损失或不确定性：</w:t>
      </w:r>
    </w:p>
    <w:p>
      <w:pPr>
        <w:spacing w:before="80" w:after="80"/>
        <w:jc w:val="center"/>
      </w:pPr>
      <w:r>
        <w:rPr>
          <w:rFonts w:ascii="Cambria Math" w:hAnsi="Cambria Math" w:eastAsia="Noto Serif CJK SC"/>
          <w:sz w:val="22"/>
        </w:rPr>
        <w:t>Rₚ = −Lₚ，    R_g = −L_g</w:t>
      </w:r>
    </w:p>
    <w:p>
      <w:r>
        <w:rPr>
          <w:rFonts w:ascii="Noto Serif CJK SC" w:hAnsi="Noto Serif CJK SC" w:eastAsia="Noto Serif CJK SC"/>
        </w:rPr>
        <w:t>然后计算动态权重与真实可靠性的相关性：</w:t>
      </w:r>
    </w:p>
    <w:p>
      <w:pPr>
        <w:spacing w:before="80" w:after="80"/>
        <w:jc w:val="center"/>
      </w:pPr>
      <w:r>
        <w:rPr>
          <w:rFonts w:ascii="Cambria Math" w:hAnsi="Cambria Math" w:eastAsia="Noto Serif CJK SC"/>
          <w:sz w:val="22"/>
        </w:rPr>
        <w:t>corr(wₚ, Rₚ)，    corr(w_g, R_g)</w:t>
      </w:r>
    </w:p>
    <w:p>
      <w:r>
        <w:rPr>
          <w:rFonts w:ascii="Noto Serif CJK SC" w:hAnsi="Noto Serif CJK SC" w:eastAsia="Noto Serif CJK SC"/>
        </w:rPr>
        <w:t>可使用 Spearman 相关系数。若权重代表可靠性，应当显著正相关；若相关性很低或方向相反，则说明权重的语义与“可靠性”不一致。</w:t>
      </w:r>
    </w:p>
    <w:p>
      <w:pPr>
        <w:pStyle w:val="Heading2"/>
      </w:pPr>
      <w:r>
        <w:rPr>
          <w:rFonts w:ascii="Noto Serif CJK SC" w:hAnsi="Noto Serif CJK SC" w:eastAsia="Noto Serif CJK SC"/>
        </w:rPr>
        <w:t>4.5 跨模态冲突分层实验</w:t>
      </w:r>
    </w:p>
    <w:p>
      <w:r>
        <w:rPr>
          <w:rFonts w:ascii="Noto Serif CJK SC" w:hAnsi="Noto Serif CJK SC" w:eastAsia="Noto Serif CJK SC"/>
        </w:rPr>
        <w:t>将样本按照两个单模态预测的分歧程度分组。例如：</w:t>
      </w:r>
    </w:p>
    <w:p>
      <w:pPr>
        <w:spacing w:before="80" w:after="80"/>
        <w:jc w:val="center"/>
      </w:pPr>
      <w:r>
        <w:rPr>
          <w:rFonts w:ascii="Cambria Math" w:hAnsi="Cambria Math" w:eastAsia="Noto Serif CJK SC"/>
          <w:sz w:val="22"/>
        </w:rPr>
        <w:t>Conflictᵢ = |riskₚᵢ − risk_gᵢ|</w:t>
      </w:r>
    </w:p>
    <w:p>
      <w:pPr>
        <w:pStyle w:val="ListBullet"/>
        <w:spacing w:after="40"/>
      </w:pPr>
      <w:r>
        <w:rPr>
          <w:rFonts w:ascii="Noto Serif CJK SC" w:hAnsi="Noto Serif CJK SC" w:eastAsia="Noto Serif CJK SC"/>
        </w:rPr>
        <w:t>低冲突组：两个模态给出接近的风险预测。</w:t>
      </w:r>
    </w:p>
    <w:p>
      <w:pPr>
        <w:pStyle w:val="ListBullet"/>
        <w:spacing w:after="40"/>
      </w:pPr>
      <w:r>
        <w:rPr>
          <w:rFonts w:ascii="Noto Serif CJK SC" w:hAnsi="Noto Serif CJK SC" w:eastAsia="Noto Serif CJK SC"/>
        </w:rPr>
        <w:t>高冲突组：两个模态给出明显相反的风险预测。</w:t>
      </w:r>
    </w:p>
    <w:p>
      <w:r>
        <w:rPr>
          <w:rFonts w:ascii="Noto Serif CJK SC" w:hAnsi="Noto Serif CJK SC" w:eastAsia="Noto Serif CJK SC"/>
        </w:rPr>
        <w:t>比较两组的 holo-confidence、最终权重、融合不确定性和预测错误率。如果高冲突组没有更明显的不确定性或权重调整，则说明机制缺乏冲突感知。</w:t>
      </w:r>
    </w:p>
    <w:p>
      <w:pPr>
        <w:pStyle w:val="Heading1"/>
        <w:keepNext/>
      </w:pPr>
      <w:r>
        <w:rPr>
          <w:rFonts w:ascii="Noto Serif CJK SC" w:hAnsi="Noto Serif CJK SC" w:eastAsia="Noto Serif CJK SC"/>
        </w:rPr>
        <w:t>5. 实验设计与评价指标</w:t>
      </w:r>
    </w:p>
    <w:p>
      <w:pPr>
        <w:pStyle w:val="Heading2"/>
      </w:pPr>
      <w:r>
        <w:rPr>
          <w:rFonts w:ascii="Noto Serif CJK SC" w:hAnsi="Noto Serif CJK SC" w:eastAsia="Noto Serif CJK SC"/>
        </w:rPr>
        <w:t>5.1 数据与复现设置</w:t>
      </w:r>
    </w:p>
    <w:p>
      <w:pPr>
        <w:pStyle w:val="ListBullet"/>
        <w:spacing w:after="40"/>
      </w:pPr>
      <w:r>
        <w:rPr>
          <w:rFonts w:ascii="Noto Serif CJK SC" w:hAnsi="Noto Serif CJK SC" w:eastAsia="Noto Serif CJK SC"/>
        </w:rPr>
        <w:t>使用原论文的五个 TCGA 队列：BLCA、BRCA、CO-READ、HNSC、STAD。</w:t>
      </w:r>
    </w:p>
    <w:p>
      <w:pPr>
        <w:pStyle w:val="ListBullet"/>
        <w:spacing w:after="40"/>
      </w:pPr>
      <w:r>
        <w:rPr>
          <w:rFonts w:ascii="Noto Serif CJK SC" w:hAnsi="Noto Serif CJK SC" w:eastAsia="Noto Serif CJK SC"/>
        </w:rPr>
        <w:t>保持原论文五折交叉验证及数据划分，避免改进结果来自数据泄漏或不同划分。</w:t>
      </w:r>
    </w:p>
    <w:p>
      <w:pPr>
        <w:pStyle w:val="ListBullet"/>
        <w:spacing w:after="40"/>
      </w:pPr>
      <w:r>
        <w:rPr>
          <w:rFonts w:ascii="Noto Serif CJK SC" w:hAnsi="Noto Serif CJK SC" w:eastAsia="Noto Serif CJK SC"/>
        </w:rPr>
        <w:t>至少运行 3—5 个随机种子；同时报告均值、标准差和置信区间。</w:t>
      </w:r>
    </w:p>
    <w:p>
      <w:pPr>
        <w:pStyle w:val="ListBullet"/>
        <w:spacing w:after="40"/>
      </w:pPr>
      <w:r>
        <w:rPr>
          <w:rFonts w:ascii="Noto Serif CJK SC" w:hAnsi="Noto Serif CJK SC" w:eastAsia="Noto Serif CJK SC"/>
        </w:rPr>
        <w:t>先复现原论文 C-Index，再开展问题验证，确保基线可信。</w:t>
      </w:r>
    </w:p>
    <w:p>
      <w:pPr>
        <w:spacing w:before="40" w:after="100"/>
        <w:ind w:left="340" w:right="340"/>
      </w:pPr>
      <w:r>
        <w:rPr>
          <w:rFonts w:ascii="Noto Serif CJK SC" w:hAnsi="Noto Serif CJK SC" w:eastAsia="Noto Serif CJK SC"/>
          <w:b/>
          <w:color w:val="5F6368"/>
        </w:rPr>
        <w:t>来源依据：</w:t>
      </w:r>
      <w:r>
        <w:rPr>
          <w:rFonts w:ascii="Noto Serif CJK SC" w:hAnsi="Noto Serif CJK SC" w:eastAsia="Noto Serif CJK SC"/>
          <w:i/>
          <w:color w:val="5F6368"/>
          <w:sz w:val="18"/>
        </w:rPr>
        <w:t>原论文第5页给出五个 TCGA 数据集、五折交叉验证和 C-Index 评价。</w:t>
      </w:r>
    </w:p>
    <w:p>
      <w:pPr>
        <w:pStyle w:val="Heading2"/>
      </w:pPr>
      <w:r>
        <w:rPr>
          <w:rFonts w:ascii="Noto Serif CJK SC" w:hAnsi="Noto Serif CJK SC" w:eastAsia="Noto Serif CJK SC"/>
        </w:rPr>
        <w:t>5.2 建议指标</w:t>
      </w:r>
    </w:p>
    <w:tbl>
      <w:tblPr>
        <w:tblW w:type="auto" w:w="0"/>
        <w:jc w:val="center"/>
        <w:tblLook w:firstColumn="1" w:firstRow="1" w:lastColumn="0" w:lastRow="0" w:noHBand="0" w:noVBand="1" w:val="04A0"/>
        <w:tblBorders>
          <w:top w:val="single" w:sz="6" w:space="0" w:color="B8C2CC"/>
          <w:start w:val="single" w:sz="6" w:space="0" w:color="B8C2CC"/>
          <w:bottom w:val="single" w:sz="6" w:space="0" w:color="B8C2CC"/>
          <w:end w:val="single" w:sz="6" w:space="0" w:color="B8C2CC"/>
          <w:insideH w:val="single" w:sz="6" w:space="0" w:color="B8C2CC"/>
          <w:insideV w:val="single" w:sz="6" w:space="0" w:color="B8C2CC"/>
        </w:tblBorders>
      </w:tblPr>
      <w:tblGrid>
        <w:gridCol w:w="3211"/>
        <w:gridCol w:w="3211"/>
        <w:gridCol w:w="3211"/>
      </w:tblGrid>
      <w:tr>
        <w:trPr>
          <w:tblHeader w:val="true"/>
          <w:cantSplit/>
        </w:trPr>
        <w:tc>
          <w:tcPr>
            <w:tcW w:type="dxa" w:w="3211"/>
            <w:shd w:fill="D9EAF7"/>
            <w:tcMar>
              <w:top w:w="120" w:type="dxa"/>
              <w:start w:w="120" w:type="dxa"/>
              <w:bottom w:w="120" w:type="dxa"/>
              <w:end w:w="120" w:type="dxa"/>
            </w:tcMar>
          </w:tcPr>
          <w:p>
            <w:pPr>
              <w:spacing w:after="40" w:line="276" w:lineRule="auto"/>
            </w:pPr>
            <w:r>
              <w:rPr>
                <w:rFonts w:ascii="Noto Serif CJK SC" w:hAnsi="Noto Serif CJK SC" w:eastAsia="Noto Serif CJK SC"/>
                <w:b/>
                <w:sz w:val="19"/>
              </w:rPr>
              <w:t>指标</w:t>
            </w:r>
          </w:p>
        </w:tc>
        <w:tc>
          <w:tcPr>
            <w:tcW w:type="dxa" w:w="3211"/>
            <w:shd w:fill="D9EAF7"/>
            <w:tcMar>
              <w:top w:w="120" w:type="dxa"/>
              <w:start w:w="120" w:type="dxa"/>
              <w:bottom w:w="120" w:type="dxa"/>
              <w:end w:w="120" w:type="dxa"/>
            </w:tcMar>
          </w:tcPr>
          <w:p>
            <w:pPr>
              <w:spacing w:after="40" w:line="276" w:lineRule="auto"/>
            </w:pPr>
            <w:r>
              <w:rPr>
                <w:rFonts w:ascii="Noto Serif CJK SC" w:hAnsi="Noto Serif CJK SC" w:eastAsia="Noto Serif CJK SC"/>
                <w:b/>
                <w:sz w:val="19"/>
              </w:rPr>
              <w:t>用途</w:t>
            </w:r>
          </w:p>
        </w:tc>
        <w:tc>
          <w:tcPr>
            <w:tcW w:type="dxa" w:w="3211"/>
            <w:shd w:fill="D9EAF7"/>
            <w:tcMar>
              <w:top w:w="120" w:type="dxa"/>
              <w:start w:w="120" w:type="dxa"/>
              <w:bottom w:w="120" w:type="dxa"/>
              <w:end w:w="120" w:type="dxa"/>
            </w:tcMar>
          </w:tcPr>
          <w:p>
            <w:pPr>
              <w:spacing w:after="40" w:line="276" w:lineRule="auto"/>
            </w:pPr>
            <w:r>
              <w:rPr>
                <w:rFonts w:ascii="Noto Serif CJK SC" w:hAnsi="Noto Serif CJK SC" w:eastAsia="Noto Serif CJK SC"/>
                <w:b/>
                <w:sz w:val="19"/>
              </w:rPr>
              <w:t>期望结论</w:t>
            </w:r>
          </w:p>
        </w:tc>
      </w:tr>
      <w:tr>
        <w:trPr>
          <w:cantSplit/>
        </w:trPr>
        <w:tc>
          <w:tcPr>
            <w:tcW w:type="dxa" w:w="3211"/>
            <w:tcMar>
              <w:top w:w="120" w:type="dxa"/>
              <w:start w:w="120" w:type="dxa"/>
              <w:bottom w:w="120" w:type="dxa"/>
              <w:end w:w="120" w:type="dxa"/>
            </w:tcMar>
          </w:tcPr>
          <w:p>
            <w:pPr>
              <w:spacing w:after="40" w:line="276" w:lineRule="auto"/>
            </w:pPr>
            <w:r>
              <w:rPr>
                <w:rFonts w:ascii="Noto Serif CJK SC" w:hAnsi="Noto Serif CJK SC" w:eastAsia="Noto Serif CJK SC"/>
                <w:sz w:val="19"/>
              </w:rPr>
              <w:t>C-Index</w:t>
            </w:r>
          </w:p>
        </w:tc>
        <w:tc>
          <w:tcPr>
            <w:tcW w:type="dxa" w:w="3211"/>
            <w:tcMar>
              <w:top w:w="120" w:type="dxa"/>
              <w:start w:w="120" w:type="dxa"/>
              <w:bottom w:w="120" w:type="dxa"/>
              <w:end w:w="120" w:type="dxa"/>
            </w:tcMar>
          </w:tcPr>
          <w:p>
            <w:pPr>
              <w:spacing w:after="40" w:line="276" w:lineRule="auto"/>
            </w:pPr>
            <w:r>
              <w:rPr>
                <w:rFonts w:ascii="Noto Serif CJK SC" w:hAnsi="Noto Serif CJK SC" w:eastAsia="Noto Serif CJK SC"/>
                <w:sz w:val="19"/>
              </w:rPr>
              <w:t>衡量生存风险排序性能</w:t>
            </w:r>
          </w:p>
        </w:tc>
        <w:tc>
          <w:tcPr>
            <w:tcW w:type="dxa" w:w="3211"/>
            <w:tcMar>
              <w:top w:w="120" w:type="dxa"/>
              <w:start w:w="120" w:type="dxa"/>
              <w:bottom w:w="120" w:type="dxa"/>
              <w:end w:w="120" w:type="dxa"/>
            </w:tcMar>
          </w:tcPr>
          <w:p>
            <w:pPr>
              <w:spacing w:after="40" w:line="276" w:lineRule="auto"/>
            </w:pPr>
            <w:r>
              <w:rPr>
                <w:rFonts w:ascii="Noto Serif CJK SC" w:hAnsi="Noto Serif CJK SC" w:eastAsia="Noto Serif CJK SC"/>
                <w:sz w:val="19"/>
              </w:rPr>
              <w:t>扰动下性能下降越慢越鲁棒</w:t>
            </w:r>
          </w:p>
        </w:tc>
      </w:tr>
      <w:tr>
        <w:trPr>
          <w:cantSplit/>
        </w:trPr>
        <w:tc>
          <w:tcPr>
            <w:tcW w:type="dxa" w:w="3211"/>
            <w:tcMar>
              <w:top w:w="120" w:type="dxa"/>
              <w:start w:w="120" w:type="dxa"/>
              <w:bottom w:w="120" w:type="dxa"/>
              <w:end w:w="120" w:type="dxa"/>
            </w:tcMar>
          </w:tcPr>
          <w:p>
            <w:pPr>
              <w:spacing w:after="40" w:line="276" w:lineRule="auto"/>
            </w:pPr>
            <w:r>
              <w:rPr>
                <w:rFonts w:ascii="Noto Serif CJK SC" w:hAnsi="Noto Serif CJK SC" w:eastAsia="Noto Serif CJK SC"/>
                <w:sz w:val="19"/>
              </w:rPr>
              <w:t>Spearman ρ</w:t>
            </w:r>
          </w:p>
        </w:tc>
        <w:tc>
          <w:tcPr>
            <w:tcW w:type="dxa" w:w="3211"/>
            <w:tcMar>
              <w:top w:w="120" w:type="dxa"/>
              <w:start w:w="120" w:type="dxa"/>
              <w:bottom w:w="120" w:type="dxa"/>
              <w:end w:w="120" w:type="dxa"/>
            </w:tcMar>
          </w:tcPr>
          <w:p>
            <w:pPr>
              <w:spacing w:after="40" w:line="276" w:lineRule="auto"/>
            </w:pPr>
            <w:r>
              <w:rPr>
                <w:rFonts w:ascii="Noto Serif CJK SC" w:hAnsi="Noto Serif CJK SC" w:eastAsia="Noto Serif CJK SC"/>
                <w:sz w:val="19"/>
              </w:rPr>
              <w:t>权重与噪声强度/真实可靠性的单调关系</w:t>
            </w:r>
          </w:p>
        </w:tc>
        <w:tc>
          <w:tcPr>
            <w:tcW w:type="dxa" w:w="3211"/>
            <w:tcMar>
              <w:top w:w="120" w:type="dxa"/>
              <w:start w:w="120" w:type="dxa"/>
              <w:bottom w:w="120" w:type="dxa"/>
              <w:end w:w="120" w:type="dxa"/>
            </w:tcMar>
          </w:tcPr>
          <w:p>
            <w:pPr>
              <w:spacing w:after="40" w:line="276" w:lineRule="auto"/>
            </w:pPr>
            <w:r>
              <w:rPr>
                <w:rFonts w:ascii="Noto Serif CJK SC" w:hAnsi="Noto Serif CJK SC" w:eastAsia="Noto Serif CJK SC"/>
                <w:sz w:val="19"/>
              </w:rPr>
              <w:t>质量下降时对应权重显著下降</w:t>
            </w:r>
          </w:p>
        </w:tc>
      </w:tr>
      <w:tr>
        <w:trPr>
          <w:cantSplit/>
        </w:trPr>
        <w:tc>
          <w:tcPr>
            <w:tcW w:type="dxa" w:w="3211"/>
            <w:tcMar>
              <w:top w:w="120" w:type="dxa"/>
              <w:start w:w="120" w:type="dxa"/>
              <w:bottom w:w="120" w:type="dxa"/>
              <w:end w:w="120" w:type="dxa"/>
            </w:tcMar>
          </w:tcPr>
          <w:p>
            <w:pPr>
              <w:spacing w:after="40" w:line="276" w:lineRule="auto"/>
            </w:pPr>
            <w:r>
              <w:rPr>
                <w:rFonts w:ascii="Noto Serif CJK SC" w:hAnsi="Noto Serif CJK SC" w:eastAsia="Noto Serif CJK SC"/>
                <w:sz w:val="19"/>
              </w:rPr>
              <w:t>权重响应斜率</w:t>
            </w:r>
          </w:p>
        </w:tc>
        <w:tc>
          <w:tcPr>
            <w:tcW w:type="dxa" w:w="3211"/>
            <w:tcMar>
              <w:top w:w="120" w:type="dxa"/>
              <w:start w:w="120" w:type="dxa"/>
              <w:bottom w:w="120" w:type="dxa"/>
              <w:end w:w="120" w:type="dxa"/>
            </w:tcMar>
          </w:tcPr>
          <w:p>
            <w:pPr>
              <w:spacing w:after="40" w:line="276" w:lineRule="auto"/>
            </w:pPr>
            <w:r>
              <w:rPr>
                <w:rFonts w:ascii="Noto Serif CJK SC" w:hAnsi="Noto Serif CJK SC" w:eastAsia="Noto Serif CJK SC"/>
                <w:sz w:val="19"/>
              </w:rPr>
              <w:t>刻画噪声每增加一级权重变化</w:t>
            </w:r>
          </w:p>
        </w:tc>
        <w:tc>
          <w:tcPr>
            <w:tcW w:type="dxa" w:w="3211"/>
            <w:tcMar>
              <w:top w:w="120" w:type="dxa"/>
              <w:start w:w="120" w:type="dxa"/>
              <w:bottom w:w="120" w:type="dxa"/>
              <w:end w:w="120" w:type="dxa"/>
            </w:tcMar>
          </w:tcPr>
          <w:p>
            <w:pPr>
              <w:spacing w:after="40" w:line="276" w:lineRule="auto"/>
            </w:pPr>
            <w:r>
              <w:rPr>
                <w:rFonts w:ascii="Noto Serif CJK SC" w:hAnsi="Noto Serif CJK SC" w:eastAsia="Noto Serif CJK SC"/>
                <w:sz w:val="19"/>
              </w:rPr>
              <w:t>斜率方向正确且稳定</w:t>
            </w:r>
          </w:p>
        </w:tc>
      </w:tr>
      <w:tr>
        <w:trPr>
          <w:cantSplit/>
        </w:trPr>
        <w:tc>
          <w:tcPr>
            <w:tcW w:type="dxa" w:w="3211"/>
            <w:tcMar>
              <w:top w:w="120" w:type="dxa"/>
              <w:start w:w="120" w:type="dxa"/>
              <w:bottom w:w="120" w:type="dxa"/>
              <w:end w:w="120" w:type="dxa"/>
            </w:tcMar>
          </w:tcPr>
          <w:p>
            <w:pPr>
              <w:spacing w:after="40" w:line="276" w:lineRule="auto"/>
            </w:pPr>
            <w:r>
              <w:rPr>
                <w:rFonts w:ascii="Noto Serif CJK SC" w:hAnsi="Noto Serif CJK SC" w:eastAsia="Noto Serif CJK SC"/>
                <w:sz w:val="19"/>
              </w:rPr>
              <w:t>错配检测 AUC</w:t>
            </w:r>
          </w:p>
        </w:tc>
        <w:tc>
          <w:tcPr>
            <w:tcW w:type="dxa" w:w="3211"/>
            <w:tcMar>
              <w:top w:w="120" w:type="dxa"/>
              <w:start w:w="120" w:type="dxa"/>
              <w:bottom w:w="120" w:type="dxa"/>
              <w:end w:w="120" w:type="dxa"/>
            </w:tcMar>
          </w:tcPr>
          <w:p>
            <w:pPr>
              <w:spacing w:after="40" w:line="276" w:lineRule="auto"/>
            </w:pPr>
            <w:r>
              <w:rPr>
                <w:rFonts w:ascii="Noto Serif CJK SC" w:hAnsi="Noto Serif CJK SC" w:eastAsia="Noto Serif CJK SC"/>
                <w:sz w:val="19"/>
              </w:rPr>
              <w:t>用模型内部信号区分正确配对与错误配对</w:t>
            </w:r>
          </w:p>
        </w:tc>
        <w:tc>
          <w:tcPr>
            <w:tcW w:type="dxa" w:w="3211"/>
            <w:tcMar>
              <w:top w:w="120" w:type="dxa"/>
              <w:start w:w="120" w:type="dxa"/>
              <w:bottom w:w="120" w:type="dxa"/>
              <w:end w:w="120" w:type="dxa"/>
            </w:tcMar>
          </w:tcPr>
          <w:p>
            <w:pPr>
              <w:spacing w:after="40" w:line="276" w:lineRule="auto"/>
            </w:pPr>
            <w:r>
              <w:rPr>
                <w:rFonts w:ascii="Noto Serif CJK SC" w:hAnsi="Noto Serif CJK SC" w:eastAsia="Noto Serif CJK SC"/>
                <w:sz w:val="19"/>
              </w:rPr>
              <w:t>高于随机水平</w:t>
            </w:r>
          </w:p>
        </w:tc>
      </w:tr>
      <w:tr>
        <w:trPr>
          <w:cantSplit/>
        </w:trPr>
        <w:tc>
          <w:tcPr>
            <w:tcW w:type="dxa" w:w="3211"/>
            <w:tcMar>
              <w:top w:w="120" w:type="dxa"/>
              <w:start w:w="120" w:type="dxa"/>
              <w:bottom w:w="120" w:type="dxa"/>
              <w:end w:w="120" w:type="dxa"/>
            </w:tcMar>
          </w:tcPr>
          <w:p>
            <w:pPr>
              <w:spacing w:after="40" w:line="276" w:lineRule="auto"/>
            </w:pPr>
            <w:r>
              <w:rPr>
                <w:rFonts w:ascii="Noto Serif CJK SC" w:hAnsi="Noto Serif CJK SC" w:eastAsia="Noto Serif CJK SC"/>
                <w:sz w:val="19"/>
              </w:rPr>
              <w:t>预测分歧与不确定性相关性</w:t>
            </w:r>
          </w:p>
        </w:tc>
        <w:tc>
          <w:tcPr>
            <w:tcW w:type="dxa" w:w="3211"/>
            <w:tcMar>
              <w:top w:w="120" w:type="dxa"/>
              <w:start w:w="120" w:type="dxa"/>
              <w:bottom w:w="120" w:type="dxa"/>
              <w:end w:w="120" w:type="dxa"/>
            </w:tcMar>
          </w:tcPr>
          <w:p>
            <w:pPr>
              <w:spacing w:after="40" w:line="276" w:lineRule="auto"/>
            </w:pPr>
            <w:r>
              <w:rPr>
                <w:rFonts w:ascii="Noto Serif CJK SC" w:hAnsi="Noto Serif CJK SC" w:eastAsia="Noto Serif CJK SC"/>
                <w:sz w:val="19"/>
              </w:rPr>
              <w:t>验证高冲突样本是否更不确定</w:t>
            </w:r>
          </w:p>
        </w:tc>
        <w:tc>
          <w:tcPr>
            <w:tcW w:type="dxa" w:w="3211"/>
            <w:tcMar>
              <w:top w:w="120" w:type="dxa"/>
              <w:start w:w="120" w:type="dxa"/>
              <w:bottom w:w="120" w:type="dxa"/>
              <w:end w:w="120" w:type="dxa"/>
            </w:tcMar>
          </w:tcPr>
          <w:p>
            <w:pPr>
              <w:spacing w:after="40" w:line="276" w:lineRule="auto"/>
            </w:pPr>
            <w:r>
              <w:rPr>
                <w:rFonts w:ascii="Noto Serif CJK SC" w:hAnsi="Noto Serif CJK SC" w:eastAsia="Noto Serif CJK SC"/>
                <w:sz w:val="19"/>
              </w:rPr>
              <w:t>显著正相关</w:t>
            </w:r>
          </w:p>
        </w:tc>
      </w:tr>
      <w:tr>
        <w:trPr>
          <w:cantSplit/>
        </w:trPr>
        <w:tc>
          <w:tcPr>
            <w:tcW w:type="dxa" w:w="3211"/>
            <w:tcMar>
              <w:top w:w="120" w:type="dxa"/>
              <w:start w:w="120" w:type="dxa"/>
              <w:bottom w:w="120" w:type="dxa"/>
              <w:end w:w="120" w:type="dxa"/>
            </w:tcMar>
          </w:tcPr>
          <w:p>
            <w:pPr>
              <w:spacing w:after="40" w:line="276" w:lineRule="auto"/>
            </w:pPr>
            <w:r>
              <w:rPr>
                <w:rFonts w:ascii="Noto Serif CJK SC" w:hAnsi="Noto Serif CJK SC" w:eastAsia="Noto Serif CJK SC"/>
                <w:sz w:val="19"/>
              </w:rPr>
              <w:t>缺失模态性能保留率</w:t>
            </w:r>
          </w:p>
        </w:tc>
        <w:tc>
          <w:tcPr>
            <w:tcW w:type="dxa" w:w="3211"/>
            <w:tcMar>
              <w:top w:w="120" w:type="dxa"/>
              <w:start w:w="120" w:type="dxa"/>
              <w:bottom w:w="120" w:type="dxa"/>
              <w:end w:w="120" w:type="dxa"/>
            </w:tcMar>
          </w:tcPr>
          <w:p>
            <w:pPr>
              <w:spacing w:after="40" w:line="276" w:lineRule="auto"/>
            </w:pPr>
            <w:r>
              <w:rPr>
                <w:rFonts w:ascii="Noto Serif CJK SC" w:hAnsi="Noto Serif CJK SC" w:eastAsia="Noto Serif CJK SC"/>
                <w:sz w:val="19"/>
              </w:rPr>
              <w:t>评估模态缺失鲁棒性</w:t>
            </w:r>
          </w:p>
        </w:tc>
        <w:tc>
          <w:tcPr>
            <w:tcW w:type="dxa" w:w="3211"/>
            <w:tcMar>
              <w:top w:w="120" w:type="dxa"/>
              <w:start w:w="120" w:type="dxa"/>
              <w:bottom w:w="120" w:type="dxa"/>
              <w:end w:w="120" w:type="dxa"/>
            </w:tcMar>
          </w:tcPr>
          <w:p>
            <w:pPr>
              <w:spacing w:after="40" w:line="276" w:lineRule="auto"/>
            </w:pPr>
            <w:r>
              <w:rPr>
                <w:rFonts w:ascii="Noto Serif CJK SC" w:hAnsi="Noto Serif CJK SC" w:eastAsia="Noto Serif CJK SC"/>
                <w:sz w:val="19"/>
              </w:rPr>
              <w:t>优于原方法和简单填补</w:t>
            </w:r>
          </w:p>
        </w:tc>
      </w:tr>
    </w:tbl>
    <w:p>
      <w:pPr>
        <w:pStyle w:val="CaptionCN"/>
      </w:pPr>
      <w:r>
        <w:rPr>
          <w:rFonts w:ascii="Noto Serif CJK SC" w:hAnsi="Noto Serif CJK SC" w:eastAsia="Noto Serif CJK SC"/>
        </w:rPr>
        <w:t>表2  问题验证阶段的评价指标</w:t>
      </w:r>
    </w:p>
    <w:p>
      <w:pPr>
        <w:pStyle w:val="Heading2"/>
      </w:pPr>
      <w:r>
        <w:rPr>
          <w:rFonts w:ascii="Noto Serif CJK SC" w:hAnsi="Noto Serif CJK SC" w:eastAsia="Noto Serif CJK SC"/>
        </w:rPr>
        <w:t>5.3 统计检验</w:t>
      </w:r>
    </w:p>
    <w:p>
      <w:pPr>
        <w:pStyle w:val="ListBullet"/>
        <w:spacing w:after="40"/>
      </w:pPr>
      <w:r>
        <w:rPr>
          <w:rFonts w:ascii="Noto Serif CJK SC" w:hAnsi="Noto Serif CJK SC" w:eastAsia="Noto Serif CJK SC"/>
        </w:rPr>
        <w:t>对同一折、同一患者的正确配对与错配结果使用配对 Wilcoxon 检验或置换检验。</w:t>
      </w:r>
    </w:p>
    <w:p>
      <w:pPr>
        <w:pStyle w:val="ListBullet"/>
        <w:spacing w:after="40"/>
      </w:pPr>
      <w:r>
        <w:rPr>
          <w:rFonts w:ascii="Noto Serif CJK SC" w:hAnsi="Noto Serif CJK SC" w:eastAsia="Noto Serif CJK SC"/>
        </w:rPr>
        <w:t>对 C-Index 使用 bootstrap 计算 95% 置信区间。</w:t>
      </w:r>
    </w:p>
    <w:p>
      <w:pPr>
        <w:pStyle w:val="ListBullet"/>
        <w:spacing w:after="40"/>
      </w:pPr>
      <w:r>
        <w:rPr>
          <w:rFonts w:ascii="Noto Serif CJK SC" w:hAnsi="Noto Serif CJK SC" w:eastAsia="Noto Serif CJK SC"/>
        </w:rPr>
        <w:t>对多个噪声等级进行趋势检验，并报告 Spearman ρ 与 p 值。</w:t>
      </w:r>
    </w:p>
    <w:p>
      <w:pPr>
        <w:pStyle w:val="ListBullet"/>
        <w:spacing w:after="40"/>
      </w:pPr>
      <w:r>
        <w:rPr>
          <w:rFonts w:ascii="Noto Serif CJK SC" w:hAnsi="Noto Serif CJK SC" w:eastAsia="Noto Serif CJK SC"/>
        </w:rPr>
        <w:t>若比较多种扰动和多个数据集，应考虑 Benjamini-Hochberg 多重检验校正。</w:t>
      </w:r>
    </w:p>
    <w:p>
      <w:pPr>
        <w:pStyle w:val="Heading1"/>
        <w:keepNext/>
      </w:pPr>
      <w:r>
        <w:rPr>
          <w:rFonts w:ascii="Noto Serif CJK SC" w:hAnsi="Noto Serif CJK SC" w:eastAsia="Noto Serif CJK SC"/>
        </w:rPr>
        <w:t>6. 证据判定标准</w:t>
      </w:r>
    </w:p>
    <w:p>
      <w:r>
        <w:rPr>
          <w:rFonts w:ascii="Noto Serif CJK SC" w:hAnsi="Noto Serif CJK SC" w:eastAsia="Noto Serif CJK SC"/>
        </w:rPr>
        <w:t>建议预先设定“问题成立”的判定标准，避免看到结果后再选择叙事。以下任意两至三项同时成立，即可形成较强证据链：</w:t>
      </w:r>
    </w:p>
    <w:p>
      <w:pPr>
        <w:pStyle w:val="ListBullet"/>
        <w:spacing w:after="40"/>
      </w:pPr>
      <w:r>
        <w:rPr>
          <w:rFonts w:ascii="Noto Serif CJK SC" w:hAnsi="Noto Serif CJK SC" w:eastAsia="Noto Serif CJK SC"/>
        </w:rPr>
        <w:t>模态噪声增加，但对应模态权重不下降，或出现显著反向变化。</w:t>
      </w:r>
    </w:p>
    <w:p>
      <w:pPr>
        <w:pStyle w:val="ListBullet"/>
        <w:spacing w:after="40"/>
      </w:pPr>
      <w:r>
        <w:rPr>
          <w:rFonts w:ascii="Noto Serif CJK SC" w:hAnsi="Noto Serif CJK SC" w:eastAsia="Noto Serif CJK SC"/>
        </w:rPr>
        <w:t>正确配对与错误配对的 holo-confidence、最终权重差异很小。</w:t>
      </w:r>
    </w:p>
    <w:p>
      <w:pPr>
        <w:pStyle w:val="ListBullet"/>
        <w:spacing w:after="40"/>
      </w:pPr>
      <w:r>
        <w:rPr>
          <w:rFonts w:ascii="Noto Serif CJK SC" w:hAnsi="Noto Serif CJK SC" w:eastAsia="Noto Serif CJK SC"/>
        </w:rPr>
        <w:t>动态权重与单模态预测正确性或不确定性相关性较低。</w:t>
      </w:r>
    </w:p>
    <w:p>
      <w:pPr>
        <w:pStyle w:val="ListBullet"/>
        <w:spacing w:after="40"/>
      </w:pPr>
      <w:r>
        <w:rPr>
          <w:rFonts w:ascii="Noto Serif CJK SC" w:hAnsi="Noto Serif CJK SC" w:eastAsia="Noto Serif CJK SC"/>
        </w:rPr>
        <w:t>高跨模态冲突样本没有获得更高不确定性或更合理的权重调整。</w:t>
      </w:r>
    </w:p>
    <w:p>
      <w:pPr>
        <w:pStyle w:val="ListBullet"/>
        <w:spacing w:after="40"/>
      </w:pPr>
      <w:r>
        <w:rPr>
          <w:rFonts w:ascii="Noto Serif CJK SC" w:hAnsi="Noto Serif CJK SC" w:eastAsia="Noto Serif CJK SC"/>
        </w:rPr>
        <w:t>某一模态缺失时，模型性能或权重出现不稳定崩溃。</w:t>
      </w:r>
    </w:p>
    <w:p>
      <w:pPr>
        <w:pStyle w:val="ListBullet"/>
        <w:spacing w:after="40"/>
      </w:pPr>
      <w:r>
        <w:rPr>
          <w:rFonts w:ascii="Noto Serif CJK SC" w:hAnsi="Noto Serif CJK SC" w:eastAsia="Noto Serif CJK SC"/>
        </w:rPr>
        <w:t>人工改变动态权重不能有效改变预测，或置信网络梯度接近零。</w:t>
      </w:r>
    </w:p>
    <w:tbl>
      <w:tblPr>
        <w:tblW w:type="auto" w:w="0"/>
        <w:jc w:val="center"/>
        <w:tblLayout w:type="autofit"/>
        <w:tblLook w:firstColumn="1" w:firstRow="1" w:lastColumn="0" w:lastRow="0" w:noHBand="0" w:noVBand="1" w:val="04A0"/>
      </w:tblPr>
      <w:tblGrid>
        <w:gridCol w:w="9632"/>
      </w:tblGrid>
      <w:tr>
        <w:trPr>
          <w:cantSplit/>
        </w:trPr>
        <w:tc>
          <w:tcPr>
            <w:tcW w:type="dxa" w:w="9632"/>
            <w:shd w:fill="EAF2F8"/>
            <w:tcMar>
              <w:top w:w="140" w:type="dxa"/>
              <w:start w:w="180" w:type="dxa"/>
              <w:bottom w:w="140" w:type="dxa"/>
              <w:end w:w="180" w:type="dxa"/>
            </w:tcMar>
          </w:tcPr>
          <w:p>
            <w:pPr>
              <w:spacing w:after="40" w:line="276" w:lineRule="auto"/>
            </w:pPr>
            <w:r>
              <w:rPr>
                <w:rFonts w:ascii="Noto Serif CJK SC" w:hAnsi="Noto Serif CJK SC" w:eastAsia="Noto Serif CJK SC"/>
                <w:b/>
                <w:color w:val="1F4E78"/>
                <w:sz w:val="19"/>
              </w:rPr>
              <w:t>最有说服力的组合</w:t>
            </w:r>
          </w:p>
          <w:p>
            <w:pPr>
              <w:spacing w:after="40" w:line="276" w:lineRule="auto"/>
            </w:pPr>
            <w:r>
              <w:rPr>
                <w:rFonts w:ascii="Noto Serif CJK SC" w:hAnsi="Noto Serif CJK SC" w:eastAsia="Noto Serif CJK SC"/>
                <w:sz w:val="19"/>
              </w:rPr>
              <w:t>“公式性质 + 噪声单调性失败 + 错配无法识别 + 与真实可靠性低相关”四类证据同时出现，将比仅报告一个性能下降更能证明机制性问题。</w:t>
            </w:r>
          </w:p>
        </w:tc>
      </w:tr>
    </w:tbl>
    <w:p>
      <w:pPr>
        <w:spacing w:after="0"/>
      </w:pPr>
    </w:p>
    <w:p>
      <w:pPr>
        <w:pStyle w:val="Heading1"/>
        <w:keepNext/>
      </w:pPr>
      <w:r>
        <w:rPr>
          <w:rFonts w:ascii="Noto Serif CJK SC" w:hAnsi="Noto Serif CJK SC" w:eastAsia="Noto Serif CJK SC"/>
        </w:rPr>
        <w:t>7. 可行的改进方向</w:t>
      </w:r>
    </w:p>
    <w:p>
      <w:pPr>
        <w:pStyle w:val="Heading2"/>
      </w:pPr>
      <w:r>
        <w:rPr>
          <w:rFonts w:ascii="Noto Serif CJK SC" w:hAnsi="Noto Serif CJK SC" w:eastAsia="Noto Serif CJK SC"/>
        </w:rPr>
        <w:t>7.1 设计目标</w:t>
      </w:r>
    </w:p>
    <w:p>
      <w:r>
        <w:rPr>
          <w:rFonts w:ascii="Noto Serif CJK SC" w:hAnsi="Noto Serif CJK SC" w:eastAsia="Noto Serif CJK SC"/>
        </w:rPr>
        <w:t>建议将现有混合式权重拆解成三个可解释分量：</w:t>
      </w:r>
    </w:p>
    <w:p>
      <w:pPr>
        <w:spacing w:after="40"/>
        <w:ind w:left="369" w:hanging="255"/>
      </w:pPr>
      <w:r>
        <w:rPr>
          <w:rFonts w:ascii="Noto Serif CJK SC" w:hAnsi="Noto Serif CJK SC" w:eastAsia="Noto Serif CJK SC"/>
        </w:rPr>
        <w:t>1. 质量可靠性：当前病理或基因输入本身是否干净、完整、可预测。</w:t>
      </w:r>
    </w:p>
    <w:p>
      <w:pPr>
        <w:spacing w:after="40"/>
        <w:ind w:left="369" w:hanging="255"/>
      </w:pPr>
      <w:r>
        <w:rPr>
          <w:rFonts w:ascii="Noto Serif CJK SC" w:hAnsi="Noto Serif CJK SC" w:eastAsia="Noto Serif CJK SC"/>
        </w:rPr>
        <w:t>2. 跨模态一致性：两个模态是否支持相近的生存风险判断。</w:t>
      </w:r>
    </w:p>
    <w:p>
      <w:pPr>
        <w:spacing w:after="40"/>
        <w:ind w:left="369" w:hanging="255"/>
      </w:pPr>
      <w:r>
        <w:rPr>
          <w:rFonts w:ascii="Noto Serif CJK SC" w:hAnsi="Noto Serif CJK SC" w:eastAsia="Noto Serif CJK SC"/>
        </w:rPr>
        <w:t>3. 跨模态互补性：即便预测不同，是否提供额外有效信息，而不是随机冲突。</w:t>
      </w:r>
    </w:p>
    <w:p>
      <w:pPr>
        <w:pStyle w:val="Heading2"/>
      </w:pPr>
      <w:r>
        <w:rPr>
          <w:rFonts w:ascii="Noto Serif CJK SC" w:hAnsi="Noto Serif CJK SC" w:eastAsia="Noto Serif CJK SC"/>
        </w:rPr>
        <w:t>7.2 质量感知分支</w:t>
      </w:r>
    </w:p>
    <w:p>
      <w:r>
        <w:rPr>
          <w:rFonts w:ascii="Noto Serif CJK SC" w:hAnsi="Noto Serif CJK SC" w:eastAsia="Noto Serif CJK SC"/>
        </w:rPr>
        <w:t>每个模态独立输出风险分布与不确定性，可使用：</w:t>
      </w:r>
    </w:p>
    <w:p>
      <w:pPr>
        <w:pStyle w:val="ListBullet"/>
        <w:spacing w:after="40"/>
      </w:pPr>
      <w:r>
        <w:rPr>
          <w:rFonts w:ascii="Noto Serif CJK SC" w:hAnsi="Noto Serif CJK SC" w:eastAsia="Noto Serif CJK SC"/>
        </w:rPr>
        <w:t>深度集成或 MC Dropout 估计预测方差；</w:t>
      </w:r>
    </w:p>
    <w:p>
      <w:pPr>
        <w:pStyle w:val="ListBullet"/>
        <w:spacing w:after="40"/>
      </w:pPr>
      <w:r>
        <w:rPr>
          <w:rFonts w:ascii="Noto Serif CJK SC" w:hAnsi="Noto Serif CJK SC" w:eastAsia="Noto Serif CJK SC"/>
        </w:rPr>
        <w:t>基于单模态生存损失的置信度校准；</w:t>
      </w:r>
    </w:p>
    <w:p>
      <w:pPr>
        <w:pStyle w:val="ListBullet"/>
        <w:spacing w:after="40"/>
      </w:pPr>
      <w:r>
        <w:rPr>
          <w:rFonts w:ascii="Noto Serif CJK SC" w:hAnsi="Noto Serif CJK SC" w:eastAsia="Noto Serif CJK SC"/>
        </w:rPr>
        <w:t>病理 patch 缺失率、图连通度、特征异常度等质量特征；</w:t>
      </w:r>
    </w:p>
    <w:p>
      <w:pPr>
        <w:pStyle w:val="ListBullet"/>
        <w:spacing w:after="40"/>
      </w:pPr>
      <w:r>
        <w:rPr>
          <w:rFonts w:ascii="Noto Serif CJK SC" w:hAnsi="Noto Serif CJK SC" w:eastAsia="Noto Serif CJK SC"/>
        </w:rPr>
        <w:t>基因缺失率、表达异常值和通路覆盖率。</w:t>
      </w:r>
    </w:p>
    <w:p>
      <w:pPr>
        <w:pStyle w:val="Heading2"/>
      </w:pPr>
      <w:r>
        <w:rPr>
          <w:rFonts w:ascii="Noto Serif CJK SC" w:hAnsi="Noto Serif CJK SC" w:eastAsia="Noto Serif CJK SC"/>
        </w:rPr>
        <w:t>7.3 冲突感知分支</w:t>
      </w:r>
    </w:p>
    <w:p>
      <w:r>
        <w:rPr>
          <w:rFonts w:ascii="Noto Serif CJK SC" w:hAnsi="Noto Serif CJK SC" w:eastAsia="Noto Serif CJK SC"/>
        </w:rPr>
        <w:t>显式比较两个单模态风险分布，例如：</w:t>
      </w:r>
    </w:p>
    <w:p>
      <w:pPr>
        <w:spacing w:before="80" w:after="80"/>
        <w:jc w:val="center"/>
      </w:pPr>
      <w:r>
        <w:rPr>
          <w:rFonts w:ascii="Cambria Math" w:hAnsi="Cambria Math" w:eastAsia="Noto Serif CJK SC"/>
          <w:sz w:val="22"/>
        </w:rPr>
        <w:t>D_conflict = JS[p(y|P) || p(y|G)]</w:t>
      </w:r>
    </w:p>
    <w:p>
      <w:r>
        <w:rPr>
          <w:rFonts w:ascii="Noto Serif CJK SC" w:hAnsi="Noto Serif CJK SC" w:eastAsia="Noto Serif CJK SC"/>
        </w:rPr>
        <w:t>也可以使用风险排序差、注意力对齐差或对比学习判别“正确配对/错误配对”。高冲突时，模型应提高不确定性，并根据质量可靠性决定更信任哪一模态。</w:t>
      </w:r>
    </w:p>
    <w:p>
      <w:pPr>
        <w:pStyle w:val="Heading2"/>
      </w:pPr>
      <w:r>
        <w:rPr>
          <w:rFonts w:ascii="Noto Serif CJK SC" w:hAnsi="Noto Serif CJK SC" w:eastAsia="Noto Serif CJK SC"/>
        </w:rPr>
        <w:t>7.4 训练策略</w:t>
      </w:r>
    </w:p>
    <w:p>
      <w:pPr>
        <w:pStyle w:val="ListBullet"/>
        <w:spacing w:after="40"/>
      </w:pPr>
      <w:r>
        <w:rPr>
          <w:rFonts w:ascii="Noto Serif CJK SC" w:hAnsi="Noto Serif CJK SC" w:eastAsia="Noto Serif CJK SC"/>
        </w:rPr>
        <w:t>模态随机丢弃：训练时随机屏蔽病理或基因，提升缺失模态鲁棒性。</w:t>
      </w:r>
    </w:p>
    <w:p>
      <w:pPr>
        <w:pStyle w:val="ListBullet"/>
        <w:spacing w:after="40"/>
      </w:pPr>
      <w:r>
        <w:rPr>
          <w:rFonts w:ascii="Noto Serif CJK SC" w:hAnsi="Noto Serif CJK SC" w:eastAsia="Noto Serif CJK SC"/>
        </w:rPr>
        <w:t>质量退化增强：随机删除 patch、加噪、屏蔽基因，监督权重满足单调性。</w:t>
      </w:r>
    </w:p>
    <w:p>
      <w:pPr>
        <w:pStyle w:val="ListBullet"/>
        <w:spacing w:after="40"/>
      </w:pPr>
      <w:r>
        <w:rPr>
          <w:rFonts w:ascii="Noto Serif CJK SC" w:hAnsi="Noto Serif CJK SC" w:eastAsia="Noto Serif CJK SC"/>
        </w:rPr>
        <w:t>错配负样本：使用其他患者的模态构造错误配对，训练冲突识别器。</w:t>
      </w:r>
    </w:p>
    <w:p>
      <w:pPr>
        <w:pStyle w:val="ListBullet"/>
        <w:spacing w:after="40"/>
      </w:pPr>
      <w:r>
        <w:rPr>
          <w:rFonts w:ascii="Noto Serif CJK SC" w:hAnsi="Noto Serif CJK SC" w:eastAsia="Noto Serif CJK SC"/>
        </w:rPr>
        <w:t>权重单调性损失：更严重的受噪版本不应获得更高权重。</w:t>
      </w:r>
    </w:p>
    <w:p>
      <w:pPr>
        <w:pStyle w:val="ListBullet"/>
        <w:spacing w:after="40"/>
      </w:pPr>
      <w:r>
        <w:rPr>
          <w:rFonts w:ascii="Noto Serif CJK SC" w:hAnsi="Noto Serif CJK SC" w:eastAsia="Noto Serif CJK SC"/>
        </w:rPr>
        <w:t>置信度校准损失：使权重或不确定性与真实单模态误差一致。</w:t>
      </w:r>
    </w:p>
    <w:p>
      <w:pPr>
        <w:pStyle w:val="Heading2"/>
      </w:pPr>
      <w:r>
        <w:rPr>
          <w:rFonts w:ascii="Noto Serif CJK SC" w:hAnsi="Noto Serif CJK SC" w:eastAsia="Noto Serif CJK SC"/>
        </w:rPr>
        <w:t>7.5 一个可写入论文的方法框架</w:t>
      </w:r>
    </w:p>
    <w:p>
      <w:pPr>
        <w:spacing w:before="80" w:after="80"/>
        <w:jc w:val="center"/>
      </w:pPr>
      <w:r>
        <w:rPr>
          <w:rFonts w:ascii="Cambria Math" w:hAnsi="Cambria Math" w:eastAsia="Noto Serif CJK SC"/>
          <w:sz w:val="22"/>
        </w:rPr>
        <w:t>qₚ, q_g = QualityEstimator(P), QualityEstimator(G)</w:t>
      </w:r>
    </w:p>
    <w:p>
      <w:pPr>
        <w:spacing w:before="80" w:after="80"/>
        <w:jc w:val="center"/>
      </w:pPr>
      <w:r>
        <w:rPr>
          <w:rFonts w:ascii="Cambria Math" w:hAnsi="Cambria Math" w:eastAsia="Noto Serif CJK SC"/>
          <w:sz w:val="22"/>
        </w:rPr>
        <w:t>c = ConflictEstimator[p(y|P), p(y|G), P, G]</w:t>
      </w:r>
    </w:p>
    <w:p>
      <w:pPr>
        <w:spacing w:before="80" w:after="80"/>
        <w:jc w:val="center"/>
      </w:pPr>
      <w:r>
        <w:rPr>
          <w:rFonts w:ascii="Cambria Math" w:hAnsi="Cambria Math" w:eastAsia="Noto Serif CJK SC"/>
          <w:sz w:val="22"/>
        </w:rPr>
        <w:t>(wₚ,w_g) = Gating(qₚ,q_g,c, missing-mask)</w:t>
      </w:r>
    </w:p>
    <w:p>
      <w:pPr>
        <w:spacing w:before="80" w:after="80"/>
        <w:jc w:val="center"/>
      </w:pPr>
      <w:r>
        <w:rPr>
          <w:rFonts w:ascii="Cambria Math" w:hAnsi="Cambria Math" w:eastAsia="Noto Serif CJK SC"/>
          <w:sz w:val="22"/>
        </w:rPr>
        <w:t>z = wₚ·zₚ + w_g·z_g + CrossModalFusion(zₚ,z_g)</w:t>
      </w:r>
    </w:p>
    <w:p>
      <w:r>
        <w:rPr>
          <w:rFonts w:ascii="Noto Serif CJK SC" w:hAnsi="Noto Serif CJK SC" w:eastAsia="Noto Serif CJK SC"/>
        </w:rPr>
        <w:t>其中 q 表示质量可靠性，c 表示跨模态冲突，missing-mask 显式表示模态缺失。这样最终权重具备更清晰的可解释语义。</w:t>
      </w:r>
    </w:p>
    <w:p>
      <w:pPr>
        <w:pStyle w:val="Heading1"/>
        <w:keepNext/>
      </w:pPr>
      <w:r>
        <w:rPr>
          <w:rFonts w:ascii="Noto Serif CJK SC" w:hAnsi="Noto Serif CJK SC" w:eastAsia="Noto Serif CJK SC"/>
        </w:rPr>
        <w:t>8. 消融实验与投稿叙事</w:t>
      </w:r>
    </w:p>
    <w:p>
      <w:pPr>
        <w:pStyle w:val="Heading2"/>
      </w:pPr>
      <w:r>
        <w:rPr>
          <w:rFonts w:ascii="Noto Serif CJK SC" w:hAnsi="Noto Serif CJK SC" w:eastAsia="Noto Serif CJK SC"/>
        </w:rPr>
        <w:t>8.1 必做消融</w:t>
      </w:r>
    </w:p>
    <w:tbl>
      <w:tblPr>
        <w:tblW w:type="auto" w:w="0"/>
        <w:jc w:val="center"/>
        <w:tblLook w:firstColumn="1" w:firstRow="1" w:lastColumn="0" w:lastRow="0" w:noHBand="0" w:noVBand="1" w:val="04A0"/>
        <w:tblBorders>
          <w:top w:val="single" w:sz="6" w:space="0" w:color="B8C2CC"/>
          <w:start w:val="single" w:sz="6" w:space="0" w:color="B8C2CC"/>
          <w:bottom w:val="single" w:sz="6" w:space="0" w:color="B8C2CC"/>
          <w:end w:val="single" w:sz="6" w:space="0" w:color="B8C2CC"/>
          <w:insideH w:val="single" w:sz="6" w:space="0" w:color="B8C2CC"/>
          <w:insideV w:val="single" w:sz="6" w:space="0" w:color="B8C2CC"/>
        </w:tblBorders>
      </w:tblPr>
      <w:tblGrid>
        <w:gridCol w:w="2408"/>
        <w:gridCol w:w="2408"/>
        <w:gridCol w:w="2408"/>
        <w:gridCol w:w="2408"/>
      </w:tblGrid>
      <w:tr>
        <w:trPr>
          <w:tblHeader w:val="true"/>
          <w:cantSplit/>
        </w:trPr>
        <w:tc>
          <w:tcPr>
            <w:tcW w:type="dxa" w:w="2408"/>
            <w:shd w:fill="D9EAF7"/>
            <w:tcMar>
              <w:top w:w="120" w:type="dxa"/>
              <w:start w:w="120" w:type="dxa"/>
              <w:bottom w:w="120" w:type="dxa"/>
              <w:end w:w="120" w:type="dxa"/>
            </w:tcMar>
          </w:tcPr>
          <w:p>
            <w:pPr>
              <w:spacing w:after="40" w:line="276" w:lineRule="auto"/>
            </w:pPr>
            <w:r>
              <w:rPr>
                <w:rFonts w:ascii="Noto Serif CJK SC" w:hAnsi="Noto Serif CJK SC" w:eastAsia="Noto Serif CJK SC"/>
                <w:b/>
                <w:sz w:val="19"/>
              </w:rPr>
              <w:t>模型变体</w:t>
            </w:r>
          </w:p>
        </w:tc>
        <w:tc>
          <w:tcPr>
            <w:tcW w:type="dxa" w:w="2408"/>
            <w:shd w:fill="D9EAF7"/>
            <w:tcMar>
              <w:top w:w="120" w:type="dxa"/>
              <w:start w:w="120" w:type="dxa"/>
              <w:bottom w:w="120" w:type="dxa"/>
              <w:end w:w="120" w:type="dxa"/>
            </w:tcMar>
          </w:tcPr>
          <w:p>
            <w:pPr>
              <w:spacing w:after="40" w:line="276" w:lineRule="auto"/>
            </w:pPr>
            <w:r>
              <w:rPr>
                <w:rFonts w:ascii="Noto Serif CJK SC" w:hAnsi="Noto Serif CJK SC" w:eastAsia="Noto Serif CJK SC"/>
                <w:b/>
                <w:sz w:val="19"/>
              </w:rPr>
              <w:t>质量分支</w:t>
            </w:r>
          </w:p>
        </w:tc>
        <w:tc>
          <w:tcPr>
            <w:tcW w:type="dxa" w:w="2408"/>
            <w:shd w:fill="D9EAF7"/>
            <w:tcMar>
              <w:top w:w="120" w:type="dxa"/>
              <w:start w:w="120" w:type="dxa"/>
              <w:bottom w:w="120" w:type="dxa"/>
              <w:end w:w="120" w:type="dxa"/>
            </w:tcMar>
          </w:tcPr>
          <w:p>
            <w:pPr>
              <w:spacing w:after="40" w:line="276" w:lineRule="auto"/>
            </w:pPr>
            <w:r>
              <w:rPr>
                <w:rFonts w:ascii="Noto Serif CJK SC" w:hAnsi="Noto Serif CJK SC" w:eastAsia="Noto Serif CJK SC"/>
                <w:b/>
                <w:sz w:val="19"/>
              </w:rPr>
              <w:t>冲突分支</w:t>
            </w:r>
          </w:p>
        </w:tc>
        <w:tc>
          <w:tcPr>
            <w:tcW w:type="dxa" w:w="2408"/>
            <w:shd w:fill="D9EAF7"/>
            <w:tcMar>
              <w:top w:w="120" w:type="dxa"/>
              <w:start w:w="120" w:type="dxa"/>
              <w:bottom w:w="120" w:type="dxa"/>
              <w:end w:w="120" w:type="dxa"/>
            </w:tcMar>
          </w:tcPr>
          <w:p>
            <w:pPr>
              <w:spacing w:after="40" w:line="276" w:lineRule="auto"/>
            </w:pPr>
            <w:r>
              <w:rPr>
                <w:rFonts w:ascii="Noto Serif CJK SC" w:hAnsi="Noto Serif CJK SC" w:eastAsia="Noto Serif CJK SC"/>
                <w:b/>
                <w:sz w:val="19"/>
              </w:rPr>
              <w:t>目的</w:t>
            </w:r>
          </w:p>
        </w:tc>
      </w:tr>
      <w:tr>
        <w:trPr>
          <w:cantSplit/>
        </w:trPr>
        <w:tc>
          <w:tcPr>
            <w:tcW w:type="dxa" w:w="2408"/>
            <w:tcMar>
              <w:top w:w="120" w:type="dxa"/>
              <w:start w:w="120" w:type="dxa"/>
              <w:bottom w:w="120" w:type="dxa"/>
              <w:end w:w="120" w:type="dxa"/>
            </w:tcMar>
          </w:tcPr>
          <w:p>
            <w:pPr>
              <w:spacing w:after="40" w:line="276" w:lineRule="auto"/>
            </w:pPr>
            <w:r>
              <w:rPr>
                <w:rFonts w:ascii="Noto Serif CJK SC" w:hAnsi="Noto Serif CJK SC" w:eastAsia="Noto Serif CJK SC"/>
                <w:sz w:val="19"/>
              </w:rPr>
              <w:t>原 MRePath</w:t>
            </w:r>
          </w:p>
        </w:tc>
        <w:tc>
          <w:tcPr>
            <w:tcW w:type="dxa" w:w="2408"/>
            <w:tcMar>
              <w:top w:w="120" w:type="dxa"/>
              <w:start w:w="120" w:type="dxa"/>
              <w:bottom w:w="120" w:type="dxa"/>
              <w:end w:w="120" w:type="dxa"/>
            </w:tcMar>
          </w:tcPr>
          <w:p>
            <w:pPr>
              <w:spacing w:after="40" w:line="276" w:lineRule="auto"/>
            </w:pPr>
            <w:r>
              <w:rPr>
                <w:rFonts w:ascii="Noto Serif CJK SC" w:hAnsi="Noto Serif CJK SC" w:eastAsia="Noto Serif CJK SC"/>
                <w:sz w:val="19"/>
              </w:rPr>
              <w:t>原 mono-confidence</w:t>
            </w:r>
          </w:p>
        </w:tc>
        <w:tc>
          <w:tcPr>
            <w:tcW w:type="dxa" w:w="2408"/>
            <w:tcMar>
              <w:top w:w="120" w:type="dxa"/>
              <w:start w:w="120" w:type="dxa"/>
              <w:bottom w:w="120" w:type="dxa"/>
              <w:end w:w="120" w:type="dxa"/>
            </w:tcMar>
          </w:tcPr>
          <w:p>
            <w:pPr>
              <w:spacing w:after="40" w:line="276" w:lineRule="auto"/>
            </w:pPr>
            <w:r>
              <w:rPr>
                <w:rFonts w:ascii="Noto Serif CJK SC" w:hAnsi="Noto Serif CJK SC" w:eastAsia="Noto Serif CJK SC"/>
                <w:sz w:val="19"/>
              </w:rPr>
              <w:t>原 holo-confidence</w:t>
            </w:r>
          </w:p>
        </w:tc>
        <w:tc>
          <w:tcPr>
            <w:tcW w:type="dxa" w:w="2408"/>
            <w:tcMar>
              <w:top w:w="120" w:type="dxa"/>
              <w:start w:w="120" w:type="dxa"/>
              <w:bottom w:w="120" w:type="dxa"/>
              <w:end w:w="120" w:type="dxa"/>
            </w:tcMar>
          </w:tcPr>
          <w:p>
            <w:pPr>
              <w:spacing w:after="40" w:line="276" w:lineRule="auto"/>
            </w:pPr>
            <w:r>
              <w:rPr>
                <w:rFonts w:ascii="Noto Serif CJK SC" w:hAnsi="Noto Serif CJK SC" w:eastAsia="Noto Serif CJK SC"/>
                <w:sz w:val="19"/>
              </w:rPr>
              <w:t>基线</w:t>
            </w:r>
          </w:p>
        </w:tc>
      </w:tr>
      <w:tr>
        <w:trPr>
          <w:cantSplit/>
        </w:trPr>
        <w:tc>
          <w:tcPr>
            <w:tcW w:type="dxa" w:w="2408"/>
            <w:tcMar>
              <w:top w:w="120" w:type="dxa"/>
              <w:start w:w="120" w:type="dxa"/>
              <w:bottom w:w="120" w:type="dxa"/>
              <w:end w:w="120" w:type="dxa"/>
            </w:tcMar>
          </w:tcPr>
          <w:p>
            <w:pPr>
              <w:spacing w:after="40" w:line="276" w:lineRule="auto"/>
            </w:pPr>
            <w:r>
              <w:rPr>
                <w:rFonts w:ascii="Noto Serif CJK SC" w:hAnsi="Noto Serif CJK SC" w:eastAsia="Noto Serif CJK SC"/>
                <w:sz w:val="19"/>
              </w:rPr>
              <w:t>仅质量感知</w:t>
            </w:r>
          </w:p>
        </w:tc>
        <w:tc>
          <w:tcPr>
            <w:tcW w:type="dxa" w:w="2408"/>
            <w:tcMar>
              <w:top w:w="120" w:type="dxa"/>
              <w:start w:w="120" w:type="dxa"/>
              <w:bottom w:w="120" w:type="dxa"/>
              <w:end w:w="120" w:type="dxa"/>
            </w:tcMar>
          </w:tcPr>
          <w:p>
            <w:pPr>
              <w:spacing w:after="40" w:line="276" w:lineRule="auto"/>
            </w:pPr>
            <w:r>
              <w:rPr>
                <w:rFonts w:ascii="Noto Serif CJK SC" w:hAnsi="Noto Serif CJK SC" w:eastAsia="Noto Serif CJK SC"/>
                <w:sz w:val="19"/>
              </w:rPr>
              <w:t>✓</w:t>
            </w:r>
          </w:p>
        </w:tc>
        <w:tc>
          <w:tcPr>
            <w:tcW w:type="dxa" w:w="2408"/>
            <w:tcMar>
              <w:top w:w="120" w:type="dxa"/>
              <w:start w:w="120" w:type="dxa"/>
              <w:bottom w:w="120" w:type="dxa"/>
              <w:end w:w="120" w:type="dxa"/>
            </w:tcMar>
          </w:tcPr>
          <w:p>
            <w:pPr>
              <w:spacing w:after="40" w:line="276" w:lineRule="auto"/>
            </w:pPr>
            <w:r>
              <w:rPr>
                <w:rFonts w:ascii="Noto Serif CJK SC" w:hAnsi="Noto Serif CJK SC" w:eastAsia="Noto Serif CJK SC"/>
                <w:sz w:val="19"/>
              </w:rPr>
              <w:t>—</w:t>
            </w:r>
          </w:p>
        </w:tc>
        <w:tc>
          <w:tcPr>
            <w:tcW w:type="dxa" w:w="2408"/>
            <w:tcMar>
              <w:top w:w="120" w:type="dxa"/>
              <w:start w:w="120" w:type="dxa"/>
              <w:bottom w:w="120" w:type="dxa"/>
              <w:end w:w="120" w:type="dxa"/>
            </w:tcMar>
          </w:tcPr>
          <w:p>
            <w:pPr>
              <w:spacing w:after="40" w:line="276" w:lineRule="auto"/>
            </w:pPr>
            <w:r>
              <w:rPr>
                <w:rFonts w:ascii="Noto Serif CJK SC" w:hAnsi="Noto Serif CJK SC" w:eastAsia="Noto Serif CJK SC"/>
                <w:sz w:val="19"/>
              </w:rPr>
              <w:t>证明质量估计贡献</w:t>
            </w:r>
          </w:p>
        </w:tc>
      </w:tr>
      <w:tr>
        <w:trPr>
          <w:cantSplit/>
        </w:trPr>
        <w:tc>
          <w:tcPr>
            <w:tcW w:type="dxa" w:w="2408"/>
            <w:tcMar>
              <w:top w:w="120" w:type="dxa"/>
              <w:start w:w="120" w:type="dxa"/>
              <w:bottom w:w="120" w:type="dxa"/>
              <w:end w:w="120" w:type="dxa"/>
            </w:tcMar>
          </w:tcPr>
          <w:p>
            <w:pPr>
              <w:spacing w:after="40" w:line="276" w:lineRule="auto"/>
            </w:pPr>
            <w:r>
              <w:rPr>
                <w:rFonts w:ascii="Noto Serif CJK SC" w:hAnsi="Noto Serif CJK SC" w:eastAsia="Noto Serif CJK SC"/>
                <w:sz w:val="19"/>
              </w:rPr>
              <w:t>仅冲突感知</w:t>
            </w:r>
          </w:p>
        </w:tc>
        <w:tc>
          <w:tcPr>
            <w:tcW w:type="dxa" w:w="2408"/>
            <w:tcMar>
              <w:top w:w="120" w:type="dxa"/>
              <w:start w:w="120" w:type="dxa"/>
              <w:bottom w:w="120" w:type="dxa"/>
              <w:end w:w="120" w:type="dxa"/>
            </w:tcMar>
          </w:tcPr>
          <w:p>
            <w:pPr>
              <w:spacing w:after="40" w:line="276" w:lineRule="auto"/>
            </w:pPr>
            <w:r>
              <w:rPr>
                <w:rFonts w:ascii="Noto Serif CJK SC" w:hAnsi="Noto Serif CJK SC" w:eastAsia="Noto Serif CJK SC"/>
                <w:sz w:val="19"/>
              </w:rPr>
              <w:t>—</w:t>
            </w:r>
          </w:p>
        </w:tc>
        <w:tc>
          <w:tcPr>
            <w:tcW w:type="dxa" w:w="2408"/>
            <w:tcMar>
              <w:top w:w="120" w:type="dxa"/>
              <w:start w:w="120" w:type="dxa"/>
              <w:bottom w:w="120" w:type="dxa"/>
              <w:end w:w="120" w:type="dxa"/>
            </w:tcMar>
          </w:tcPr>
          <w:p>
            <w:pPr>
              <w:spacing w:after="40" w:line="276" w:lineRule="auto"/>
            </w:pPr>
            <w:r>
              <w:rPr>
                <w:rFonts w:ascii="Noto Serif CJK SC" w:hAnsi="Noto Serif CJK SC" w:eastAsia="Noto Serif CJK SC"/>
                <w:sz w:val="19"/>
              </w:rPr>
              <w:t>✓</w:t>
            </w:r>
          </w:p>
        </w:tc>
        <w:tc>
          <w:tcPr>
            <w:tcW w:type="dxa" w:w="2408"/>
            <w:tcMar>
              <w:top w:w="120" w:type="dxa"/>
              <w:start w:w="120" w:type="dxa"/>
              <w:bottom w:w="120" w:type="dxa"/>
              <w:end w:w="120" w:type="dxa"/>
            </w:tcMar>
          </w:tcPr>
          <w:p>
            <w:pPr>
              <w:spacing w:after="40" w:line="276" w:lineRule="auto"/>
            </w:pPr>
            <w:r>
              <w:rPr>
                <w:rFonts w:ascii="Noto Serif CJK SC" w:hAnsi="Noto Serif CJK SC" w:eastAsia="Noto Serif CJK SC"/>
                <w:sz w:val="19"/>
              </w:rPr>
              <w:t>证明错配/冲突识别贡献</w:t>
            </w:r>
          </w:p>
        </w:tc>
      </w:tr>
      <w:tr>
        <w:trPr>
          <w:cantSplit/>
        </w:trPr>
        <w:tc>
          <w:tcPr>
            <w:tcW w:type="dxa" w:w="2408"/>
            <w:tcMar>
              <w:top w:w="120" w:type="dxa"/>
              <w:start w:w="120" w:type="dxa"/>
              <w:bottom w:w="120" w:type="dxa"/>
              <w:end w:w="120" w:type="dxa"/>
            </w:tcMar>
          </w:tcPr>
          <w:p>
            <w:pPr>
              <w:spacing w:after="40" w:line="276" w:lineRule="auto"/>
            </w:pPr>
            <w:r>
              <w:rPr>
                <w:rFonts w:ascii="Noto Serif CJK SC" w:hAnsi="Noto Serif CJK SC" w:eastAsia="Noto Serif CJK SC"/>
                <w:sz w:val="19"/>
              </w:rPr>
              <w:t>质量 + 冲突</w:t>
            </w:r>
          </w:p>
        </w:tc>
        <w:tc>
          <w:tcPr>
            <w:tcW w:type="dxa" w:w="2408"/>
            <w:tcMar>
              <w:top w:w="120" w:type="dxa"/>
              <w:start w:w="120" w:type="dxa"/>
              <w:bottom w:w="120" w:type="dxa"/>
              <w:end w:w="120" w:type="dxa"/>
            </w:tcMar>
          </w:tcPr>
          <w:p>
            <w:pPr>
              <w:spacing w:after="40" w:line="276" w:lineRule="auto"/>
            </w:pPr>
            <w:r>
              <w:rPr>
                <w:rFonts w:ascii="Noto Serif CJK SC" w:hAnsi="Noto Serif CJK SC" w:eastAsia="Noto Serif CJK SC"/>
                <w:sz w:val="19"/>
              </w:rPr>
              <w:t>✓</w:t>
            </w:r>
          </w:p>
        </w:tc>
        <w:tc>
          <w:tcPr>
            <w:tcW w:type="dxa" w:w="2408"/>
            <w:tcMar>
              <w:top w:w="120" w:type="dxa"/>
              <w:start w:w="120" w:type="dxa"/>
              <w:bottom w:w="120" w:type="dxa"/>
              <w:end w:w="120" w:type="dxa"/>
            </w:tcMar>
          </w:tcPr>
          <w:p>
            <w:pPr>
              <w:spacing w:after="40" w:line="276" w:lineRule="auto"/>
            </w:pPr>
            <w:r>
              <w:rPr>
                <w:rFonts w:ascii="Noto Serif CJK SC" w:hAnsi="Noto Serif CJK SC" w:eastAsia="Noto Serif CJK SC"/>
                <w:sz w:val="19"/>
              </w:rPr>
              <w:t>✓</w:t>
            </w:r>
          </w:p>
        </w:tc>
        <w:tc>
          <w:tcPr>
            <w:tcW w:type="dxa" w:w="2408"/>
            <w:tcMar>
              <w:top w:w="120" w:type="dxa"/>
              <w:start w:w="120" w:type="dxa"/>
              <w:bottom w:w="120" w:type="dxa"/>
              <w:end w:w="120" w:type="dxa"/>
            </w:tcMar>
          </w:tcPr>
          <w:p>
            <w:pPr>
              <w:spacing w:after="40" w:line="276" w:lineRule="auto"/>
            </w:pPr>
            <w:r>
              <w:rPr>
                <w:rFonts w:ascii="Noto Serif CJK SC" w:hAnsi="Noto Serif CJK SC" w:eastAsia="Noto Serif CJK SC"/>
                <w:sz w:val="19"/>
              </w:rPr>
              <w:t>完整模型</w:t>
            </w:r>
          </w:p>
        </w:tc>
      </w:tr>
      <w:tr>
        <w:trPr>
          <w:cantSplit/>
        </w:trPr>
        <w:tc>
          <w:tcPr>
            <w:tcW w:type="dxa" w:w="2408"/>
            <w:tcMar>
              <w:top w:w="120" w:type="dxa"/>
              <w:start w:w="120" w:type="dxa"/>
              <w:bottom w:w="120" w:type="dxa"/>
              <w:end w:w="120" w:type="dxa"/>
            </w:tcMar>
          </w:tcPr>
          <w:p>
            <w:pPr>
              <w:spacing w:after="40" w:line="276" w:lineRule="auto"/>
            </w:pPr>
            <w:r>
              <w:rPr>
                <w:rFonts w:ascii="Noto Serif CJK SC" w:hAnsi="Noto Serif CJK SC" w:eastAsia="Noto Serif CJK SC"/>
                <w:sz w:val="19"/>
              </w:rPr>
              <w:t>无模态丢弃训练</w:t>
            </w:r>
          </w:p>
        </w:tc>
        <w:tc>
          <w:tcPr>
            <w:tcW w:type="dxa" w:w="2408"/>
            <w:tcMar>
              <w:top w:w="120" w:type="dxa"/>
              <w:start w:w="120" w:type="dxa"/>
              <w:bottom w:w="120" w:type="dxa"/>
              <w:end w:w="120" w:type="dxa"/>
            </w:tcMar>
          </w:tcPr>
          <w:p>
            <w:pPr>
              <w:spacing w:after="40" w:line="276" w:lineRule="auto"/>
            </w:pPr>
            <w:r>
              <w:rPr>
                <w:rFonts w:ascii="Noto Serif CJK SC" w:hAnsi="Noto Serif CJK SC" w:eastAsia="Noto Serif CJK SC"/>
                <w:sz w:val="19"/>
              </w:rPr>
              <w:t>✓</w:t>
            </w:r>
          </w:p>
        </w:tc>
        <w:tc>
          <w:tcPr>
            <w:tcW w:type="dxa" w:w="2408"/>
            <w:tcMar>
              <w:top w:w="120" w:type="dxa"/>
              <w:start w:w="120" w:type="dxa"/>
              <w:bottom w:w="120" w:type="dxa"/>
              <w:end w:w="120" w:type="dxa"/>
            </w:tcMar>
          </w:tcPr>
          <w:p>
            <w:pPr>
              <w:spacing w:after="40" w:line="276" w:lineRule="auto"/>
            </w:pPr>
            <w:r>
              <w:rPr>
                <w:rFonts w:ascii="Noto Serif CJK SC" w:hAnsi="Noto Serif CJK SC" w:eastAsia="Noto Serif CJK SC"/>
                <w:sz w:val="19"/>
              </w:rPr>
              <w:t>✓</w:t>
            </w:r>
          </w:p>
        </w:tc>
        <w:tc>
          <w:tcPr>
            <w:tcW w:type="dxa" w:w="2408"/>
            <w:tcMar>
              <w:top w:w="120" w:type="dxa"/>
              <w:start w:w="120" w:type="dxa"/>
              <w:bottom w:w="120" w:type="dxa"/>
              <w:end w:w="120" w:type="dxa"/>
            </w:tcMar>
          </w:tcPr>
          <w:p>
            <w:pPr>
              <w:spacing w:after="40" w:line="276" w:lineRule="auto"/>
            </w:pPr>
            <w:r>
              <w:rPr>
                <w:rFonts w:ascii="Noto Serif CJK SC" w:hAnsi="Noto Serif CJK SC" w:eastAsia="Noto Serif CJK SC"/>
                <w:sz w:val="19"/>
              </w:rPr>
              <w:t>验证缺失鲁棒训练</w:t>
            </w:r>
          </w:p>
        </w:tc>
      </w:tr>
      <w:tr>
        <w:trPr>
          <w:cantSplit/>
        </w:trPr>
        <w:tc>
          <w:tcPr>
            <w:tcW w:type="dxa" w:w="2408"/>
            <w:tcMar>
              <w:top w:w="120" w:type="dxa"/>
              <w:start w:w="120" w:type="dxa"/>
              <w:bottom w:w="120" w:type="dxa"/>
              <w:end w:w="120" w:type="dxa"/>
            </w:tcMar>
          </w:tcPr>
          <w:p>
            <w:pPr>
              <w:spacing w:after="40" w:line="276" w:lineRule="auto"/>
            </w:pPr>
            <w:r>
              <w:rPr>
                <w:rFonts w:ascii="Noto Serif CJK SC" w:hAnsi="Noto Serif CJK SC" w:eastAsia="Noto Serif CJK SC"/>
                <w:sz w:val="19"/>
              </w:rPr>
              <w:t>无单调性约束</w:t>
            </w:r>
          </w:p>
        </w:tc>
        <w:tc>
          <w:tcPr>
            <w:tcW w:type="dxa" w:w="2408"/>
            <w:tcMar>
              <w:top w:w="120" w:type="dxa"/>
              <w:start w:w="120" w:type="dxa"/>
              <w:bottom w:w="120" w:type="dxa"/>
              <w:end w:w="120" w:type="dxa"/>
            </w:tcMar>
          </w:tcPr>
          <w:p>
            <w:pPr>
              <w:spacing w:after="40" w:line="276" w:lineRule="auto"/>
            </w:pPr>
            <w:r>
              <w:rPr>
                <w:rFonts w:ascii="Noto Serif CJK SC" w:hAnsi="Noto Serif CJK SC" w:eastAsia="Noto Serif CJK SC"/>
                <w:sz w:val="19"/>
              </w:rPr>
              <w:t>✓</w:t>
            </w:r>
          </w:p>
        </w:tc>
        <w:tc>
          <w:tcPr>
            <w:tcW w:type="dxa" w:w="2408"/>
            <w:tcMar>
              <w:top w:w="120" w:type="dxa"/>
              <w:start w:w="120" w:type="dxa"/>
              <w:bottom w:w="120" w:type="dxa"/>
              <w:end w:w="120" w:type="dxa"/>
            </w:tcMar>
          </w:tcPr>
          <w:p>
            <w:pPr>
              <w:spacing w:after="40" w:line="276" w:lineRule="auto"/>
            </w:pPr>
            <w:r>
              <w:rPr>
                <w:rFonts w:ascii="Noto Serif CJK SC" w:hAnsi="Noto Serif CJK SC" w:eastAsia="Noto Serif CJK SC"/>
                <w:sz w:val="19"/>
              </w:rPr>
              <w:t>✓</w:t>
            </w:r>
          </w:p>
        </w:tc>
        <w:tc>
          <w:tcPr>
            <w:tcW w:type="dxa" w:w="2408"/>
            <w:tcMar>
              <w:top w:w="120" w:type="dxa"/>
              <w:start w:w="120" w:type="dxa"/>
              <w:bottom w:w="120" w:type="dxa"/>
              <w:end w:w="120" w:type="dxa"/>
            </w:tcMar>
          </w:tcPr>
          <w:p>
            <w:pPr>
              <w:spacing w:after="40" w:line="276" w:lineRule="auto"/>
            </w:pPr>
            <w:r>
              <w:rPr>
                <w:rFonts w:ascii="Noto Serif CJK SC" w:hAnsi="Noto Serif CJK SC" w:eastAsia="Noto Serif CJK SC"/>
                <w:sz w:val="19"/>
              </w:rPr>
              <w:t>验证权重响应约束</w:t>
            </w:r>
          </w:p>
        </w:tc>
      </w:tr>
    </w:tbl>
    <w:p>
      <w:pPr>
        <w:pStyle w:val="CaptionCN"/>
      </w:pPr>
      <w:r>
        <w:rPr>
          <w:rFonts w:ascii="Noto Serif CJK SC" w:hAnsi="Noto Serif CJK SC" w:eastAsia="Noto Serif CJK SC"/>
        </w:rPr>
        <w:t>表3  建议的模型消融矩阵</w:t>
      </w:r>
    </w:p>
    <w:p>
      <w:pPr>
        <w:pStyle w:val="Heading2"/>
      </w:pPr>
      <w:r>
        <w:rPr>
          <w:rFonts w:ascii="Noto Serif CJK SC" w:hAnsi="Noto Serif CJK SC" w:eastAsia="Noto Serif CJK SC"/>
        </w:rPr>
        <w:t>8.2 推荐的论文叙事链</w:t>
      </w:r>
    </w:p>
    <w:p>
      <w:pPr>
        <w:spacing w:after="40"/>
        <w:ind w:left="369" w:hanging="255"/>
      </w:pPr>
      <w:r>
        <w:rPr>
          <w:rFonts w:ascii="Noto Serif CJK SC" w:hAnsi="Noto Serif CJK SC" w:eastAsia="Noto Serif CJK SC"/>
        </w:rPr>
        <w:t>1. 现象：多模态生存模型在真实数据中面临模态质量差异、错配与缺失。</w:t>
      </w:r>
    </w:p>
    <w:p>
      <w:pPr>
        <w:spacing w:after="40"/>
        <w:ind w:left="369" w:hanging="255"/>
      </w:pPr>
      <w:r>
        <w:rPr>
          <w:rFonts w:ascii="Noto Serif CJK SC" w:hAnsi="Noto Serif CJK SC" w:eastAsia="Noto Serif CJK SC"/>
        </w:rPr>
        <w:t>2. 发现：现有 holo-confidence 由单模态标量推导，无法显式观测跨模态冲突。</w:t>
      </w:r>
    </w:p>
    <w:p>
      <w:pPr>
        <w:spacing w:after="40"/>
        <w:ind w:left="369" w:hanging="255"/>
      </w:pPr>
      <w:r>
        <w:rPr>
          <w:rFonts w:ascii="Noto Serif CJK SC" w:hAnsi="Noto Serif CJK SC" w:eastAsia="Noto Serif CJK SC"/>
        </w:rPr>
        <w:t>3. 证据：受控扰动显示权重缺乏质量单调性、错配敏感性与可靠性校准。</w:t>
      </w:r>
    </w:p>
    <w:p>
      <w:pPr>
        <w:spacing w:after="40"/>
        <w:ind w:left="369" w:hanging="255"/>
      </w:pPr>
      <w:r>
        <w:rPr>
          <w:rFonts w:ascii="Noto Serif CJK SC" w:hAnsi="Noto Serif CJK SC" w:eastAsia="Noto Serif CJK SC"/>
        </w:rPr>
        <w:t>4. 方法：提出质量感知、冲突感知、缺失鲁棒的动态融合。</w:t>
      </w:r>
    </w:p>
    <w:p>
      <w:pPr>
        <w:spacing w:after="40"/>
        <w:ind w:left="369" w:hanging="255"/>
      </w:pPr>
      <w:r>
        <w:rPr>
          <w:rFonts w:ascii="Noto Serif CJK SC" w:hAnsi="Noto Serif CJK SC" w:eastAsia="Noto Serif CJK SC"/>
        </w:rPr>
        <w:t>5. 结果：在干净数据保持或提升 C-Index，在噪声、错配和缺失条件下显著更稳定。</w:t>
      </w:r>
    </w:p>
    <w:p>
      <w:pPr>
        <w:spacing w:after="40"/>
        <w:ind w:left="369" w:hanging="255"/>
      </w:pPr>
      <w:r>
        <w:rPr>
          <w:rFonts w:ascii="Noto Serif CJK SC" w:hAnsi="Noto Serif CJK SC" w:eastAsia="Noto Serif CJK SC"/>
        </w:rPr>
        <w:t>6. 意义：将“性能导向权重”升级为可解释、可校准、临床鲁棒的多模态融合机制。</w:t>
      </w:r>
    </w:p>
    <w:p>
      <w:pPr>
        <w:pStyle w:val="Heading1"/>
        <w:keepNext/>
      </w:pPr>
      <w:r>
        <w:rPr>
          <w:rFonts w:ascii="Noto Serif CJK SC" w:hAnsi="Noto Serif CJK SC" w:eastAsia="Noto Serif CJK SC"/>
        </w:rPr>
        <w:t>9. 研究推进路线与风险控制</w:t>
      </w:r>
    </w:p>
    <w:p>
      <w:pPr>
        <w:pStyle w:val="Heading2"/>
      </w:pPr>
      <w:r>
        <w:rPr>
          <w:rFonts w:ascii="Noto Serif CJK SC" w:hAnsi="Noto Serif CJK SC" w:eastAsia="Noto Serif CJK SC"/>
        </w:rPr>
        <w:t>9.1 四阶段路线</w:t>
      </w:r>
    </w:p>
    <w:p>
      <w:r>
        <w:rPr>
          <w:rFonts w:ascii="Noto Serif CJK SC" w:hAnsi="Noto Serif CJK SC" w:eastAsia="Noto Serif CJK SC"/>
          <w:b/>
          <w:color w:val="1F4E78"/>
        </w:rPr>
        <w:t>阶段A：复现与日志化</w:t>
      </w:r>
      <w:r>
        <w:rPr>
          <w:rFonts w:ascii="Noto Serif CJK SC" w:hAnsi="Noto Serif CJK SC" w:eastAsia="Noto Serif CJK SC"/>
        </w:rPr>
        <w:t>：复现五个队列的 C-Index；输出每个患者的权重、单模态风险和融合风险。</w:t>
      </w:r>
    </w:p>
    <w:p>
      <w:r>
        <w:rPr>
          <w:rFonts w:ascii="Noto Serif CJK SC" w:hAnsi="Noto Serif CJK SC" w:eastAsia="Noto Serif CJK SC"/>
          <w:b/>
          <w:color w:val="1F4E78"/>
        </w:rPr>
        <w:t>阶段B：问题验证</w:t>
      </w:r>
      <w:r>
        <w:rPr>
          <w:rFonts w:ascii="Noto Serif CJK SC" w:hAnsi="Noto Serif CJK SC" w:eastAsia="Noto Serif CJK SC"/>
        </w:rPr>
        <w:t>：完成噪声、错配、冲突分层和缺失模态实验，判断问题是否稳定存在。</w:t>
      </w:r>
    </w:p>
    <w:p>
      <w:r>
        <w:rPr>
          <w:rFonts w:ascii="Noto Serif CJK SC" w:hAnsi="Noto Serif CJK SC" w:eastAsia="Noto Serif CJK SC"/>
          <w:b/>
          <w:color w:val="1F4E78"/>
        </w:rPr>
        <w:t>阶段C：最小改进</w:t>
      </w:r>
      <w:r>
        <w:rPr>
          <w:rFonts w:ascii="Noto Serif CJK SC" w:hAnsi="Noto Serif CJK SC" w:eastAsia="Noto Serif CJK SC"/>
        </w:rPr>
        <w:t>：先实现质量感知权重和错配判别器，验证是否解决关键现象。</w:t>
      </w:r>
    </w:p>
    <w:p>
      <w:r>
        <w:rPr>
          <w:rFonts w:ascii="Noto Serif CJK SC" w:hAnsi="Noto Serif CJK SC" w:eastAsia="Noto Serif CJK SC"/>
          <w:b/>
          <w:color w:val="1F4E78"/>
        </w:rPr>
        <w:t>阶段D：完整方法与消融</w:t>
      </w:r>
      <w:r>
        <w:rPr>
          <w:rFonts w:ascii="Noto Serif CJK SC" w:hAnsi="Noto Serif CJK SC" w:eastAsia="Noto Serif CJK SC"/>
        </w:rPr>
        <w:t>：加入冲突感知、单调性约束和模态丢弃训练，完成五队列实验。</w:t>
      </w:r>
    </w:p>
    <w:p>
      <w:pPr>
        <w:pStyle w:val="Heading2"/>
      </w:pPr>
      <w:r>
        <w:rPr>
          <w:rFonts w:ascii="Noto Serif CJK SC" w:hAnsi="Noto Serif CJK SC" w:eastAsia="Noto Serif CJK SC"/>
        </w:rPr>
        <w:t>9.2 可能风险</w:t>
      </w:r>
    </w:p>
    <w:p>
      <w:pPr>
        <w:pStyle w:val="ListBullet"/>
        <w:spacing w:after="40"/>
      </w:pPr>
      <w:r>
        <w:rPr>
          <w:rFonts w:ascii="Noto Serif CJK SC" w:hAnsi="Noto Serif CJK SC" w:eastAsia="Noto Serif CJK SC"/>
        </w:rPr>
        <w:t>原方法可能本来就把 holo-confidence 设计为“弱模态补偿”，而非严格可靠性估计。应把批评聚焦于语义不清和冲突感知不足，而不是简单判定公式错误。</w:t>
      </w:r>
    </w:p>
    <w:p>
      <w:pPr>
        <w:pStyle w:val="ListBullet"/>
        <w:spacing w:after="40"/>
      </w:pPr>
      <w:r>
        <w:rPr>
          <w:rFonts w:ascii="Noto Serif CJK SC" w:hAnsi="Noto Serif CJK SC" w:eastAsia="Noto Serif CJK SC"/>
        </w:rPr>
        <w:t>生存标签存在删失，单模态“真实可靠性”不能只用分类正确率，应使用适配生存任务的损失、不确定性或可比较患者对。</w:t>
      </w:r>
    </w:p>
    <w:p>
      <w:pPr>
        <w:pStyle w:val="ListBullet"/>
        <w:spacing w:after="40"/>
      </w:pPr>
      <w:r>
        <w:rPr>
          <w:rFonts w:ascii="Noto Serif CJK SC" w:hAnsi="Noto Serif CJK SC" w:eastAsia="Noto Serif CJK SC"/>
        </w:rPr>
        <w:t>患者错配实验必须控制癌种、临床分期和风险分布，否则模型识别到的可能只是数据分布差异。</w:t>
      </w:r>
    </w:p>
    <w:p>
      <w:pPr>
        <w:pStyle w:val="ListBullet"/>
        <w:spacing w:after="40"/>
      </w:pPr>
      <w:r>
        <w:rPr>
          <w:rFonts w:ascii="Noto Serif CJK SC" w:hAnsi="Noto Serif CJK SC" w:eastAsia="Noto Serif CJK SC"/>
        </w:rPr>
        <w:t>医学数据样本量较小，所有改进都应报告多个随机种子、置信区间和统计检验。</w:t>
      </w:r>
    </w:p>
    <w:tbl>
      <w:tblPr>
        <w:tblW w:type="auto" w:w="0"/>
        <w:jc w:val="center"/>
        <w:tblLayout w:type="autofit"/>
        <w:tblLook w:firstColumn="1" w:firstRow="1" w:lastColumn="0" w:lastRow="0" w:noHBand="0" w:noVBand="1" w:val="04A0"/>
      </w:tblPr>
      <w:tblGrid>
        <w:gridCol w:w="9632"/>
      </w:tblGrid>
      <w:tr>
        <w:trPr>
          <w:cantSplit/>
        </w:trPr>
        <w:tc>
          <w:tcPr>
            <w:tcW w:type="dxa" w:w="9632"/>
            <w:shd w:fill="EAF7EE"/>
            <w:tcMar>
              <w:top w:w="140" w:type="dxa"/>
              <w:start w:w="180" w:type="dxa"/>
              <w:bottom w:w="140" w:type="dxa"/>
              <w:end w:w="180" w:type="dxa"/>
            </w:tcMar>
          </w:tcPr>
          <w:p>
            <w:pPr>
              <w:spacing w:after="40" w:line="276" w:lineRule="auto"/>
            </w:pPr>
            <w:r>
              <w:rPr>
                <w:rFonts w:ascii="Noto Serif CJK SC" w:hAnsi="Noto Serif CJK SC" w:eastAsia="Noto Serif CJK SC"/>
                <w:b/>
                <w:color w:val="236A3B"/>
                <w:sz w:val="19"/>
              </w:rPr>
              <w:t>建议先做的最小实验</w:t>
            </w:r>
          </w:p>
          <w:p>
            <w:pPr>
              <w:spacing w:after="40" w:line="276" w:lineRule="auto"/>
            </w:pPr>
            <w:r>
              <w:rPr>
                <w:rFonts w:ascii="Noto Serif CJK SC" w:hAnsi="Noto Serif CJK SC" w:eastAsia="Noto Serif CJK SC"/>
                <w:sz w:val="19"/>
              </w:rPr>
              <w:t>先在一个队列（例如 BRCA）完成：基因屏蔽强度曲线、病理 patch 删除曲线、正确/错误配对对比，以及权重与单模态损失的 Spearman 相关。四个实验成本不高，却足以判断该方向是否值得继续。</w:t>
            </w:r>
          </w:p>
        </w:tc>
      </w:tr>
    </w:tbl>
    <w:p>
      <w:pPr>
        <w:spacing w:after="0"/>
      </w:pPr>
    </w:p>
    <w:p>
      <w:pPr>
        <w:pStyle w:val="Heading1"/>
        <w:keepNext/>
      </w:pPr>
      <w:r>
        <w:rPr>
          <w:rFonts w:ascii="Noto Serif CJK SC" w:hAnsi="Noto Serif CJK SC" w:eastAsia="Noto Serif CJK SC"/>
        </w:rPr>
        <w:t>附录：备选问题——固定超边阈值的尺度不一致性</w:t>
      </w:r>
    </w:p>
    <w:p>
      <w:r>
        <w:rPr>
          <w:rFonts w:ascii="Noto Serif CJK SC" w:hAnsi="Noto Serif CJK SC" w:eastAsia="Noto Serif CJK SC"/>
        </w:rPr>
        <w:t>若动态重平衡问题未能获得稳定证据，可以转向原论文明确承认的第二个问题：不同 WSI 的 patch 数量差异很大，但使用相同超边构造阈值 k，会对应不同的实际邻域覆盖范围，从而造成图结构尺度不一致。</w:t>
      </w:r>
    </w:p>
    <w:p>
      <w:pPr>
        <w:spacing w:before="40" w:after="100"/>
        <w:ind w:left="340" w:right="340"/>
      </w:pPr>
      <w:r>
        <w:rPr>
          <w:rFonts w:ascii="Noto Serif CJK SC" w:hAnsi="Noto Serif CJK SC" w:eastAsia="Noto Serif CJK SC"/>
          <w:b/>
          <w:color w:val="5F6368"/>
        </w:rPr>
        <w:t>来源依据：</w:t>
      </w:r>
      <w:r>
        <w:rPr>
          <w:rFonts w:ascii="Noto Serif CJK SC" w:hAnsi="Noto Serif CJK SC" w:eastAsia="Noto Serif CJK SC"/>
          <w:i/>
          <w:color w:val="5F6368"/>
          <w:sz w:val="18"/>
        </w:rPr>
        <w:t>原论文第7页 Limitations：相同 k 在不同 patch 数量的 WSI 上产生不同作用范围。</w:t>
      </w:r>
    </w:p>
    <w:p>
      <w:pPr>
        <w:pStyle w:val="Heading2"/>
      </w:pPr>
      <w:r>
        <w:rPr>
          <w:rFonts w:ascii="Noto Serif CJK SC" w:hAnsi="Noto Serif CJK SC" w:eastAsia="Noto Serif CJK SC"/>
        </w:rPr>
        <w:t>可证明方式</w:t>
      </w:r>
    </w:p>
    <w:p>
      <w:pPr>
        <w:spacing w:after="40"/>
        <w:ind w:left="369" w:hanging="255"/>
      </w:pPr>
      <w:r>
        <w:rPr>
          <w:rFonts w:ascii="Noto Serif CJK SC" w:hAnsi="Noto Serif CJK SC" w:eastAsia="Noto Serif CJK SC"/>
        </w:rPr>
        <w:t>1. 对同一 WSI 进行不同比例的 patch 下采样，但保持组织区域不变。</w:t>
      </w:r>
    </w:p>
    <w:p>
      <w:pPr>
        <w:spacing w:after="40"/>
        <w:ind w:left="369" w:hanging="255"/>
      </w:pPr>
      <w:r>
        <w:rPr>
          <w:rFonts w:ascii="Noto Serif CJK SC" w:hAnsi="Noto Serif CJK SC" w:eastAsia="Noto Serif CJK SC"/>
        </w:rPr>
        <w:t>2. 使用固定 k 构图，统计平均超边大小、节点度、图连通度和 sheaf 表示变化。</w:t>
      </w:r>
    </w:p>
    <w:p>
      <w:pPr>
        <w:spacing w:after="40"/>
        <w:ind w:left="369" w:hanging="255"/>
      </w:pPr>
      <w:r>
        <w:rPr>
          <w:rFonts w:ascii="Noto Serif CJK SC" w:hAnsi="Noto Serif CJK SC" w:eastAsia="Noto Serif CJK SC"/>
        </w:rPr>
        <w:t>3. 比较同一患者在不同采样密度下的风险预测一致性。</w:t>
      </w:r>
    </w:p>
    <w:p>
      <w:pPr>
        <w:spacing w:after="40"/>
        <w:ind w:left="369" w:hanging="255"/>
      </w:pPr>
      <w:r>
        <w:rPr>
          <w:rFonts w:ascii="Noto Serif CJK SC" w:hAnsi="Noto Serif CJK SC" w:eastAsia="Noto Serif CJK SC"/>
        </w:rPr>
        <w:t>4. 若固定 k 导致结构统计和预测明显变化，则证明其缺乏尺度不变性。</w:t>
      </w:r>
    </w:p>
    <w:p>
      <w:pPr>
        <w:spacing w:after="40"/>
        <w:ind w:left="369" w:hanging="255"/>
      </w:pPr>
      <w:r>
        <w:rPr>
          <w:rFonts w:ascii="Noto Serif CJK SC" w:hAnsi="Noto Serif CJK SC" w:eastAsia="Noto Serif CJK SC"/>
        </w:rPr>
        <w:t>5. 进一步提出基于百分位、物理空间半径或自适应局部密度的超边构造。</w:t>
      </w:r>
    </w:p>
    <w:p>
      <w:pPr>
        <w:pStyle w:val="Heading1"/>
      </w:pPr>
      <w:r>
        <w:rPr>
          <w:rFonts w:ascii="Noto Serif CJK SC" w:hAnsi="Noto Serif CJK SC" w:eastAsia="Noto Serif CJK SC"/>
        </w:rPr>
        <w:t>结论</w:t>
      </w:r>
    </w:p>
    <w:p>
      <w:r>
        <w:rPr>
          <w:rFonts w:ascii="Noto Serif CJK SC" w:hAnsi="Noto Serif CJK SC" w:eastAsia="Noto Serif CJK SC"/>
          <w:b/>
        </w:rPr>
        <w:t>最推荐的研究方向是：</w:t>
      </w:r>
      <w:r>
        <w:rPr>
          <w:rFonts w:ascii="Noto Serif CJK SC" w:hAnsi="Noto Serif CJK SC" w:eastAsia="Noto Serif CJK SC"/>
        </w:rPr>
        <w:t>揭示 MRePath 动态模态重平衡机制在质量感知、错配感知和冲突感知方面的潜在不足。这个问题既有公式层面的可分析性，又能通过受控实验形成明确证据，并能自然导出一个质量可校准、冲突可解释、缺失模态鲁棒的新方法。研究时应严格区分“原论文事实”和“本文假设”，先复现，再证明问题，最后提出改进。</w:t>
      </w:r>
    </w:p>
    <w:p>
      <w:pPr>
        <w:pStyle w:val="Heading1"/>
      </w:pPr>
      <w:r>
        <w:rPr>
          <w:rFonts w:ascii="Noto Serif CJK SC" w:hAnsi="Noto Serif CJK SC" w:eastAsia="Noto Serif CJK SC"/>
        </w:rPr>
        <w:t>主要参考依据</w:t>
      </w:r>
    </w:p>
    <w:p>
      <w:r>
        <w:rPr>
          <w:rFonts w:ascii="Noto Serif CJK SC" w:hAnsi="Noto Serif CJK SC" w:eastAsia="Noto Serif CJK SC"/>
          <w:b/>
        </w:rPr>
        <w:t xml:space="preserve">[1] </w:t>
      </w:r>
      <w:r>
        <w:rPr>
          <w:rFonts w:ascii="Noto Serif CJK SC" w:hAnsi="Noto Serif CJK SC" w:eastAsia="Noto Serif CJK SC"/>
        </w:rPr>
        <w:t>Mingcheng Qu, Guang Yang, Donglin Di, et al. “Multimodal Cancer Survival Analysis via Hypergraph Learning with Cross-Modality Rebalance.” arXiv:2505.11997v2, 2025.</w:t>
      </w:r>
    </w:p>
    <w:p>
      <w:r>
        <w:rPr>
          <w:rFonts w:ascii="Noto Serif CJK SC" w:hAnsi="Noto Serif CJK SC" w:eastAsia="Noto Serif CJK SC"/>
          <w:b/>
        </w:rPr>
        <w:t>说明：</w:t>
      </w:r>
      <w:r>
        <w:rPr>
          <w:rFonts w:ascii="Noto Serif CJK SC" w:hAnsi="Noto Serif CJK SC" w:eastAsia="Noto Serif CJK SC"/>
        </w:rPr>
        <w:t>本文中关于 MRePath 模块、公式、实验设置和局限性的描述来自上述论文；关于公式语义、潜在问题、验证实验和改进框架的内容属于研究分析与待验证假设。</w:t>
      </w:r>
    </w:p>
    <w:sectPr w:rsidR="00FC693F" w:rsidRPr="0006063C" w:rsidSect="00034616">
      <w:headerReference w:type="default" r:id="rId9"/>
      <w:footerReference w:type="default" r:id="rId10"/>
      <w:pgSz w:w="12240" w:h="15840"/>
      <w:pgMar w:top="1247" w:right="1304" w:bottom="1134" w:left="130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olor w:val="787878"/>
        <w:sz w:val="17"/>
      </w:rPr>
      <w:t>MRePath 改进研究方案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00"/>
    </w:pPr>
    <w:rPr>
      <w:rFonts w:ascii="Noto Serif CJK SC" w:hAnsi="Noto Serif CJK SC"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CJK SC" w:hAnsi="Noto Sans CJK SC" w:eastAsia="Noto Sans CJK SC"/>
      <w:b/>
      <w:bCs/>
      <w:color w:val="123B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CJK SC" w:hAnsi="Noto Sans CJK SC" w:eastAsia="Noto Sans CJK SC"/>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CJK SC" w:hAnsi="Noto Sans CJK SC" w:eastAsia="Noto Sans CJK SC"/>
      <w:b/>
      <w:bCs/>
      <w:color w:val="2C5F7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olor w:val="123B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SC" w:hAnsi="Noto Sans CJK SC" w:eastAsia="Noto Sans CJK SC"/>
      <w:i/>
      <w:iCs/>
      <w:color w:val="4A556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N">
    <w:name w:val="Caption CN"/>
    <w:pPr>
      <w:spacing w:after="120"/>
      <w:jc w:val="center"/>
    </w:pPr>
    <w:rPr>
      <w:rFonts w:ascii="Noto Sans CJK SC" w:hAnsi="Noto Sans CJK SC" w:eastAsia="Noto Sans CJK SC"/>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MRePath 论文潜在问题发现与验证方案</dc:title>
  <dc:subject>多模态癌症生存分析、模态重平衡、问题验证与改进研究</dc:subject>
  <dc:creator>OpenAI</dc:creator>
  <cp:keywords>MRePath, multimodal, survival analysis, modality rebalance, robustness</cp:keywords>
  <dc:description>generated by python-docx</dc:description>
  <cp:lastModifiedBy/>
  <cp:revision>1</cp:revision>
  <dcterms:created xsi:type="dcterms:W3CDTF">2013-12-23T23:15:00Z</dcterms:created>
  <dcterms:modified xsi:type="dcterms:W3CDTF">2013-12-23T23:15:00Z</dcterms:modified>
  <cp:category/>
</cp:coreProperties>
</file>