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jc w:val="center"/>
      </w:pPr>
      <w:r>
        <w:rPr>
          <w:rFonts w:ascii="Arial" w:cs="Arial" w:eastAsia="Arial" w:hAnsi="Arial"/>
          <w:b/>
          <w:bCs/>
          <w:color w:val="1F4E79"/>
          <w:sz w:val="72"/>
          <w:szCs w:val="72"/>
        </w:rPr>
        <w:t xml:space="preserve">Beacon</w:t>
      </w:r>
    </w:p>
    <w:p>
      <w:pPr>
        <w:spacing w:after="400" w:before="160"/>
        <w:jc w:val="center"/>
      </w:pPr>
      <w:r>
        <w:rPr>
          <w:rFonts w:ascii="Arial" w:cs="Arial" w:eastAsia="Arial" w:hAnsi="Arial"/>
          <w:color w:val="2E75B6"/>
          <w:sz w:val="32"/>
          <w:szCs w:val="32"/>
        </w:rPr>
        <w:t xml:space="preserve">Online Check &amp; Payment Request System</w:t>
      </w:r>
    </w:p>
    <w:p>
      <w:pPr>
        <w:spacing w:after="80"/>
        <w:jc w:val="center"/>
      </w:pPr>
      <w:r>
        <w:rPr>
          <w:rFonts w:ascii="Arial" w:cs="Arial" w:eastAsia="Arial" w:hAnsi="Arial"/>
          <w:i/>
          <w:iCs/>
          <w:color w:val="666666"/>
          <w:sz w:val="24"/>
          <w:szCs w:val="24"/>
        </w:rPr>
        <w:t xml:space="preserve">A Plain-Language Overview</w:t>
      </w:r>
    </w:p>
    <w:p>
      <w:pPr>
        <w:spacing w:after="600"/>
      </w:pPr>
    </w:p>
    <w:p>
      <w:pPr>
        <w:spacing w:after="60"/>
        <w:jc w:val="center"/>
      </w:pPr>
      <w:r>
        <w:rPr>
          <w:rFonts w:ascii="Arial" w:cs="Arial" w:eastAsia="Arial" w:hAnsi="Arial"/>
          <w:color w:val="666666"/>
          <w:sz w:val="22"/>
          <w:szCs w:val="22"/>
        </w:rPr>
        <w:t xml:space="preserve">Project 26-129  |  Cornerstone Franciscan Ministries</w:t>
      </w:r>
    </w:p>
    <w:p>
      <w:pPr>
        <w:spacing w:after="60"/>
        <w:jc w:val="center"/>
      </w:pPr>
      <w:r>
        <w:rPr>
          <w:rFonts w:ascii="Arial" w:cs="Arial" w:eastAsia="Arial" w:hAnsi="Arial"/>
          <w:color w:val="666666"/>
          <w:sz w:val="22"/>
          <w:szCs w:val="22"/>
        </w:rPr>
        <w:t xml:space="preserve">A Guide for Diocesan Staff</w:t>
      </w:r>
    </w:p>
    <w:p>
      <w:pPr>
        <w:spacing w:after="60"/>
        <w:jc w:val="center"/>
      </w:pPr>
      <w:r>
        <w:rPr>
          <w:rFonts w:ascii="Arial" w:cs="Arial" w:eastAsia="Arial" w:hAnsi="Arial"/>
          <w:color w:val="666666"/>
          <w:sz w:val="22"/>
          <w:szCs w:val="22"/>
        </w:rPr>
        <w:t xml:space="preserve">August 2026</w:t>
      </w:r>
    </w:p>
    <w:p>
      <w:pPr>
        <w:pageBreakBefore/>
      </w:pPr>
      <w:r>
        <w:br/>
        <w:t xml:space="preserve"/>
      </w:r>
    </w:p>
    <w:p>
      <w:pPr>
        <w:pStyle w:val="Heading1"/>
        <w:spacing w:after="160" w:before="360"/>
      </w:pPr>
      <w:r>
        <w:rPr>
          <w:rFonts w:ascii="Arial" w:cs="Arial" w:eastAsia="Arial" w:hAnsi="Arial"/>
          <w:b/>
          <w:bCs/>
          <w:color w:val="1F4E79"/>
          <w:sz w:val="28"/>
          <w:szCs w:val="28"/>
        </w:rPr>
        <w:t xml:space="preserve">1.  What Is Beacon?</w:t>
      </w:r>
    </w:p>
    <w:p>
      <w:pPr>
        <w:spacing w:after="160" w:line="276"/>
      </w:pPr>
      <w:r>
        <w:rPr>
          <w:rFonts w:ascii="Arial" w:cs="Arial" w:eastAsia="Arial" w:hAnsi="Arial"/>
          <w:sz w:val="22"/>
          <w:szCs w:val="22"/>
        </w:rPr>
        <w:t xml:space="preserve">Beacon is a web application that lets diocesan staff submit, route, and pay check and payment requests entirely online — no paper forms, no routing an envelope from desk to desk, no separate spreadsheet to track where a request stands. It replaces the old manual check-request process with a single system that walks a request from the moment someone submits it all the way through to the bill being created in QuickBooks Online (QBO).</w:t>
      </w:r>
    </w:p>
    <w:p>
      <w:pPr>
        <w:spacing w:after="160" w:line="276"/>
      </w:pPr>
      <w:r>
        <w:rPr>
          <w:rFonts w:ascii="Arial" w:cs="Arial" w:eastAsia="Arial" w:hAnsi="Arial"/>
          <w:sz w:val="22"/>
          <w:szCs w:val="22"/>
        </w:rPr>
        <w:t>You may also hear this project referred to internally by its project number, 26-129, or its working name, “Check Request.” Beacon is the name staff see on the site itself. A small version number such as v2.0270 appears at the bottom left of every screen; quote it when you report a problem.</w:t>
      </w:r>
    </w:p>
    <w:tbl>
      <w:tblPr>
        <w:tblW w:type="pct" w:w="100%"/>
        <w:tblBorders>
          <w:top w:val="single" w:color="F0A500" w:sz="12"/>
          <w:left w:val="single" w:color="F0A500" w:sz="12"/>
          <w:bottom w:val="single" w:color="F0A500" w:sz="12"/>
          <w:right w:val="single" w:color="F0A500" w:sz="12"/>
          <w:insideH w:val="none" w:color="FFFFFF" w:sz="0"/>
          <w:insideV w:val="none" w:color="FFFFFF" w:sz="0"/>
        </w:tblBorders>
      </w:tblPr>
      <w:tblGrid>
        <w:gridCol w:w="100"/>
      </w:tblGrid>
      <w:tr>
        <w:tc>
          <w:tcPr>
            <w:shd w:fill="FFF2CC" w:color="auto" w:val="clear"/>
            <w:tcMar>
              <w:top w:type="dxa" w:w="160"/>
              <w:left w:type="dxa" w:w="200"/>
              <w:bottom w:type="dxa" w:w="160"/>
              <w:right w:type="dxa" w:w="200"/>
            </w:tcMar>
          </w:tcPr>
          <w:p>
            <w:pPr>
              <w:spacing w:after="60"/>
            </w:pPr>
            <w:r>
              <w:rPr>
                <w:rFonts w:ascii="Arial" w:cs="Arial" w:eastAsia="Arial" w:hAnsi="Arial"/>
                <w:b/>
                <w:bCs/>
                <w:color w:val="1F4E79"/>
                <w:sz w:val="22"/>
                <w:szCs w:val="22"/>
              </w:rPr>
              <w:t xml:space="preserve">A Note on Where Things Stand</w:t>
            </w:r>
          </w:p>
          <w:p>
            <w:r>
              <w:rPr>
                <w:rFonts w:ascii="Arial" w:cs="Arial" w:eastAsia="Arial" w:hAnsi="Arial"/>
                <w:sz w:val="22"/>
                <w:szCs w:val="22"/>
              </w:rPr>
              <w:t xml:space="preserve">Beacon is actively being built and refined. New features are added and adjusted frequently based on real staff feedback, and the system currently runs in a development environment while it matures toward a full production release. This overview describes what Beacon does today; it will be updated as the system evolves.</w:t>
            </w:r>
          </w:p>
        </w:tc>
      </w:tr>
    </w:tbl>
    <w:p>
      <w:pPr>
        <w:spacing w:after="200"/>
      </w:pPr>
    </w:p>
    <w:p>
      <w:pPr>
        <w:pStyle w:val="Heading1"/>
        <w:spacing w:after="160" w:before="360"/>
      </w:pPr>
      <w:r>
        <w:rPr>
          <w:rFonts w:ascii="Arial" w:cs="Arial" w:eastAsia="Arial" w:hAnsi="Arial"/>
          <w:b/>
          <w:bCs/>
          <w:color w:val="1F4E79"/>
          <w:sz w:val="28"/>
          <w:szCs w:val="28"/>
        </w:rPr>
        <w:t xml:space="preserve">2.  Who Uses Beacon, and How</w:t>
      </w:r>
    </w:p>
    <w:p>
      <w:pPr>
        <w:spacing w:after="160" w:line="276"/>
      </w:pPr>
      <w:r>
        <w:rPr>
          <w:rFonts w:ascii="Arial" w:cs="Arial" w:eastAsia="Arial" w:hAnsi="Arial"/>
          <w:sz w:val="22"/>
          <w:szCs w:val="22"/>
        </w:rPr>
        <w:t xml:space="preserve">Beacon is built around a handful of everyday roles. Most staff will only ever occupy one or two of these:</w:t>
      </w:r>
    </w:p>
    <w:p>
      <w:pPr>
        <w:pStyle w:val="ListParagraph"/>
        <w:numPr>
          <w:ilvl w:val="0"/>
          <w:numId w:val="1"/>
        </w:numPr>
        <w:spacing w:after="100" w:line="276"/>
      </w:pPr>
      <w:r>
        <w:rPr>
          <w:rFonts w:ascii="Arial" w:cs="Arial" w:eastAsia="Arial" w:hAnsi="Arial"/>
          <w:sz w:val="22"/>
          <w:szCs w:val="22"/>
        </w:rPr>
        <w:t xml:space="preserve">Requesters — anyone who needs a check or payment issued submits a request through Beacon. This is the starting point for every request.</w:t>
      </w:r>
    </w:p>
    <w:p>
      <w:pPr>
        <w:pStyle w:val="ListParagraph"/>
        <w:numPr>
          <w:ilvl w:val="0"/>
          <w:numId w:val="1"/>
        </w:numPr>
        <w:spacing w:after="100" w:line="276"/>
      </w:pPr>
      <w:r>
        <w:rPr>
          <w:rFonts w:ascii="Arial" w:cs="Arial" w:eastAsia="Arial" w:hAnsi="Arial"/>
          <w:sz w:val="22"/>
          <w:szCs w:val="22"/>
        </w:rPr>
        <w:t xml:space="preserve">Approvers — staff assigned to a Program Area (or designated as a Global Approver for larger amounts) review and approve or reject requests that fall in their area.</w:t>
      </w:r>
    </w:p>
    <w:p>
      <w:pPr>
        <w:pStyle w:val="ListParagraph"/>
        <w:numPr>
          <w:ilvl w:val="0"/>
          <w:numId w:val="1"/>
        </w:numPr>
        <w:spacing w:after="100" w:line="276"/>
      </w:pPr>
      <w:r>
        <w:rPr>
          <w:rFonts w:ascii="Arial" w:cs="Arial" w:eastAsia="Arial" w:hAnsi="Arial"/>
          <w:sz w:val="22"/>
          <w:szCs w:val="22"/>
        </w:rPr>
        <w:t xml:space="preserve">Vendor Approvers — review and approve requests to add a brand-new vendor before that vendor can be paid.</w:t>
      </w:r>
    </w:p>
    <w:p>
      <w:pPr>
        <w:pStyle w:val="ListParagraph"/>
        <w:numPr>
          <w:ilvl w:val="0"/>
          <w:numId w:val="1"/>
        </w:numPr>
        <w:spacing w:after="100" w:line="276"/>
      </w:pPr>
      <w:r>
        <w:rPr>
          <w:rFonts w:ascii="Arial" w:cs="Arial" w:eastAsia="Arial" w:hAnsi="Arial"/>
          <w:sz w:val="22"/>
          <w:szCs w:val="22"/>
        </w:rPr>
        <w:t xml:space="preserve">AP Reviewers — give the final look at a fully-approved request and are the ones who actually post it to QuickBooks.</w:t>
      </w:r>
    </w:p>
    <w:p>
      <w:pPr>
        <w:pStyle w:val="ListParagraph"/>
        <w:numPr>
          <w:ilvl w:val="0"/>
          <w:numId w:val="1"/>
        </w:numPr>
        <w:spacing w:after="100" w:line="276"/>
      </w:pPr>
      <w:r>
        <w:rPr>
          <w:rFonts w:ascii="Arial" w:cs="Arial" w:eastAsia="Arial" w:hAnsi="Arial"/>
          <w:sz w:val="22"/>
          <w:szCs w:val="22"/>
        </w:rPr>
        <w:t>HR Admins — manage the payroll side of Timekeeping for a diocese: open and close pay periods, review hours, and keep the employee list. See Section 10.</w:t>
      </w:r>
    </w:p>
    <w:p>
      <w:pPr>
        <w:pStyle w:val="ListParagraph"/>
        <w:numPr>
          <w:ilvl w:val="0"/>
          <w:numId w:val="1"/>
        </w:numPr>
        <w:spacing w:after="100" w:line="276"/>
      </w:pPr>
      <w:r>
        <w:rPr>
          <w:rFonts w:ascii="Arial" w:cs="Arial" w:eastAsia="Arial" w:hAnsi="Arial"/>
          <w:sz w:val="22"/>
          <w:szCs w:val="22"/>
        </w:rPr>
        <w:t xml:space="preserve">The CFO — has visibility into every request across both organizations, can impersonate another user for troubleshooting, and administers a few organization-wide settings.</w:t>
      </w:r>
    </w:p>
    <w:p>
      <w:pPr>
        <w:spacing w:after="160" w:line="276"/>
      </w:pPr>
      <w:r>
        <w:rPr>
          <w:rFonts w:ascii="Arial" w:cs="Arial" w:eastAsia="Arial" w:hAnsi="Arial"/>
          <w:sz w:val="22"/>
          <w:szCs w:val="22"/>
        </w:rPr>
        <w:t xml:space="preserve">Everyone signs in with their existing Cornerstone (cfmins.org) Microsoft 365 account — there is no separate Beacon password to remember. After signing in, a user picks which organization they are working in using a switcher in the page header, and can change it at any time.</w:t>
      </w:r>
    </w:p>
    <w:p>
      <w:pPr>
        <w:spacing w:after="160" w:line="276"/>
      </w:pPr>
      <w:r>
        <w:rPr>
          <w:rFonts w:ascii="Arial" w:cs="Arial" w:eastAsia="Arial" w:hAnsi="Arial"/>
          <w:sz w:val="22"/>
          <w:szCs w:val="22"/>
        </w:rPr>
        <w:t>To ask for more access, click your name in the upper right corner of any screen and choose Request Access.</w:t>
      </w:r>
    </w:p>
    <w:p>
      <w:pPr>
        <w:spacing w:after="200"/>
      </w:pPr>
    </w:p>
    <w:p>
      <w:pPr>
        <w:pStyle w:val="Heading1"/>
        <w:spacing w:after="160" w:before="360"/>
      </w:pPr>
      <w:r>
        <w:rPr>
          <w:rFonts w:ascii="Arial" w:cs="Arial" w:eastAsia="Arial" w:hAnsi="Arial"/>
          <w:b/>
          <w:bCs/>
          <w:color w:val="1F4E79"/>
          <w:sz w:val="28"/>
          <w:szCs w:val="28"/>
        </w:rPr>
        <w:t xml:space="preserve">3.  The Life of a Request, Start to Finish</w:t>
      </w:r>
    </w:p>
    <w:p>
      <w:pPr>
        <w:spacing w:after="160" w:line="276"/>
      </w:pPr>
      <w:r>
        <w:rPr>
          <w:rFonts w:ascii="Arial" w:cs="Arial" w:eastAsia="Arial" w:hAnsi="Arial"/>
          <w:sz w:val="22"/>
          <w:szCs w:val="22"/>
        </w:rPr>
        <w:t xml:space="preserve">Every request in Beacon follows the same overall path, whether it is a routine utility bill or a one-time vendor payment. The table below is the short version; the sections that follow go into more detail on each stage.</w:t>
      </w:r>
    </w:p>
    <w:p>
      <w:pPr>
        <w:spacing w:after="120"/>
      </w:pP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pct" w:w="22%"/>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Stage</w:t>
            </w:r>
          </w:p>
        </w:tc>
        <w:tc>
          <w:tcPr>
            <w:tcW w:type="pct" w:w="22%"/>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Who's Involved</w:t>
            </w:r>
          </w:p>
        </w:tc>
        <w:tc>
          <w:tcPr>
            <w:tcW w:type="pct" w:w="56%"/>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What Happens</w:t>
            </w:r>
          </w:p>
        </w:tc>
      </w:tr>
      <w:tr>
        <w:tc>
          <w:tcPr>
            <w:tcW w:type="pct" w:w="22%"/>
            <w:tcMar>
              <w:top w:type="dxa" w:w="90"/>
              <w:left w:type="dxa" w:w="120"/>
              <w:bottom w:type="dxa" w:w="90"/>
              <w:right w:type="dxa" w:w="120"/>
            </w:tcMar>
          </w:tcPr>
          <w:p>
            <w:r>
              <w:rPr>
                <w:rFonts w:ascii="Arial" w:cs="Arial" w:eastAsia="Arial" w:hAnsi="Arial"/>
                <w:b/>
                <w:bCs/>
                <w:sz w:val="20"/>
                <w:szCs w:val="20"/>
              </w:rPr>
              <w:t xml:space="preserve">1. Submit</w:t>
            </w:r>
          </w:p>
        </w:tc>
        <w:tc>
          <w:tcPr>
            <w:tcW w:type="pct" w:w="22%"/>
            <w:tcMar>
              <w:top w:type="dxa" w:w="90"/>
              <w:left w:type="dxa" w:w="120"/>
              <w:bottom w:type="dxa" w:w="90"/>
              <w:right w:type="dxa" w:w="120"/>
            </w:tcMar>
          </w:tcPr>
          <w:p>
            <w:r>
              <w:rPr>
                <w:rFonts w:ascii="Arial" w:cs="Arial" w:eastAsia="Arial" w:hAnsi="Arial"/>
                <w:b w:val="false"/>
                <w:bCs w:val="false"/>
                <w:sz w:val="20"/>
                <w:szCs w:val="20"/>
              </w:rPr>
              <w:t xml:space="preserve">Requester</w:t>
            </w:r>
          </w:p>
        </w:tc>
        <w:tc>
          <w:tcPr>
            <w:tcW w:type="pct" w:w="56%"/>
            <w:tcMar>
              <w:top w:type="dxa" w:w="90"/>
              <w:left w:type="dxa" w:w="120"/>
              <w:bottom w:type="dxa" w:w="90"/>
              <w:right w:type="dxa" w:w="120"/>
            </w:tcMar>
          </w:tcPr>
          <w:p>
            <w:r>
              <w:rPr>
                <w:rFonts w:ascii="Arial" w:cs="Arial" w:eastAsia="Arial" w:hAnsi="Arial"/>
                <w:b w:val="false"/>
                <w:bCs w:val="false"/>
                <w:sz w:val="20"/>
                <w:szCs w:val="20"/>
              </w:rPr>
              <w:t xml:space="preserve">Fill out the request — vendor, amount, needed-by date, and a description — either by hand or by uploading an invoice/document that Beacon reads and pre-fills for you.</w:t>
            </w:r>
          </w:p>
        </w:tc>
      </w:tr>
      <w:tr>
        <w:tc>
          <w:tcPr>
            <w:tcW w:type="pct" w:w="22%"/>
            <w:shd w:fill="F2F2F2" w:color="auto" w:val="clear"/>
            <w:tcMar>
              <w:top w:type="dxa" w:w="90"/>
              <w:left w:type="dxa" w:w="120"/>
              <w:bottom w:type="dxa" w:w="90"/>
              <w:right w:type="dxa" w:w="120"/>
            </w:tcMar>
          </w:tcPr>
          <w:p>
            <w:r>
              <w:rPr>
                <w:rFonts w:ascii="Arial" w:cs="Arial" w:eastAsia="Arial" w:hAnsi="Arial"/>
                <w:b/>
                <w:bCs/>
                <w:sz w:val="20"/>
                <w:szCs w:val="20"/>
              </w:rPr>
              <w:t xml:space="preserve">2. Code to the Ledger</w:t>
            </w:r>
          </w:p>
        </w:tc>
        <w:tc>
          <w:tcPr>
            <w:tcW w:type="pct" w:w="22%"/>
            <w:shd w:fill="F2F2F2" w:color="auto" w:val="clear"/>
            <w:tcMar>
              <w:top w:type="dxa" w:w="90"/>
              <w:left w:type="dxa" w:w="120"/>
              <w:bottom w:type="dxa" w:w="90"/>
              <w:right w:type="dxa" w:w="120"/>
            </w:tcMar>
          </w:tcPr>
          <w:p>
            <w:r>
              <w:rPr>
                <w:rFonts w:ascii="Arial" w:cs="Arial" w:eastAsia="Arial" w:hAnsi="Arial"/>
                <w:b w:val="false"/>
                <w:bCs w:val="false"/>
                <w:sz w:val="20"/>
                <w:szCs w:val="20"/>
              </w:rPr>
              <w:t xml:space="preserve">Requester</w:t>
            </w:r>
          </w:p>
        </w:tc>
        <w:tc>
          <w:tcPr>
            <w:tcW w:type="pct" w:w="56%"/>
            <w:shd w:fill="F2F2F2" w:color="auto" w:val="clear"/>
            <w:tcMar>
              <w:top w:type="dxa" w:w="90"/>
              <w:left w:type="dxa" w:w="120"/>
              <w:bottom w:type="dxa" w:w="90"/>
              <w:right w:type="dxa" w:w="120"/>
            </w:tcMar>
          </w:tcPr>
          <w:p>
            <w:r>
              <w:rPr>
                <w:rFonts w:ascii="Arial" w:cs="Arial" w:eastAsia="Arial" w:hAnsi="Arial"/>
                <w:b w:val="false"/>
                <w:bCs w:val="false"/>
                <w:sz w:val="20"/>
                <w:szCs w:val="20"/>
              </w:rPr>
              <w:t xml:space="preserve">Assign the amount to the correct Program Area and GL (General Ledger) account(s), the same coding that will eventually appear on the QuickBooks entry.</w:t>
            </w:r>
          </w:p>
        </w:tc>
      </w:tr>
      <w:tr>
        <w:tc>
          <w:tcPr>
            <w:tcW w:type="pct" w:w="22%"/>
            <w:tcMar>
              <w:top w:type="dxa" w:w="90"/>
              <w:left w:type="dxa" w:w="120"/>
              <w:bottom w:type="dxa" w:w="90"/>
              <w:right w:type="dxa" w:w="120"/>
            </w:tcMar>
          </w:tcPr>
          <w:p>
            <w:r>
              <w:rPr>
                <w:rFonts w:ascii="Arial" w:cs="Arial" w:eastAsia="Arial" w:hAnsi="Arial"/>
                <w:b/>
                <w:bCs/>
                <w:sz w:val="20"/>
                <w:szCs w:val="20"/>
              </w:rPr>
              <w:t xml:space="preserve">3. Approval Chain</w:t>
            </w:r>
          </w:p>
        </w:tc>
        <w:tc>
          <w:tcPr>
            <w:tcW w:type="pct" w:w="22%"/>
            <w:tcMar>
              <w:top w:type="dxa" w:w="90"/>
              <w:left w:type="dxa" w:w="120"/>
              <w:bottom w:type="dxa" w:w="90"/>
              <w:right w:type="dxa" w:w="120"/>
            </w:tcMar>
          </w:tcPr>
          <w:p>
            <w:r>
              <w:rPr>
                <w:rFonts w:ascii="Arial" w:cs="Arial" w:eastAsia="Arial" w:hAnsi="Arial"/>
                <w:b w:val="false"/>
                <w:bCs w:val="false"/>
                <w:sz w:val="20"/>
                <w:szCs w:val="20"/>
              </w:rPr>
              <w:t xml:space="preserve">Approver(s)</w:t>
            </w:r>
          </w:p>
        </w:tc>
        <w:tc>
          <w:tcPr>
            <w:tcW w:type="pct" w:w="56%"/>
            <w:tcMar>
              <w:top w:type="dxa" w:w="90"/>
              <w:left w:type="dxa" w:w="120"/>
              <w:bottom w:type="dxa" w:w="90"/>
              <w:right w:type="dxa" w:w="120"/>
            </w:tcMar>
          </w:tcPr>
          <w:p>
            <w:r>
              <w:rPr>
                <w:rFonts w:ascii="Arial" w:cs="Arial" w:eastAsia="Arial" w:hAnsi="Arial"/>
                <w:b w:val="false"/>
                <w:bCs w:val="false"/>
                <w:sz w:val="20"/>
                <w:szCs w:val="20"/>
              </w:rPr>
              <w:t xml:space="preserve">The request routes automatically to the right approver(s) based on Program Area and dollar amount. Larger amounts add additional required approvers.</w:t>
            </w:r>
          </w:p>
        </w:tc>
      </w:tr>
      <w:tr>
        <w:tc>
          <w:tcPr>
            <w:tcW w:type="pct" w:w="22%"/>
            <w:shd w:fill="F2F2F2" w:color="auto" w:val="clear"/>
            <w:tcMar>
              <w:top w:type="dxa" w:w="90"/>
              <w:left w:type="dxa" w:w="120"/>
              <w:bottom w:type="dxa" w:w="90"/>
              <w:right w:type="dxa" w:w="120"/>
            </w:tcMar>
          </w:tcPr>
          <w:p>
            <w:r>
              <w:rPr>
                <w:rFonts w:ascii="Arial" w:cs="Arial" w:eastAsia="Arial" w:hAnsi="Arial"/>
                <w:b/>
                <w:bCs/>
                <w:sz w:val="20"/>
                <w:szCs w:val="20"/>
              </w:rPr>
              <w:t xml:space="preserve">4. AP Review</w:t>
            </w:r>
          </w:p>
        </w:tc>
        <w:tc>
          <w:tcPr>
            <w:tcW w:type="pct" w:w="22%"/>
            <w:shd w:fill="F2F2F2" w:color="auto" w:val="clear"/>
            <w:tcMar>
              <w:top w:type="dxa" w:w="90"/>
              <w:left w:type="dxa" w:w="120"/>
              <w:bottom w:type="dxa" w:w="90"/>
              <w:right w:type="dxa" w:w="120"/>
            </w:tcMar>
          </w:tcPr>
          <w:p>
            <w:r>
              <w:rPr>
                <w:rFonts w:ascii="Arial" w:cs="Arial" w:eastAsia="Arial" w:hAnsi="Arial"/>
                <w:b w:val="false"/>
                <w:bCs w:val="false"/>
                <w:sz w:val="20"/>
                <w:szCs w:val="20"/>
              </w:rPr>
              <w:t xml:space="preserve">AP Reviewer</w:t>
            </w:r>
          </w:p>
        </w:tc>
        <w:tc>
          <w:tcPr>
            <w:tcW w:type="pct" w:w="56%"/>
            <w:shd w:fill="F2F2F2" w:color="auto" w:val="clear"/>
            <w:tcMar>
              <w:top w:type="dxa" w:w="90"/>
              <w:left w:type="dxa" w:w="120"/>
              <w:bottom w:type="dxa" w:w="90"/>
              <w:right w:type="dxa" w:w="120"/>
            </w:tcMar>
          </w:tcPr>
          <w:p>
            <w:r>
              <w:rPr>
                <w:rFonts w:ascii="Arial" w:cs="Arial" w:eastAsia="Arial" w:hAnsi="Arial"/>
                <w:b w:val="false"/>
                <w:bCs w:val="false"/>
                <w:sz w:val="20"/>
                <w:szCs w:val="20"/>
              </w:rPr>
              <w:t xml:space="preserve">Once fully approved, an AP Reviewer gives it a final look — confirming any new vendor has cleared its own approval and, if required, that a W-9 has been received.</w:t>
            </w:r>
          </w:p>
        </w:tc>
      </w:tr>
      <w:tr>
        <w:tc>
          <w:tcPr>
            <w:tcW w:type="pct" w:w="22%"/>
            <w:tcMar>
              <w:top w:type="dxa" w:w="90"/>
              <w:left w:type="dxa" w:w="120"/>
              <w:bottom w:type="dxa" w:w="90"/>
              <w:right w:type="dxa" w:w="120"/>
            </w:tcMar>
          </w:tcPr>
          <w:p>
            <w:r>
              <w:rPr>
                <w:rFonts w:ascii="Arial" w:cs="Arial" w:eastAsia="Arial" w:hAnsi="Arial"/>
                <w:b/>
                <w:bCs/>
                <w:sz w:val="20"/>
                <w:szCs w:val="20"/>
              </w:rPr>
              <w:t xml:space="preserve">5. Post to QBO</w:t>
            </w:r>
          </w:p>
        </w:tc>
        <w:tc>
          <w:tcPr>
            <w:tcW w:type="pct" w:w="22%"/>
            <w:tcMar>
              <w:top w:type="dxa" w:w="90"/>
              <w:left w:type="dxa" w:w="120"/>
              <w:bottom w:type="dxa" w:w="90"/>
              <w:right w:type="dxa" w:w="120"/>
            </w:tcMar>
          </w:tcPr>
          <w:p>
            <w:r>
              <w:rPr>
                <w:rFonts w:ascii="Arial" w:cs="Arial" w:eastAsia="Arial" w:hAnsi="Arial"/>
                <w:b w:val="false"/>
                <w:bCs w:val="false"/>
                <w:sz w:val="20"/>
                <w:szCs w:val="20"/>
              </w:rPr>
              <w:t xml:space="preserve">AP Reviewer</w:t>
            </w:r>
          </w:p>
        </w:tc>
        <w:tc>
          <w:tcPr>
            <w:tcW w:type="pct" w:w="56%"/>
            <w:tcMar>
              <w:top w:type="dxa" w:w="90"/>
              <w:left w:type="dxa" w:w="120"/>
              <w:bottom w:type="dxa" w:w="90"/>
              <w:right w:type="dxa" w:w="120"/>
            </w:tcMar>
          </w:tcPr>
          <w:p>
            <w:r>
              <w:rPr>
                <w:rFonts w:ascii="Arial" w:cs="Arial" w:eastAsia="Arial" w:hAnsi="Arial"/>
                <w:b w:val="false"/>
                <w:bCs w:val="false"/>
                <w:sz w:val="20"/>
                <w:szCs w:val="20"/>
              </w:rPr>
              <w:t xml:space="preserve">A single click creates the actual Bill (and, if needed, the new Vendor record) directly in QuickBooks Online — no re-keying.</w:t>
            </w:r>
          </w:p>
        </w:tc>
      </w:tr>
    </w:tbl>
    <w:p>
      <w:pPr>
        <w:spacing w:after="200"/>
      </w:pPr>
    </w:p>
    <w:p>
      <w:pPr>
        <w:pStyle w:val="Heading1"/>
        <w:spacing w:after="160" w:before="360"/>
      </w:pPr>
      <w:r>
        <w:rPr>
          <w:rFonts w:ascii="Arial" w:cs="Arial" w:eastAsia="Arial" w:hAnsi="Arial"/>
          <w:b/>
          <w:bCs/>
          <w:color w:val="1F4E79"/>
          <w:sz w:val="28"/>
          <w:szCs w:val="28"/>
        </w:rPr>
        <w:t xml:space="preserve">4.  Submitting a Request</w:t>
      </w:r>
    </w:p>
    <w:p>
      <w:pPr>
        <w:spacing w:after="160" w:line="276"/>
      </w:pPr>
      <w:r>
        <w:rPr>
          <w:rFonts w:ascii="Arial" w:cs="Arial" w:eastAsia="Arial" w:hAnsi="Arial"/>
          <w:sz w:val="22"/>
          <w:szCs w:val="22"/>
        </w:rPr>
        <w:t>Starting a new request is a single, guided form. A requester enters the vendor (searchable by name), the amount, when payment is needed, a description of what it's for, and, when the vendor's invoice has one, its invoice number.</w:t>
      </w:r>
    </w:p>
    <w:p>
      <w:pPr>
        <w:pStyle w:val="Heading2"/>
        <w:spacing w:after="120" w:before="240"/>
      </w:pPr>
      <w:r>
        <w:rPr>
          <w:rFonts w:ascii="Arial" w:cs="Arial" w:eastAsia="Arial" w:hAnsi="Arial"/>
          <w:b/>
          <w:bCs/>
          <w:color w:val="2E75B6"/>
          <w:sz w:val="24"/>
          <w:szCs w:val="24"/>
        </w:rPr>
        <w:t xml:space="preserve">Upload-and-Prefill</w:t>
      </w:r>
    </w:p>
    <w:p>
      <w:pPr>
        <w:spacing w:after="160" w:line="276"/>
      </w:pPr>
      <w:r>
        <w:rPr>
          <w:rFonts w:ascii="Arial" w:cs="Arial" w:eastAsia="Arial" w:hAnsi="Arial"/>
          <w:sz w:val="22"/>
          <w:szCs w:val="22"/>
        </w:rPr>
        <w:t>Rather than typing everything by hand, a requester can upload the invoice or supporting document first. Beacon reads the document and automatically fills in the vendor, amount, invoice number, date, and description for review — the requester simply confirms or corrects the fields before submitting. GL coding is never guessed at this step; that stays a deliberate, human decision. Separately, an Add Supporting Document button lets the requester attach anything else that belongs with the request — a quote, an email showing approval, a photo — without that document being read or touching any field on the form. Each one is listed under the button, can be opened in the viewer on the right, and can be removed again before submitting. PDFs and images (JPEG, PNG, GIF, WebP) are accepted, up to 25 MB each.</w:t>
      </w:r>
    </w:p>
    <w:p>
      <w:pPr>
        <w:pStyle w:val="Heading2"/>
        <w:spacing w:after="120" w:before="240"/>
      </w:pPr>
      <w:r>
        <w:rPr>
          <w:rFonts w:ascii="Arial" w:cs="Arial" w:eastAsia="Arial" w:hAnsi="Arial"/>
          <w:b/>
          <w:bCs/>
          <w:color w:val="2E75B6"/>
          <w:sz w:val="24"/>
          <w:szCs w:val="24"/>
        </w:rPr>
        <w:t xml:space="preserve">A Live Preview</w:t>
      </w:r>
    </w:p>
    <w:p>
      <w:pPr>
        <w:spacing w:after="160" w:line="276"/>
      </w:pPr>
      <w:r>
        <w:rPr>
          <w:rFonts w:ascii="Arial" w:cs="Arial" w:eastAsia="Arial" w:hAnsi="Arial"/>
          <w:sz w:val="22"/>
          <w:szCs w:val="22"/>
        </w:rPr>
        <w:t xml:space="preserve">As the form is filled out, a preview of the actual check-request document updates in real time, so a requester can see exactly what will be produced and routed for approval before they submit anything.</w:t>
      </w:r>
    </w:p>
    <w:p>
      <w:pPr>
        <w:pStyle w:val="Heading2"/>
        <w:spacing w:after="120" w:before="240"/>
      </w:pPr>
      <w:r>
        <w:rPr>
          <w:rFonts w:ascii="Arial" w:cs="Arial" w:eastAsia="Arial" w:hAnsi="Arial"/>
          <w:b/>
          <w:bCs/>
          <w:color w:val="2E75B6"/>
          <w:sz w:val="24"/>
          <w:szCs w:val="24"/>
        </w:rPr>
        <w:t xml:space="preserve">Budget Awareness</w:t>
      </w:r>
    </w:p>
    <w:p>
      <w:pPr>
        <w:spacing w:after="160" w:line="276"/>
      </w:pPr>
      <w:r>
        <w:rPr>
          <w:rFonts w:ascii="Arial" w:cs="Arial" w:eastAsia="Arial" w:hAnsi="Arial"/>
          <w:sz w:val="22"/>
          <w:szCs w:val="22"/>
        </w:rPr>
        <w:t xml:space="preserve">Where a Program Area / GL account combination has a QuickBooks-maintained annual budget, Beacon shows the current spending against that budget right on the request form. If a submission would push spending over budget, Beacon either blocks it outright or — where the account is specifically flagged to allow it — lets it through but clearly flags it as an over-budget item for the approvers and AP Reviewer to see.</w:t>
      </w:r>
    </w:p>
    <w:p>
      <w:pPr>
        <w:spacing w:after="200"/>
      </w:pPr>
    </w:p>
    <w:p>
      <w:pPr>
        <w:pStyle w:val="Heading2"/>
        <w:spacing w:after="120" w:before="240"/>
      </w:pPr>
      <w:r>
        <w:rPr>
          <w:rFonts w:ascii="Arial" w:cs="Arial" w:eastAsia="Arial" w:hAnsi="Arial"/>
          <w:b/>
          <w:bCs/>
          <w:color w:val="2E75B6"/>
          <w:sz w:val="24"/>
          <w:szCs w:val="24"/>
        </w:rPr>
        <w:t>Saving a Draft</w:t>
      </w:r>
    </w:p>
    <w:p>
      <w:pPr>
        <w:spacing w:after="160" w:line="276"/>
      </w:pPr>
      <w:r>
        <w:rPr>
          <w:rFonts w:ascii="Arial" w:cs="Arial" w:eastAsia="Arial" w:hAnsi="Arial"/>
          <w:sz w:val="22"/>
          <w:szCs w:val="22"/>
        </w:rPr>
        <w:t>A request does not have to be finished in one sitting. Alongside Submit there is a Save as Draft button, which keeps whatever has been entered so far — even if the vendor, pay date or GL coding are still blank — and returns the requester to their Requests list, where the draft appears marked as such. Opening it again picks up exactly where they left off. Importantly, a draft is not a submission: no approver is notified, nothing appears in anyone's approval queue, no budget check is applied, and no check-voucher is generated or filed until the request is actually submitted. Files the requester has attached (the invoice and any supporting documents) are the exception: they are kept with the draft, and are filed to the SharePoint archive at the moment the draft is saved, so they are still there when the draft is opened again; if a file cannot be saved, Beacon names it on screen so it can be attached again. One thing to note — if a brand-new vendor was part-way entered, those vendor details are not kept in the draft, because a new vendor record is only created when the request is submitted; Beacon says so on screen when it happens.</w:t>
      </w:r>
    </w:p>
    <w:p>
      <w:pPr>
        <w:pStyle w:val="Heading2"/>
        <w:spacing w:after="120" w:before="240"/>
      </w:pPr>
      <w:r>
        <w:rPr>
          <w:rFonts w:ascii="Arial" w:cs="Arial" w:eastAsia="Arial" w:hAnsi="Arial"/>
          <w:b/>
          <w:bCs/>
          <w:color w:val="2E75B6"/>
          <w:sz w:val="24"/>
          <w:szCs w:val="24"/>
        </w:rPr>
        <w:t>Invoice Numbers and the Duplicate Check</w:t>
      </w:r>
    </w:p>
    <w:p>
      <w:pPr>
        <w:spacing w:after="160" w:line="276"/>
      </w:pPr>
      <w:r>
        <w:rPr>
          <w:rFonts w:ascii="Arial" w:cs="Arial" w:eastAsia="Arial" w:hAnsi="Arial"/>
          <w:sz w:val="22"/>
          <w:szCs w:val="22"/>
        </w:rPr>
        <w:t>Each request has an optional Invoice # box beside the Description. When an invoice is uploaded, Beacon reads the number off it; otherwise the requester can type it. It can be up to 21 characters, which is QuickBooks' limit for a Bill number. The number appears on the check voucher and on the Requests, Approvals, AP Review and All Requests lists, and it is the number Beacon sends to QuickBooks as the Bill number (see Section 7).</w:t>
      </w:r>
    </w:p>
    <w:p>
      <w:pPr>
        <w:spacing w:after="160" w:line="276"/>
      </w:pPr>
      <w:r>
        <w:rPr>
          <w:rFonts w:ascii="Arial" w:cs="Arial" w:eastAsia="Arial" w:hAnsi="Arial"/>
          <w:sz w:val="22"/>
          <w:szCs w:val="22"/>
        </w:rPr>
        <w:t>Beacon also uses the invoice number to catch an invoice that is submitted twice. If the same vendor already has a request with the same invoice number (upper and lower case, spaces and dashes are ignored) that has not been cancelled or rejected, the requester is shown which request it was and must say why this one is different before it can be submitted. Two invoices from the same vendor for the same amount are not treated as duplicates when their invoice numbers differ. When a request has no invoice number, Beacon only warns if the same vendor has a request for the same amount within the last 14 days, and the requester can simply confirm and continue.</w:t>
      </w:r>
    </w:p>
    <w:p>
      <w:pPr>
        <w:pStyle w:val="Heading1"/>
        <w:spacing w:after="160" w:before="360"/>
      </w:pPr>
      <w:r>
        <w:rPr>
          <w:rFonts w:ascii="Arial" w:cs="Arial" w:eastAsia="Arial" w:hAnsi="Arial"/>
          <w:b/>
          <w:bCs/>
          <w:color w:val="1F4E79"/>
          <w:sz w:val="28"/>
          <w:szCs w:val="28"/>
        </w:rPr>
        <w:t xml:space="preserve">5.  Vendors — Existing and Brand-New</w:t>
      </w:r>
    </w:p>
    <w:p>
      <w:pPr>
        <w:spacing w:after="160" w:line="276"/>
      </w:pPr>
      <w:r>
        <w:rPr>
          <w:rFonts w:ascii="Arial" w:cs="Arial" w:eastAsia="Arial" w:hAnsi="Arial"/>
          <w:sz w:val="22"/>
          <w:szCs w:val="22"/>
        </w:rPr>
        <w:t xml:space="preserve">Most requests are for a vendor Beacon already knows about — the vendor list is kept in sync with QuickBooks automatically, so a requester simply searches and selects. If a vendor was added to QuickBooks only recently and has not synced yet, searching for it finds nothing. The vendor box then asks whether it was added to QuickBooks recently and offers “Check QuickBooks”: Beacon looks the vendor up in QuickBooks on the spot, and picking it brings it into Beacon and selects it — so there is no need to add it again as a brand-new vendor.</w:t>
      </w:r>
    </w:p>
    <w:p>
      <w:pPr>
        <w:pStyle w:val="Heading2"/>
        <w:spacing w:after="120" w:before="240"/>
      </w:pPr>
      <w:r>
        <w:rPr>
          <w:rFonts w:ascii="Arial" w:cs="Arial" w:eastAsia="Arial" w:hAnsi="Arial"/>
          <w:b/>
          <w:bCs/>
          <w:color w:val="2E75B6"/>
          <w:sz w:val="24"/>
          <w:szCs w:val="24"/>
        </w:rPr>
        <w:t xml:space="preserve">Onboarding a New Vendor</w:t>
      </w:r>
    </w:p>
    <w:p>
      <w:pPr>
        <w:spacing w:after="160" w:line="276"/>
      </w:pPr>
      <w:r>
        <w:rPr>
          <w:rFonts w:ascii="Arial" w:cs="Arial" w:eastAsia="Arial" w:hAnsi="Arial"/>
          <w:sz w:val="22"/>
          <w:szCs w:val="22"/>
        </w:rPr>
        <w:t xml:space="preserve">If the vendor doesn't exist yet, a requester can add it right from the request form — as an individual or a business — without leaving the page. That new-vendor request and the check request it's attached to move forward together, but the new vendor must clear its own separate approval from a designated Vendor Approver before AP can post anything to QuickBooks.</w:t>
      </w:r>
    </w:p>
    <w:p>
      <w:pPr>
        <w:pStyle w:val="Heading2"/>
        <w:spacing w:after="120" w:before="240"/>
      </w:pPr>
      <w:r>
        <w:rPr>
          <w:rFonts w:ascii="Arial" w:cs="Arial" w:eastAsia="Arial" w:hAnsi="Arial"/>
          <w:b/>
          <w:bCs/>
          <w:color w:val="2E75B6"/>
          <w:sz w:val="24"/>
          <w:szCs w:val="24"/>
        </w:rPr>
        <w:t xml:space="preserve">W-9 Collection, Done Safely</w:t>
      </w:r>
    </w:p>
    <w:p>
      <w:pPr>
        <w:spacing w:after="160" w:line="276"/>
      </w:pPr>
      <w:r>
        <w:rPr>
          <w:rFonts w:ascii="Arial" w:cs="Arial" w:eastAsia="Arial" w:hAnsi="Arial"/>
          <w:sz w:val="22"/>
          <w:szCs w:val="22"/>
        </w:rPr>
        <w:t xml:space="preserve">When a new vendor's W-9 is needed, Beacon emails the vendor a secure, one-time upload link — no sign-in required on their end. Beacon deliberately never collects a Social Security Number or EIN directly on any of its own forms; the W-9 itself is uploaded as a document and never processed by Beacon's automatic document-reading feature, precisely because it can contain sensitive tax ID information.</w:t>
      </w:r>
    </w:p>
    <w:p>
      <w:pPr>
        <w:spacing w:after="200"/>
      </w:pPr>
    </w:p>
    <w:p>
      <w:pPr>
        <w:pStyle w:val="Heading1"/>
        <w:spacing w:after="160" w:before="360"/>
      </w:pPr>
      <w:r>
        <w:rPr>
          <w:rFonts w:ascii="Arial" w:cs="Arial" w:eastAsia="Arial" w:hAnsi="Arial"/>
          <w:b/>
          <w:bCs/>
          <w:color w:val="1F4E79"/>
          <w:sz w:val="28"/>
          <w:szCs w:val="28"/>
        </w:rPr>
        <w:t xml:space="preserve">6.  The Approval Chain</w:t>
      </w:r>
    </w:p>
    <w:p>
      <w:pPr>
        <w:spacing w:after="160" w:line="276"/>
      </w:pPr>
      <w:r>
        <w:rPr>
          <w:rFonts w:ascii="Arial" w:cs="Arial" w:eastAsia="Arial" w:hAnsi="Arial"/>
          <w:sz w:val="22"/>
          <w:szCs w:val="22"/>
        </w:rPr>
        <w:t xml:space="preserve">Beacon works out who needs to approve a request automatically, based on the Program Area it's coded to and its dollar amount — no one has to know or remember the routing rules.</w:t>
      </w:r>
    </w:p>
    <w:p>
      <w:pPr>
        <w:pStyle w:val="ListParagraph"/>
        <w:numPr>
          <w:ilvl w:val="0"/>
          <w:numId w:val="1"/>
        </w:numPr>
        <w:spacing w:after="100" w:line="276"/>
      </w:pPr>
      <w:r>
        <w:rPr>
          <w:rFonts w:ascii="Arial" w:cs="Arial" w:eastAsia="Arial" w:hAnsi="Arial"/>
          <w:sz w:val="22"/>
          <w:szCs w:val="22"/>
        </w:rPr>
        <w:t xml:space="preserve">Requests can require more than one approver, in a set order (a smaller area-specific approval first, for example, before a larger organization-wide approval is required).</w:t>
      </w:r>
    </w:p>
    <w:p>
      <w:pPr>
        <w:pStyle w:val="ListParagraph"/>
        <w:numPr>
          <w:ilvl w:val="0"/>
          <w:numId w:val="1"/>
        </w:numPr>
        <w:spacing w:after="100" w:line="276"/>
      </w:pPr>
      <w:r>
        <w:rPr>
          <w:rFonts w:ascii="Arial" w:cs="Arial" w:eastAsia="Arial" w:hAnsi="Arial"/>
          <w:sz w:val="22"/>
          <w:szCs w:val="22"/>
        </w:rPr>
        <w:t xml:space="preserve">Above a set dollar threshold, designated Global Approvers are automatically added to the chain, regardless of Program Area.</w:t>
      </w:r>
    </w:p>
    <w:p>
      <w:pPr>
        <w:pStyle w:val="ListParagraph"/>
        <w:numPr>
          <w:ilvl w:val="0"/>
          <w:numId w:val="1"/>
        </w:numPr>
        <w:spacing w:after="100" w:line="276"/>
      </w:pPr>
      <w:r>
        <w:rPr>
          <w:rFonts w:ascii="Arial" w:cs="Arial" w:eastAsia="Arial" w:hAnsi="Arial"/>
          <w:sz w:val="22"/>
          <w:szCs w:val="22"/>
        </w:rPr>
        <w:t xml:space="preserve">An approver can approve with an optional note, or reject with a required reason — both are kept permanently as part of the request's record.</w:t>
      </w:r>
    </w:p>
    <w:p>
      <w:pPr>
        <w:pStyle w:val="ListParagraph"/>
        <w:numPr>
          <w:ilvl w:val="0"/>
          <w:numId w:val="1"/>
        </w:numPr>
        <w:spacing w:after="100" w:line="276"/>
      </w:pPr>
      <w:r>
        <w:rPr>
          <w:rFonts w:ascii="Arial" w:cs="Arial" w:eastAsia="Arial" w:hAnsi="Arial"/>
          <w:sz w:val="22"/>
          <w:szCs w:val="22"/>
        </w:rPr>
        <w:t xml:space="preserve">Anyone in the chain can see the request itself on screen (not just a PDF), along with any attached documents, before deciding.</w:t>
      </w:r>
    </w:p>
    <w:p>
      <w:pPr>
        <w:pStyle w:val="Heading2"/>
        <w:spacing w:after="120" w:before="240"/>
      </w:pPr>
      <w:r>
        <w:rPr>
          <w:rFonts w:ascii="Arial" w:cs="Arial" w:eastAsia="Arial" w:hAnsi="Arial"/>
          <w:b/>
          <w:bCs/>
          <w:color w:val="2E75B6"/>
          <w:sz w:val="24"/>
          <w:szCs w:val="24"/>
        </w:rPr>
        <w:t xml:space="preserve">Approving Straight From Email</w:t>
      </w:r>
    </w:p>
    <w:p>
      <w:pPr>
        <w:spacing w:after="160" w:line="276"/>
      </w:pPr>
      <w:r>
        <w:rPr>
          <w:rFonts w:ascii="Arial" w:cs="Arial" w:eastAsia="Arial" w:hAnsi="Arial"/>
          <w:sz w:val="22"/>
          <w:szCs w:val="22"/>
        </w:rPr>
        <w:t xml:space="preserve">Approvers don't have to log in to act. Whenever a request reaches them, Beacon sends an email with one-click Approve and Reject buttons right in the message — along with a plain sign-in link for anyone who wants to see the full request first. A daily digest email also summarizes everything currently waiting on a given approver's action across both organizations, so nothing needed sits unnoticed.</w:t>
      </w:r>
    </w:p>
    <w:p>
      <w:pPr>
        <w:spacing w:after="200"/>
      </w:pPr>
    </w:p>
    <w:p>
      <w:pPr>
        <w:pStyle w:val="Heading1"/>
        <w:spacing w:after="160" w:before="360"/>
      </w:pPr>
      <w:r>
        <w:rPr>
          <w:rFonts w:ascii="Arial" w:cs="Arial" w:eastAsia="Arial" w:hAnsi="Arial"/>
          <w:b/>
          <w:bCs/>
          <w:color w:val="1F4E79"/>
          <w:sz w:val="28"/>
          <w:szCs w:val="28"/>
        </w:rPr>
        <w:t xml:space="preserve">7.  AP Review and Posting to QuickBooks</w:t>
      </w:r>
    </w:p>
    <w:p>
      <w:pPr>
        <w:spacing w:after="160" w:line="276"/>
      </w:pPr>
      <w:r>
        <w:rPr>
          <w:rFonts w:ascii="Arial" w:cs="Arial" w:eastAsia="Arial" w:hAnsi="Arial"/>
          <w:sz w:val="22"/>
          <w:szCs w:val="22"/>
        </w:rPr>
        <w:t xml:space="preserve">Once a request has cleared its entire approval chain, it lands on the AP Reviewer's queue for one final check — confirming a new vendor (if any) has been separately approved and, where required, that its W-9 has actually been received.</w:t>
      </w:r>
    </w:p>
    <w:p>
      <w:pPr>
        <w:spacing w:after="160" w:line="276"/>
      </w:pPr>
      <w:r>
        <w:rPr>
          <w:rFonts w:ascii="Arial" w:cs="Arial" w:eastAsia="Arial" w:hAnsi="Arial"/>
          <w:sz w:val="22"/>
          <w:szCs w:val="22"/>
        </w:rPr>
        <w:t>From there, a single “Post to QBO” action does the rest: if it's a brand-new vendor, Beacon creates that Vendor record in QuickBooks first, then creates the Bill itself — with the correct vendor, GL coding, amount, due date, description, and even the supporting documents attached — automatically. Nothing about the request needs to be re-typed into QuickBooks by hand. The Bill number in QuickBooks is the vendor's invoice number, or the CR number when the request has no invoice number; the CR number is also placed in the Bill's memo, so a Bill can be found from either side.</w:t>
      </w:r>
    </w:p>
    <w:p>
      <w:pPr>
        <w:spacing w:after="160" w:line="276"/>
      </w:pPr>
      <w:r>
        <w:rPr>
          <w:rFonts w:ascii="Arial" w:cs="Arial" w:eastAsia="Arial" w:hAnsi="Arial"/>
          <w:sz w:val="22"/>
          <w:szCs w:val="22"/>
        </w:rPr>
        <w:t>If a request carries an invoice number that was already submitted earlier for the same vendor, the AP Review list marks it “Possible duplicate invoice” and holds Post to QBO until an AP Reviewer opens the request, looks at the earlier one, and confirms it is not a duplicate, with a reason that is kept in the request's history. The earlier request is never held up by a duplicate that came after it.</w:t>
      </w:r>
    </w:p>
    <w:p>
      <w:pPr>
        <w:spacing w:after="160" w:line="276"/>
      </w:pPr>
      <w:r>
        <w:rPr>
          <w:rFonts w:ascii="Arial" w:cs="Arial" w:eastAsia="Arial" w:hAnsi="Arial"/>
          <w:sz w:val="22"/>
          <w:szCs w:val="22"/>
        </w:rPr>
        <w:t xml:space="preserve">If a request is instead sent back at this stage, the submitter is notified by email and can revise and resubmit it, which sends it through the approval chain again.</w:t>
      </w:r>
    </w:p>
    <w:p>
      <w:pPr>
        <w:spacing w:after="200"/>
      </w:pPr>
    </w:p>
    <w:p>
      <w:pPr>
        <w:pStyle w:val="Heading1"/>
        <w:spacing w:after="160" w:before="360"/>
      </w:pPr>
      <w:r>
        <w:rPr>
          <w:rFonts w:ascii="Arial" w:cs="Arial" w:eastAsia="Arial" w:hAnsi="Arial"/>
          <w:b/>
          <w:bCs/>
          <w:color w:val="1F4E79"/>
          <w:sz w:val="28"/>
          <w:szCs w:val="28"/>
        </w:rPr>
        <w:t xml:space="preserve">8.  Attachments and Recordkeeping</w:t>
      </w:r>
    </w:p>
    <w:p>
      <w:pPr>
        <w:spacing w:after="160" w:line="276"/>
      </w:pPr>
      <w:r>
        <w:rPr>
          <w:rFonts w:ascii="Arial" w:cs="Arial" w:eastAsia="Arial" w:hAnsi="Arial"/>
          <w:sz w:val="22"/>
          <w:szCs w:val="22"/>
        </w:rPr>
        <w:t xml:space="preserve">Every submitted request automatically generates its own check-voucher document, and any invoice or supporting file a requester uploads is kept right alongside it. These are archived permanently to the organization's SharePoint files (not just left sitting in Beacon), so there is always a durable, findable copy outside the application itself.</w:t>
      </w:r>
    </w:p>
    <w:p>
      <w:pPr>
        <w:spacing w:after="160" w:line="276"/>
      </w:pPr>
      <w:r>
        <w:rPr>
          <w:rFonts w:ascii="Arial" w:cs="Arial" w:eastAsia="Arial" w:hAnsi="Arial"/>
          <w:sz w:val="22"/>
          <w:szCs w:val="22"/>
        </w:rPr>
        <w:t xml:space="preserve">From the “Requests” page, anyone can look back at every request they've submitted — its current status, its full approval history with timestamps, and its attachments — at any time.</w:t>
      </w:r>
    </w:p>
    <w:p>
      <w:pPr>
        <w:spacing w:after="200"/>
      </w:pPr>
    </w:p>
    <w:p>
      <w:pPr>
        <w:pStyle w:val="Heading1"/>
        <w:spacing w:after="160" w:before="360"/>
      </w:pPr>
      <w:r>
        <w:rPr>
          <w:rFonts w:ascii="Arial" w:cs="Arial" w:eastAsia="Arial" w:hAnsi="Arial"/>
          <w:b/>
          <w:bCs/>
          <w:color w:val="1F4E79"/>
          <w:sz w:val="28"/>
          <w:szCs w:val="28"/>
        </w:rPr>
        <w:t xml:space="preserve">9.  Administrative Oversight</w:t>
      </w:r>
    </w:p>
    <w:p>
      <w:pPr>
        <w:spacing w:after="160" w:line="276"/>
      </w:pPr>
      <w:r>
        <w:rPr>
          <w:rFonts w:ascii="Arial" w:cs="Arial" w:eastAsia="Arial" w:hAnsi="Arial"/>
          <w:sz w:val="22"/>
          <w:szCs w:val="22"/>
        </w:rPr>
        <w:t xml:space="preserve">The CFO has an organization-wide Administrative view showing every request across every served diocese, regardless of status — useful for audits, spot-checks, or simply seeing the whole picture at once. A small set of other administrative tools exist as well: a way to temporarily view Beacon as another user for troubleshooting, and a simple in-app Feedback form staff can use to report problems or suggest improvements directly, which the CFO can review in one place.</w:t>
      </w:r>
    </w:p>
    <w:p>
      <w:pPr>
        <w:spacing w:after="200"/>
      </w:pPr>
    </w:p>
    <w:p>
      <w:pPr>
        <w:pStyle w:val="Heading2"/>
        <w:spacing w:after="120" w:before="240"/>
      </w:pPr>
      <w:r>
        <w:rPr>
          <w:rFonts w:ascii="Arial" w:cs="Arial" w:eastAsia="Arial" w:hAnsi="Arial"/>
          <w:b/>
          <w:bCs/>
          <w:color w:val="2E75B6"/>
          <w:sz w:val="24"/>
          <w:szCs w:val="24"/>
        </w:rPr>
        <w:t>Running an Actual vs Budget Report</w:t>
      </w:r>
    </w:p>
    <w:p>
      <w:pPr>
        <w:spacing w:after="160" w:line="276"/>
      </w:pPr>
      <w:r>
        <w:rPr>
          <w:rFonts w:ascii="Arial" w:cs="Arial" w:eastAsia="Arial" w:hAnsi="Arial"/>
          <w:sz w:val="22"/>
          <w:szCs w:val="22"/>
        </w:rPr>
        <w:t>Setup Admins and Beacon Admins can open Report Templates from the Administrative Tasks screen (under Reports). It lists the Actual vs Budget report templates set up for the entity you are working in. Pick a completed month and click Run Now: Beacon builds the report straight from QuickBooks, checks every account against QuickBooks' own Profit &amp; Loss, and downloads the Excel workbook to you, usually within a minute. The workbook has a year-to-date Actual vs Budget page with the annual budget, a By Month page of actuals, and the month's transaction detail. Run Now only builds the report for you; it does not email anyone. The same reports can also be run by asking Claude, through the QuickBooks connector.</w:t>
      </w:r>
    </w:p>
    <w:p>
      <w:pPr>
        <w:pStyle w:val="Heading1"/>
        <w:spacing w:after="160" w:before="360"/>
      </w:pPr>
      <w:r>
        <w:rPr>
          <w:rFonts w:ascii="Arial" w:cs="Arial" w:eastAsia="Arial" w:hAnsi="Arial"/>
          <w:color w:val="1F4E79"/>
          <w:sz w:val="28"/>
          <w:szCs w:val="28"/>
        </w:rPr>
        <w:t xml:space="preserve">10.  Timekeeping and Payroll Hours</w:t>
      </w:r>
    </w:p>
    <w:p>
      <w:pPr>
        <w:spacing w:after="160" w:line="276"/>
      </w:pPr>
      <w:r>
        <w:rPr>
          <w:rFonts w:ascii="Arial" w:cs="Arial" w:eastAsia="Arial" w:hAnsi="Arial"/>
          <w:sz w:val="22"/>
          <w:szCs w:val="22"/>
        </w:rPr>
        <w:t xml:space="preserve">Beacon also keeps the hours that hourly parish employees work in each pay period, so the diocese’s payroll staff have one place to see who has reported and what they reported. Timekeeping is switched on for a diocese, and then for each parish in it; today it is in use for the parishes of the Diocese of Maine.</w:t>
      </w:r>
    </w:p>
    <w:p>
      <w:pPr>
        <w:spacing w:after="160" w:line="276"/>
      </w:pPr>
      <w:r>
        <w:rPr>
          <w:rFonts w:ascii="Arial" w:cs="Arial" w:eastAsia="Arial" w:hAnsi="Arial"/>
          <w:sz w:val="22"/>
          <w:szCs w:val="22"/>
        </w:rPr>
        <w:t xml:space="preserve">Beacon holds hours only. It never stores or shows what anyone is paid, and it never writes anything to Checkwriters: payroll staff key the hours in from a sheet that Beacon prepares.</w:t>
      </w:r>
    </w:p>
    <w:p>
      <w:pPr>
        <w:pStyle w:val="Heading2"/>
        <w:spacing w:after="120" w:before="240"/>
      </w:pPr>
      <w:r>
        <w:rPr>
          <w:rFonts w:ascii="Arial" w:cs="Arial" w:eastAsia="Arial" w:hAnsi="Arial"/>
          <w:color w:val="2E75B6"/>
          <w:sz w:val="24"/>
          <w:szCs w:val="24"/>
        </w:rPr>
        <w:t xml:space="preserve">The Pay Period</w:t>
      </w:r>
    </w:p>
    <w:p>
      <w:pPr>
        <w:spacing w:after="160" w:line="276"/>
      </w:pPr>
      <w:r>
        <w:rPr>
          <w:rFonts w:ascii="Arial" w:cs="Arial" w:eastAsia="Arial" w:hAnsi="Arial"/>
          <w:sz w:val="22"/>
          <w:szCs w:val="22"/>
        </w:rPr>
        <w:t xml:space="preserve">Hours are collected one pay period at a time. Each period has a start and end date, a submission deadline and a pay date. A period is Open while hours are being collected, Closed once payroll is finished with it, and Future before it begins. A parish can enter hours only while the period is Open; a Closed period is locked. A diocesan HR Admin opens and closes periods.</w:t>
      </w:r>
    </w:p>
    <w:p>
      <w:pPr>
        <w:pStyle w:val="Heading2"/>
        <w:spacing w:after="120" w:before="240"/>
      </w:pPr>
      <w:r>
        <w:rPr>
          <w:rFonts w:ascii="Arial" w:cs="Arial" w:eastAsia="Arial" w:hAnsi="Arial"/>
          <w:color w:val="2E75B6"/>
          <w:sz w:val="24"/>
          <w:szCs w:val="24"/>
        </w:rPr>
        <w:t xml:space="preserve">How a Parish Reports Hours</w:t>
      </w:r>
    </w:p>
    <w:p>
      <w:pPr>
        <w:spacing w:after="160" w:line="276"/>
      </w:pPr>
      <w:r>
        <w:rPr>
          <w:rFonts w:ascii="Arial" w:cs="Arial" w:eastAsia="Arial" w:hAnsi="Arial"/>
          <w:sz w:val="22"/>
          <w:szCs w:val="22"/>
        </w:rPr>
        <w:t>There are two ways, and a parish may use either. On its Timekeeping page (reached from the HR &amp; Payroll tile on Parish Home, which also opens the parish's Staff Roster, only for people the parish has given the Timekeeping, Finance or Admin role), a parish sees its hourly employees for the open period, sees each one on a single line, and either types that person's total for the period or opens the line to enter hours by day and type (regular, overtime, holiday, sick and so on). It saves a draft as often as it likes, and submits when finished. Employees who are paid a salary do not appear on the page. Or the parish can email its hours to the diocesan payroll mailbox, as parishes have long done; Beacon reads those emails as described below.</w:t>
      </w:r>
    </w:p>
    <w:p>
      <w:pPr>
        <w:spacing w:after="160" w:line="276"/>
      </w:pPr>
      <w:r>
        <w:rPr>
          <w:rFonts w:ascii="Arial" w:cs="Arial" w:eastAsia="Arial" w:hAnsi="Arial"/>
          <w:sz w:val="22"/>
          <w:szCs w:val="22"/>
        </w:rPr>
        <w:t>The Timekeeping page also lets a parish ask for a new hire, a change or a departure to be recorded on its employee list. Nothing changes until the diocese approves the request in Roster Review.</w:t>
      </w:r>
    </w:p>
    <w:p>
      <w:pPr>
        <w:pStyle w:val="Heading2"/>
        <w:spacing w:after="120" w:before="240"/>
      </w:pPr>
      <w:r>
        <w:rPr>
          <w:rFonts w:ascii="Arial" w:cs="Arial" w:eastAsia="Arial" w:hAnsi="Arial"/>
          <w:color w:val="2E75B6"/>
          <w:sz w:val="24"/>
          <w:szCs w:val="24"/>
        </w:rPr>
        <w:t>Staff Changes From a Parish</w:t>
      </w:r>
    </w:p>
    <w:p>
      <w:pPr>
        <w:spacing w:after="160" w:line="276"/>
      </w:pPr>
      <w:r>
        <w:rPr>
          <w:rFonts w:ascii="Arial" w:cs="Arial" w:eastAsia="Arial" w:hAnsi="Arial"/>
          <w:sz w:val="22"/>
          <w:szCs w:val="22"/>
        </w:rPr>
        <w:t>A parish's Staff screen lists everyone on its employee list, one line each. The search box and Show narrow it to everyone, only active people, only inactive people, or only people with a change waiting. Onboard a new staff member asks the diocese to add someone: enter the name, position and, if known, the employee number and hire date. If the diocese uses onboarding, Continue to onboarding sends the new hire on to the diocese's benefits office; it can be skipped and started later. Edit corrects a name, position or employee number. Status change records that someone has left or come back: choose the reason (for example Voluntary resignation or Termination) and the date, press Review, read the sentence and press Confirm.</w:t>
      </w:r>
    </w:p>
    <w:p>
      <w:pPr>
        <w:spacing w:after="160" w:line="276"/>
      </w:pPr>
      <w:r>
        <w:rPr>
          <w:rFonts w:ascii="Arial" w:cs="Arial" w:eastAsia="Arial" w:hAnsi="Arial"/>
          <w:sz w:val="22"/>
          <w:szCs w:val="22"/>
        </w:rPr>
        <w:t>Every change goes to Roster Review and takes effect when the diocese approves it; Roster Review shows the date, and the reason where one was recorded. A person with a change waiting shows Withdraw instead of Edit and Status change, and withdrawing sends nothing to the diocese. Proposed changes, at the top, lists every change the parish has sent and what came of it. Parishes are always shown as the church name, a comma and the city (for example, Trinity Episcopal Church, Lewiston), because many parishes share a name.</w:t>
      </w:r>
    </w:p>
    <w:p>
      <w:pPr>
        <w:pStyle w:val="Heading2"/>
        <w:spacing w:after="120" w:before="240"/>
      </w:pPr>
      <w:r>
        <w:rPr>
          <w:rFonts w:ascii="Arial" w:cs="Arial" w:eastAsia="Arial" w:hAnsi="Arial"/>
          <w:color w:val="2E75B6"/>
          <w:sz w:val="24"/>
          <w:szCs w:val="24"/>
        </w:rPr>
        <w:t xml:space="preserve">Hours That Arrive by Email</w:t>
      </w:r>
    </w:p>
    <w:p>
      <w:pPr>
        <w:spacing w:after="160" w:line="276"/>
      </w:pPr>
      <w:r>
        <w:rPr>
          <w:rFonts w:ascii="Arial" w:cs="Arial" w:eastAsia="Arial" w:hAnsi="Arial"/>
          <w:sz w:val="22"/>
          <w:szCs w:val="22"/>
        </w:rPr>
        <w:t>Many parishes send their hours by email, so a routine reads the payroll mailbox and records what it finds. It can only read: it never sends, replies to, moves or deletes a message. For each email it works out the pay period and the parish, reads the hours (including from a photo, PDF or spreadsheet attachment), matches each name to the parish’s employee list, and records a period total for each person, marked Email and with the sentence the number came from and a PDF copy of the message (a copy made for review, with Social Security, bank and birth-date numbers blacked out) that payroll staff can open from the line. Mail that arrives by noon on a period’s submission deadline belongs to that period.</w:t>
      </w:r>
    </w:p>
    <w:p>
      <w:pPr>
        <w:spacing w:after="160" w:line="276"/>
      </w:pPr>
      <w:r>
        <w:rPr>
          <w:rFonts w:ascii="Arial" w:cs="Arial" w:eastAsia="Arial" w:hAnsi="Arial"/>
          <w:sz w:val="22"/>
          <w:szCs w:val="22"/>
        </w:rPr>
        <w:t xml:space="preserve">The routine does not guess. If it cannot tell which parish an email is from, or a name does not clearly match one person, the email goes to review instead. Forms that may hold personal data (enrollment, tax and direct-deposit forms) are never read, and Social Security numbers, bank numbers and birth dates are never copied. The text of an email and its attachments is read by an AI service (Claude) to pick out names and hours. Everything the routine records waits for a person to confirm it. For now it runs about every half hour from a diocesan computer.</w:t>
      </w:r>
    </w:p>
    <w:p>
      <w:pPr>
        <w:pStyle w:val="Heading2"/>
        <w:spacing w:after="120" w:before="240"/>
      </w:pPr>
      <w:r>
        <w:rPr>
          <w:rFonts w:ascii="Arial" w:cs="Arial" w:eastAsia="Arial" w:hAnsi="Arial"/>
          <w:color w:val="2E75B6"/>
          <w:sz w:val="24"/>
          <w:szCs w:val="24"/>
        </w:rPr>
        <w:t>The HR &amp; Payroll Menu</w:t>
      </w:r>
    </w:p>
    <w:p>
      <w:pPr>
        <w:spacing w:after="160" w:line="276"/>
      </w:pPr>
      <w:r>
        <w:rPr>
          <w:rFonts w:ascii="Arial" w:cs="Arial" w:eastAsia="Arial" w:hAnsi="Arial"/>
          <w:sz w:val="22"/>
          <w:szCs w:val="22"/>
        </w:rPr>
        <w:t>People with HR access see one tile on the main menu, HR &amp; Payroll. It opens a menu with Time Review, Roster Review, Onboarding &amp; Offboarding (where the diocese uses it) and HR Administrative Tasks. HR Administrative Tasks is a smaller menu under it and holds HR Activation (which parishes use Timekeeping), Employees, Payroll Periods and Time Categories. Each screen is shown only to the people who may use it, so a Setup Admin who is not an HR Admin sees HR Administrative Tasks without Time Review, Roster Review or Employees. Every HR screen has a link back to the menu above it. A red number at the right of a tile counts what is waiting there: on Time Review, the lines waiting for a decision plus the people an email named who have not been entered; on Roster Review, the change requests waiting; on Onboarding &amp; Offboarding, the cases that are past due or waiting on a parish. The beacon beside a name opens a short guide to that screen.</w:t>
      </w:r>
    </w:p>
    <w:p>
      <w:pPr>
        <w:pStyle w:val="Heading2"/>
        <w:spacing w:after="120" w:before="240"/>
      </w:pPr>
      <w:r>
        <w:rPr>
          <w:rFonts w:ascii="Arial" w:cs="Arial" w:eastAsia="Arial" w:hAnsi="Arial"/>
          <w:color w:val="2E75B6"/>
          <w:sz w:val="24"/>
          <w:szCs w:val="24"/>
        </w:rPr>
        <w:t>Time Review: the Checklist for the Period</w:t>
      </w:r>
    </w:p>
    <w:p>
      <w:pPr>
        <w:spacing w:after="160" w:line="276"/>
      </w:pPr>
      <w:r>
        <w:rPr>
          <w:rFonts w:ascii="Arial" w:cs="Arial" w:eastAsia="Arial" w:hAnsi="Arial"/>
          <w:sz w:val="22"/>
          <w:szCs w:val="22"/>
        </w:rPr>
        <w:t>Time Review, on the HR &amp; Payroll menu (the HR &amp; Payroll tile on the main menu), is the checklist and the review for the period. A pill beside the heading shows whether the period is Open, Closed or Future (and Final once the hours are final). Each row is a department, shown by its payroll code and short name (for example, 002 Wilton), with the full name when you hover over it. Row colors show what is left: red has lines waiting for a decision, amber is a parish that normally sends hours every period and has sent none, green is complete, and grey is not expected this period. Search and the Show filter narrow the list.</w:t>
      </w:r>
    </w:p>
    <w:p>
      <w:pPr>
        <w:spacing w:after="160" w:line="276"/>
      </w:pPr>
      <w:r>
        <w:rPr>
          <w:rFonts w:ascii="Arial" w:cs="Arial" w:eastAsia="Arial" w:hAnsi="Arial"/>
          <w:sz w:val="22"/>
          <w:szCs w:val="22"/>
        </w:rPr>
        <w:t>Change period opens another pay period. The Actions menu holds Review Inbox (reads the payroll mailbox now; available once the cloud reader is connected), Set status (open or close the period), Excel for Checkwriters, Mark hours Final, Variance report and Confirm all standing hours. At the bottom right, Last updated shows the date and time (MM/DD HH:MM) the payroll mailbox was last read.</w:t>
      </w:r>
    </w:p>
    <w:p>
      <w:pPr>
        <w:spacing w:after="160" w:line="276"/>
      </w:pPr>
      <w:r>
        <w:rPr>
          <w:rFonts w:ascii="Arial" w:cs="Arial" w:eastAsia="Arial" w:hAnsi="Arial"/>
          <w:sz w:val="22"/>
          <w:szCs w:val="22"/>
        </w:rPr>
        <w:t>The Show filter at the top lists the same seven kinds of rows as the bar at the bottom, in the same colours, with a check box beside each (blue is Ready to approve in both places). Ticking a box in the bottom bar ticks it in the filter, and the other way round.</w:t>
      </w:r>
    </w:p>
    <w:p>
      <w:pPr>
        <w:spacing w:after="160" w:line="276"/>
      </w:pPr>
      <w:r>
        <w:rPr>
          <w:rFonts w:ascii="Arial" w:cs="Arial" w:eastAsia="Arial" w:hAnsi="Arial"/>
          <w:sz w:val="22"/>
          <w:szCs w:val="22"/>
        </w:rPr>
        <w:t>When a department's own page has Roster Review items waiting, a warning at the top says how many and links to Roster Review showing only that department, with a link back to every department.</w:t>
      </w:r>
    </w:p>
    <w:p>
      <w:pPr>
        <w:spacing w:after="160" w:line="276"/>
      </w:pPr>
      <w:r>
        <w:rPr>
          <w:rFonts w:ascii="Arial" w:cs="Arial" w:eastAsia="Arial" w:hAnsi="Arial"/>
          <w:sz w:val="22"/>
          <w:szCs w:val="22"/>
        </w:rPr>
        <w:t>Each parish row is coloured by what is left. Green means done: Approved, Confirmed no hours, Only Std Hrs (standing hours confirmed) or Not Expected. Blue means Ready to approve (hours are in and nothing is waiting), red means something needs a decision, amber means a parish that normally sends hours has sent none, and no colour means not started. The columns Std (standing hours), Entered (every other hour) and Total show the hours. In a row's three-dot menu, Mark reviewed and approved approves a parish whose hours are in; Confirm no hours this week confirms a parish with no hours and no email; Confirm standing hours confirms a parish with only standing hours; Undo removes any of these while the period is Open. If hours or emails change after a row was approved, it turns red as Changed after approval until it is approved again. Hover the status to see who approved it and when.</w:t>
      </w:r>
    </w:p>
    <w:p>
      <w:pPr>
        <w:pStyle w:val="Heading2"/>
        <w:spacing w:after="120" w:before="240"/>
      </w:pPr>
      <w:r>
        <w:rPr>
          <w:rFonts w:ascii="Arial" w:cs="Arial" w:eastAsia="Arial" w:hAnsi="Arial"/>
          <w:color w:val="2E75B6"/>
          <w:sz w:val="24"/>
          <w:szCs w:val="24"/>
        </w:rPr>
        <w:t xml:space="preserve">Reviewing and Handing Off to Payroll</w:t>
      </w:r>
    </w:p>
    <w:p>
      <w:pPr>
        <w:spacing w:after="160" w:line="276"/>
      </w:pPr>
      <w:r>
        <w:rPr>
          <w:rFonts w:ascii="Arial" w:cs="Arial" w:eastAsia="Arial" w:hAnsi="Arial"/>
          <w:sz w:val="22"/>
          <w:szCs w:val="22"/>
        </w:rPr>
        <w:t>All hours are reviewed on Time Review: the hours the email reader recorded, and people an email named that the reader could not enter (they come first, with a list of the parish's employees to choose from, an Enter button and a Dismiss button). Employee-list changes that parishes or emails ask for are approved on Roster Review, also on the HR &amp; Payroll menu: a new-hire request for someone who is already on the roster as inactive shows a Reactivate button, and one for someone already active asks before adding a second person. Each employee is one row with every kind of hours (Regular, Overtime, Holiday, Sick, Vacation) in its own box, the source, and a PDF copy of the email. Change any figure right in the row, or type hours into an empty box to add that kind, then press Accept: it saves what you changed and confirms the row. Reject sets the whole row aside. Add a line (Actions menu at the top right of the Period totals area) opens one blank row for hours the reader missed, optionally tied to one of the parish’s emails. Click any row in the Period totals and the daily grid below moves to that employee. Drag the bar between the two grids to give one more room. Reg, OT, Sick, Vac and Holiday are in the same order and the same columns in both grids, and the dates appear inside each employee’s opened area. Nothing is ever deleted. If a later email gives different hours for a line that is already confirmed, the confirmed figure stands until a person chooses the new one. From a parish’s row, View / edit hours opens the same Timekeeping screen the parish uses: In the period totals each employee is one row, with Regular, Overtime and the other kinds of hours side by side. The period totals sit in a scrolling area at the top, and each person is one line that takes a total for the period or opens to the days. A total or the days can be used for a person and category, not both. Hours the reader is at least 80% sure of are accepted automatically when the person is an hourly employee on the roster, nothing is flagged and the hours are within 25% of their recent confirmed hours; everything else waits for a person. Actions, then Payroll notes, lists every comment, note and request from the payroll emails for the pay period, by department, with a Print button and an Export to Excel button, so whoever keys the payroll has one list of everything the parishes wrote.</w:t>
      </w:r>
    </w:p>
    <w:p>
      <w:pPr>
        <w:spacing w:after="160" w:line="276"/>
      </w:pPr>
      <w:r>
        <w:rPr>
          <w:rFonts w:ascii="Arial" w:cs="Arial" w:eastAsia="Arial" w:hAnsi="Arial"/>
          <w:sz w:val="22"/>
          <w:szCs w:val="22"/>
        </w:rPr>
        <w:t>Standing hours are the same every period. Confirm all standing hours (in the Actions menu), or Confirm standing hours in one parish's menu, records them for the period as Regular hours. They are confirmed automatically when the last three periods were confirmed at the same figure, and otherwise wait for review. A parish with only standing hours turns green; a parish that also has other hours still needs its approval, and one approval covers both.</w:t>
      </w:r>
    </w:p>
    <w:p>
      <w:pPr>
        <w:spacing w:after="160" w:line="276"/>
      </w:pPr>
      <w:r>
        <w:rPr>
          <w:rFonts w:ascii="Arial" w:cs="Arial" w:eastAsia="Arial" w:hAnsi="Arial"/>
          <w:sz w:val="22"/>
          <w:szCs w:val="22"/>
        </w:rPr>
        <w:t>Standing hours are kept on the Employees screen (HR &amp; Payroll, then HR Administrative Tasks). The Std hrs column shows each person’s standing figure: type a number to make someone standing at that many hours every pay period, or clear the box to stop. The person must report hours and have an employee number, and the figure must be more than 0 and no more than 300. Add employee has the same box. Each change is written in the employee’s change history.</w:t>
      </w:r>
    </w:p>
    <w:p>
      <w:pPr>
        <w:spacing w:after="160" w:line="276"/>
      </w:pPr>
      <w:r>
        <w:rPr>
          <w:rFonts w:ascii="Arial" w:cs="Arial" w:eastAsia="Arial" w:hAnsi="Arial"/>
          <w:sz w:val="22"/>
          <w:szCs w:val="22"/>
        </w:rPr>
        <w:t>When nothing is left to decide and every parish row is green, Mark hours Final stamps the period (a new figure arriving afterwards removes the stamp). Excel for Checkwriters produces the sheet payroll staff key from: its first sheet, Summary, shows each employee's Reg, OT, Sick, Vac and Holiday hours, then Entered total, Standing and Grand total, with a subtotal for each department and a grand total, so it can be compared with the Labor Summary. The Review sheet says whether the hours are final and lists anything still unresolved, and those lines should not be keyed. After payroll runs, the Variance report compares Beacon’s hours with the paid register and lists only the lines that do not match: hours that differ, people paid with no hours recorded in Beacon, and hours recorded with no pay.</w:t>
      </w:r>
    </w:p>
    <w:p>
      <w:pPr>
        <w:spacing w:after="160" w:line="276"/>
      </w:pPr>
      <w:r>
        <w:rPr>
          <w:rFonts w:ascii="Arial" w:cs="Arial" w:eastAsia="Arial" w:hAnsi="Arial"/>
          <w:sz w:val="22"/>
          <w:szCs w:val="22"/>
        </w:rPr>
        <w:t>Hours history shows the hours counted in every pay period, one row per period, newest first, with a column for each kind of hours, the Total, the Paid figure once the paid hours are loaded, and how many lines are still waiting for review (they are not counted yet). Open it for one employee from the three-dot menu on the Employees screen, or for a whole department from the department’s menu on Time Review; each screen links to the other. Pay #1 through #20 were loaded from the paid labor distribution, so for those periods Beacon’s hours are the paid hours.</w:t>
      </w:r>
    </w:p>
    <w:p>
      <w:pPr>
        <w:pStyle w:val="Heading2"/>
        <w:spacing w:after="120" w:before="240"/>
      </w:pPr>
      <w:r>
        <w:rPr>
          <w:rFonts w:ascii="Arial" w:cs="Arial" w:eastAsia="Arial" w:hAnsi="Arial"/>
          <w:color w:val="2E75B6"/>
          <w:sz w:val="24"/>
          <w:szCs w:val="24"/>
        </w:rPr>
        <w:t>Closing Out a Pay Period</w:t>
      </w:r>
    </w:p>
    <w:p>
      <w:pPr>
        <w:spacing w:after="160" w:line="276"/>
      </w:pPr>
      <w:r>
        <w:rPr>
          <w:rFonts w:ascii="Arial" w:cs="Arial" w:eastAsia="Arial" w:hAnsi="Arial"/>
          <w:sz w:val="22"/>
          <w:szCs w:val="22"/>
        </w:rPr>
        <w:t>After payroll is processed, Time Review &gt; Actions &gt; Close out this pay period lists the steps and shows what is done and what is waiting. Every step is safe to run again.</w:t>
      </w:r>
    </w:p>
    <w:p>
      <w:pPr>
        <w:spacing w:after="160" w:line="276"/>
      </w:pPr>
      <w:r>
        <w:rPr>
          <w:rFonts w:ascii="Arial" w:cs="Arial" w:eastAsia="Arial" w:hAnsi="Arial"/>
          <w:sz w:val="22"/>
          <w:szCs w:val="22"/>
        </w:rPr>
        <w:t>1. Hours are Final: approve every department, then Mark hours Final.  2. Close the pay period: hours stop landing in it.  3. Load the paid hours: on the payroll PC, double-click Close Out Pay Period.bat. It reads the labor distribution in the pay date's folder, checks it against the Checkwriters register, and sends hours only to Beacon. Pay never leaves the PC.  4. Tie out: Beacon's hours against the paid hours, with the departments that differ listed. Every line that differs gets one decision (below).  5. Actualize: it waits until every differing line has a decision, then one button applies them. The old figure stays in the edit history, a person paid with no Beacon hours gets a line, and Beacon hours that were not paid become 0 with a note.  6. File the reports in the Documents folders: either the Phoenix workbook's File Reports to Beacon Documents button has already posted each department's reports (press Reports Posted via Phoenix), or press File Reports Now Here and Beacon copies the pay date's department reports from the Accounting library into each department's HRPayroll folder (copy only, never overwriting a file that differs, never the all-department reports). Beacon records who and when.  7. Open the next pay period: one button, available once this period is closed.</w:t>
      </w:r>
    </w:p>
    <w:p>
      <w:pPr>
        <w:spacing w:after="160" w:line="276"/>
      </w:pPr>
      <w:r>
        <w:rPr>
          <w:rFonts w:ascii="Arial" w:cs="Arial" w:eastAsia="Arial" w:hAnsi="Arial"/>
          <w:sz w:val="22"/>
          <w:szCs w:val="22"/>
        </w:rPr>
        <w:t>A person whose total hours across all categories match the paid total is left as entered, for example Holiday or Sick hours that payroll paid as Regular. Nothing is changed for them: a note for review is added to each of their lines, the checklist counts them, and the Variance report shows them as 'Total matches, categories differ'. Only people whose total does not match are changed to the paid hours.</w:t>
      </w:r>
    </w:p>
    <w:p>
      <w:pPr>
        <w:spacing w:after="160" w:line="276"/>
      </w:pPr>
      <w:r>
        <w:rPr>
          <w:rFonts w:ascii="Arial" w:cs="Arial" w:eastAsia="Arial" w:hAnsi="Arial"/>
          <w:sz w:val="22"/>
          <w:szCs w:val="22"/>
        </w:rPr>
        <w:t>Settling a difference. On the Variance page every line that differs has a Decision, and each person's lines are drawn together in one box. Include in next period: Beacon has more hours than were paid and the extra hours will be paid in the next pay period, so this period takes the paid hours and the difference is added to that person's line in the next period, to be keyed there. Manual check / void-reissue: the difference was settled outside the regular payroll run, either a manual check for hours Beacon has that the register does not or, where Beacon has fewer hours than were paid and was right, a check that was voided and reissued. This period keeps its hours as entered, nothing is added to the next period (the hours are not keyed again in the next main payroll run), and the next period's tie-out expects the amount on its register (a plus for a manual check, a negative for a void and reissue). Beacon wrong: the paid hours are right and Beacon takes them. Include in next period fits only a line where Beacon has more hours than were paid. A decision can be set for one line or for all of a person's lines (this replaces what the lines already had), and the Undo button beside a decision takes it back. Beacon wrong for all remaining decides the rest. If the paid hours are loaded again and a difference changes, the decision has to be made again. After Actualize the decisions are locked, and every change is in the edit history. The next period's close-out page lists the hours carried in (to key) and the manual-check and void-reissue amounts (not to key). On the Checkwriters Excel those amounts have their own column, Manual check (do not key), outside the hours to key, and are added only into a Total hours column.</w:t>
      </w:r>
    </w:p>
    <w:p>
      <w:pPr>
        <w:spacing w:after="160" w:line="276"/>
      </w:pPr>
      <w:r>
        <w:rPr>
          <w:rFonts w:ascii="Arial" w:cs="Arial" w:eastAsia="Arial" w:hAnsi="Arial"/>
          <w:sz w:val="22"/>
          <w:szCs w:val="22"/>
        </w:rPr>
        <w:t>A switch on the same page lets Beacon match the paid hours on its own the moment they are loaded into a closed period. It is off until you turn it on, and it is set for each diocese. Turn it on when the paid hours have matched Beacon's several periods in a row.</w:t>
      </w:r>
    </w:p>
    <w:p>
      <w:pPr>
        <w:pStyle w:val="Heading2"/>
        <w:spacing w:after="120" w:before="240"/>
      </w:pPr>
      <w:r>
        <w:rPr>
          <w:rFonts w:ascii="Arial" w:cs="Arial" w:eastAsia="Arial" w:hAnsi="Arial"/>
          <w:color w:val="2E75B6"/>
          <w:sz w:val="24"/>
          <w:szCs w:val="24"/>
        </w:rPr>
        <w:t>Onboarding and Offboarding</w:t>
      </w:r>
    </w:p>
    <w:p>
      <w:pPr>
        <w:spacing w:after="160" w:line="276"/>
      </w:pPr>
      <w:r>
        <w:rPr>
          <w:rFonts w:ascii="Arial" w:cs="Arial" w:eastAsia="Arial" w:hAnsi="Arial"/>
          <w:sz w:val="22"/>
          <w:szCs w:val="22"/>
        </w:rPr>
        <w:t>Where the diocese uses it, HR &amp; Payroll has an Onboarding &amp; Offboarding board: every open case for a new hire or a departure, what is late and who it waits on. Open a case to see its checklist. Each step is one box: what the step is, who owns it and when it is due, a note box, and three buttons at the right: Waive, Not applicable and Done (Done last). Waive and Not applicable need a note saying why. Steps marked not applicable are hidden; Show not applicable items at the top brings them back. Person, Benefits coverage and History open as pop-ups so the checklist keeps the screen.</w:t>
      </w:r>
    </w:p>
    <w:p>
      <w:pPr>
        <w:spacing w:after="160" w:line="276"/>
      </w:pPr>
      <w:r>
        <w:rPr>
          <w:rFonts w:ascii="Arial" w:cs="Arial" w:eastAsia="Arial" w:hAnsi="Arial"/>
          <w:sz w:val="22"/>
          <w:szCs w:val="22"/>
        </w:rPr>
        <w:t>When a parish sends a new hire for benefits, it arrives here as a case waiting on the diocese. Closing an onboarding case as completed adds the person to the Employees roster; closing an offboarding case marks them inactive as of the last day.</w:t>
      </w:r>
    </w:p>
    <w:p>
      <w:pPr>
        <w:pStyle w:val="Heading2"/>
        <w:keepNext/>
        <w:spacing w:after="120" w:before="240"/>
      </w:pPr>
      <w:r>
        <w:rPr>
          <w:rFonts w:ascii="Arial" w:cs="Arial" w:eastAsia="Arial" w:hAnsi="Arial"/>
          <w:color w:val="2E75B6"/>
          <w:sz w:val="24"/>
          <w:szCs w:val="24"/>
        </w:rPr>
        <w:t xml:space="preserve">Where Everything Is</w:t>
      </w:r>
    </w:p>
    <w:p>
      <w:pPr>
        <w:keepNext/>
        <w:spacing w:after="160" w:line="276"/>
      </w:pPr>
      <w:r>
        <w:rPr>
          <w:rFonts w:ascii="Arial" w:cs="Arial" w:eastAsia="Arial" w:hAnsi="Arial"/>
          <w:sz w:val="22"/>
          <w:szCs w:val="22"/>
        </w:rPr>
        <w:t xml:space="preserve">Each screen is shown only to the people who need it.</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pct" w:w="30%"/>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Screen</w:t>
            </w:r>
          </w:p>
        </w:tc>
        <w:tc>
          <w:tcPr>
            <w:tcW w:type="pct" w:w="22%"/>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Who Can Use It</w:t>
            </w:r>
          </w:p>
        </w:tc>
        <w:tc>
          <w:tcPr>
            <w:tcW w:type="pct" w:w="48%"/>
            <w:shd w:fill="1F4E79" w:color="auto" w:val="clear"/>
            <w:tcMar>
              <w:top w:type="dxa" w:w="100"/>
              <w:left w:type="dxa" w:w="120"/>
              <w:bottom w:type="dxa" w:w="100"/>
              <w:right w:type="dxa" w:w="120"/>
            </w:tcMar>
          </w:tcPr>
          <w:p>
            <w:r>
              <w:rPr>
                <w:rFonts w:ascii="Arial" w:cs="Arial" w:eastAsia="Arial" w:hAnsi="Arial"/>
                <w:b/>
                <w:bCs/>
                <w:color w:val="FFFFFF"/>
                <w:sz w:val="20"/>
                <w:szCs w:val="20"/>
              </w:rPr>
              <w:t xml:space="preserve">What It Is For</w:t>
            </w:r>
          </w:p>
        </w:tc>
      </w:tr>
      <w:tr>
        <w:tc>
          <w:tcPr>
            <w:tcW w:type="pct" w:w="30%"/>
            <w:tcMar>
              <w:top w:type="dxa" w:w="90"/>
              <w:left w:type="dxa" w:w="120"/>
              <w:bottom w:type="dxa" w:w="90"/>
              <w:right w:type="dxa" w:w="120"/>
            </w:tcMar>
          </w:tcPr>
          <w:p>
            <w:r>
              <w:rPr>
                <w:rFonts w:ascii="Arial" w:cs="Arial" w:eastAsia="Arial" w:hAnsi="Arial"/>
                <w:b/>
                <w:bCs/>
                <w:sz w:val="20"/>
                <w:szCs w:val="20"/>
              </w:rPr>
              <w:t>HR &amp; Payroll (main menu)</w:t>
            </w:r>
          </w:p>
        </w:tc>
        <w:tc>
          <w:tcPr>
            <w:tcW w:type="pct" w:w="22%"/>
            <w:tcMar>
              <w:top w:type="dxa" w:w="90"/>
              <w:left w:type="dxa" w:w="120"/>
              <w:bottom w:type="dxa" w:w="90"/>
              <w:right w:type="dxa" w:w="120"/>
            </w:tcMar>
          </w:tcPr>
          <w:p>
            <w:r>
              <w:rPr>
                <w:rFonts w:ascii="Arial" w:cs="Arial" w:eastAsia="Arial" w:hAnsi="Arial"/>
                <w:b w:val="false"/>
                <w:bCs w:val="false"/>
                <w:sz w:val="20"/>
                <w:szCs w:val="20"/>
              </w:rPr>
              <w:t>HR Admins, Setup Admins and Beacon Admins</w:t>
            </w:r>
          </w:p>
        </w:tc>
        <w:tc>
          <w:tcPr>
            <w:tcW w:type="pct" w:w="48%"/>
            <w:tcMar>
              <w:top w:type="dxa" w:w="90"/>
              <w:left w:type="dxa" w:w="120"/>
              <w:bottom w:type="dxa" w:w="90"/>
              <w:right w:type="dxa" w:w="120"/>
            </w:tcMar>
          </w:tcPr>
          <w:p>
            <w:r>
              <w:rPr>
                <w:rFonts w:ascii="Arial" w:cs="Arial" w:eastAsia="Arial" w:hAnsi="Arial"/>
                <w:b w:val="false"/>
                <w:bCs w:val="false"/>
                <w:sz w:val="20"/>
                <w:szCs w:val="20"/>
              </w:rPr>
              <w:t>The menu for everything HR: Time Review, Roster Review, Onboarding &amp; Offboarding and the HR Administrative Tasks submenu.</w:t>
            </w:r>
          </w:p>
        </w:tc>
      </w:tr>
      <w:tr>
        <w:tc>
          <w:tcPr>
            <w:tcW w:type="pct" w:w="30%"/>
            <w:tcMar>
              <w:top w:type="dxa" w:w="90"/>
              <w:left w:type="dxa" w:w="120"/>
              <w:bottom w:type="dxa" w:w="90"/>
              <w:right w:type="dxa" w:w="120"/>
            </w:tcMar>
          </w:tcPr>
          <w:p>
            <w:r>
              <w:rPr>
                <w:rFonts w:ascii="Arial" w:cs="Arial" w:eastAsia="Arial" w:hAnsi="Arial"/>
                <w:b/>
                <w:bCs/>
                <w:sz w:val="20"/>
                <w:szCs w:val="20"/>
              </w:rPr>
              <w:t>Time Review (HR &amp; Payroll)</w:t>
            </w:r>
          </w:p>
        </w:tc>
        <w:tc>
          <w:tcPr>
            <w:tcW w:type="pct" w:w="22%"/>
            <w:tcMar>
              <w:top w:type="dxa" w:w="90"/>
              <w:left w:type="dxa" w:w="120"/>
              <w:bottom w:type="dxa" w:w="90"/>
              <w:right w:type="dxa" w:w="120"/>
            </w:tcMar>
          </w:tcPr>
          <w:p>
            <w:r>
              <w:rPr>
                <w:rFonts w:ascii="Arial" w:cs="Arial" w:eastAsia="Arial" w:hAnsi="Arial"/>
                <w:b w:val="false"/>
                <w:bCs w:val="false"/>
                <w:sz w:val="20"/>
                <w:szCs w:val="20"/>
              </w:rPr>
              <w:t xml:space="preserve">HR Admins and Beacon Admins</w:t>
            </w:r>
          </w:p>
        </w:tc>
        <w:tc>
          <w:tcPr>
            <w:tcW w:type="pct" w:w="48%"/>
            <w:tcMar>
              <w:top w:type="dxa" w:w="90"/>
              <w:left w:type="dxa" w:w="120"/>
              <w:bottom w:type="dxa" w:w="90"/>
              <w:right w:type="dxa" w:w="120"/>
            </w:tcMar>
          </w:tcPr>
          <w:p>
            <w:r>
              <w:rPr>
                <w:rFonts w:ascii="Arial" w:cs="Arial" w:eastAsia="Arial" w:hAnsi="Arial"/>
                <w:b w:val="false"/>
                <w:bCs w:val="false"/>
                <w:sz w:val="20"/>
                <w:szCs w:val="20"/>
              </w:rPr>
              <w:t>The checklist and the review for the period: hours and people named in emails, open and close it, Excel for Checkwriters, mark hours Final, Variance report.</w:t>
            </w:r>
          </w:p>
        </w:tc>
      </w:tr>
      <w:tr>
        <w:tc>
          <w:tcPr>
            <w:tcW w:type="pct" w:w="30%"/>
            <w:tcMar>
              <w:top w:type="dxa" w:w="90"/>
              <w:left w:type="dxa" w:w="120"/>
              <w:bottom w:type="dxa" w:w="90"/>
              <w:right w:type="dxa" w:w="120"/>
            </w:tcMar>
          </w:tcPr>
          <w:p>
            <w:r>
              <w:rPr>
                <w:rFonts w:ascii="Arial" w:cs="Arial" w:eastAsia="Arial" w:hAnsi="Arial"/>
                <w:b/>
                <w:bCs/>
                <w:sz w:val="20"/>
                <w:szCs w:val="20"/>
              </w:rPr>
              <w:t>Roster Review (HR &amp; Payroll)</w:t>
            </w:r>
          </w:p>
        </w:tc>
        <w:tc>
          <w:tcPr>
            <w:tcW w:type="pct" w:w="22%"/>
            <w:tcMar>
              <w:top w:type="dxa" w:w="90"/>
              <w:left w:type="dxa" w:w="120"/>
              <w:bottom w:type="dxa" w:w="90"/>
              <w:right w:type="dxa" w:w="120"/>
            </w:tcMar>
          </w:tcPr>
          <w:p>
            <w:r>
              <w:rPr>
                <w:rFonts w:ascii="Arial" w:cs="Arial" w:eastAsia="Arial" w:hAnsi="Arial"/>
                <w:b w:val="false"/>
                <w:bCs w:val="false"/>
                <w:sz w:val="20"/>
                <w:szCs w:val="20"/>
              </w:rPr>
              <w:t xml:space="preserve">HR Admins and Beacon Admins</w:t>
            </w:r>
          </w:p>
        </w:tc>
        <w:tc>
          <w:tcPr>
            <w:tcW w:type="pct" w:w="48%"/>
            <w:tcMar>
              <w:top w:type="dxa" w:w="90"/>
              <w:left w:type="dxa" w:w="120"/>
              <w:bottom w:type="dxa" w:w="90"/>
              <w:right w:type="dxa" w:w="120"/>
            </w:tcMar>
          </w:tcPr>
          <w:p>
            <w:r>
              <w:rPr>
                <w:rFonts w:ascii="Arial" w:cs="Arial" w:eastAsia="Arial" w:hAnsi="Arial"/>
                <w:b w:val="false"/>
                <w:bCs w:val="false"/>
                <w:sz w:val="20"/>
                <w:szCs w:val="20"/>
              </w:rPr>
              <w:t>Employee-list changes (new hires, departures, edits) waiting for a decision.</w:t>
            </w:r>
          </w:p>
        </w:tc>
      </w:tr>
      <w:tr>
        <w:tc>
          <w:tcPr>
            <w:tcW w:type="pct" w:w="30%"/>
            <w:tcMar>
              <w:top w:type="dxa" w:w="90"/>
              <w:left w:type="dxa" w:w="120"/>
              <w:bottom w:type="dxa" w:w="90"/>
              <w:right w:type="dxa" w:w="120"/>
            </w:tcMar>
          </w:tcPr>
          <w:p>
            <w:r>
              <w:rPr>
                <w:rFonts w:ascii="Arial" w:cs="Arial" w:eastAsia="Arial" w:hAnsi="Arial"/>
                <w:b/>
                <w:bCs/>
                <w:sz w:val="20"/>
                <w:szCs w:val="20"/>
              </w:rPr>
              <w:t>Onboarding &amp; Offboarding (HR &amp; Payroll)</w:t>
            </w:r>
          </w:p>
        </w:tc>
        <w:tc>
          <w:tcPr>
            <w:tcW w:type="pct" w:w="22%"/>
            <w:tcMar>
              <w:top w:type="dxa" w:w="90"/>
              <w:left w:type="dxa" w:w="120"/>
              <w:bottom w:type="dxa" w:w="90"/>
              <w:right w:type="dxa" w:w="120"/>
            </w:tcMar>
          </w:tcPr>
          <w:p>
            <w:r>
              <w:rPr>
                <w:rFonts w:ascii="Arial" w:cs="Arial" w:eastAsia="Arial" w:hAnsi="Arial"/>
                <w:b w:val="false"/>
                <w:bCs w:val="false"/>
                <w:sz w:val="20"/>
                <w:szCs w:val="20"/>
              </w:rPr>
              <w:t>HR Admins, Benefits Admins and Beacon Admins</w:t>
            </w:r>
          </w:p>
        </w:tc>
        <w:tc>
          <w:tcPr>
            <w:tcW w:type="pct" w:w="48%"/>
            <w:tcMar>
              <w:top w:type="dxa" w:w="90"/>
              <w:left w:type="dxa" w:w="120"/>
              <w:bottom w:type="dxa" w:w="90"/>
              <w:right w:type="dxa" w:w="120"/>
            </w:tcMar>
          </w:tcPr>
          <w:p>
            <w:r>
              <w:rPr>
                <w:rFonts w:ascii="Arial" w:cs="Arial" w:eastAsia="Arial" w:hAnsi="Arial"/>
                <w:b w:val="false"/>
                <w:bCs w:val="false"/>
                <w:sz w:val="20"/>
                <w:szCs w:val="20"/>
              </w:rPr>
              <w:t>The board of open new-hire and departure cases, each with its checklist; shown only where the diocese uses it.</w:t>
            </w:r>
          </w:p>
        </w:tc>
      </w:tr>
      <w:tr>
        <w:tc>
          <w:tcPr>
            <w:tcW w:type="pct" w:w="30%"/>
            <w:tcMar>
              <w:top w:type="dxa" w:w="90"/>
              <w:left w:type="dxa" w:w="120"/>
              <w:bottom w:type="dxa" w:w="90"/>
              <w:right w:type="dxa" w:w="120"/>
            </w:tcMar>
          </w:tcPr>
          <w:p>
            <w:r>
              <w:rPr>
                <w:rFonts w:ascii="Arial" w:cs="Arial" w:eastAsia="Arial" w:hAnsi="Arial"/>
                <w:b/>
                <w:bCs/>
                <w:sz w:val="20"/>
                <w:szCs w:val="20"/>
              </w:rPr>
              <w:t>Employees (HR Administrative Tasks)</w:t>
            </w:r>
          </w:p>
        </w:tc>
        <w:tc>
          <w:tcPr>
            <w:tcW w:type="pct" w:w="22%"/>
            <w:tcMar>
              <w:top w:type="dxa" w:w="90"/>
              <w:left w:type="dxa" w:w="120"/>
              <w:bottom w:type="dxa" w:w="90"/>
              <w:right w:type="dxa" w:w="120"/>
            </w:tcMar>
          </w:tcPr>
          <w:p>
            <w:r>
              <w:rPr>
                <w:rFonts w:ascii="Arial" w:cs="Arial" w:eastAsia="Arial" w:hAnsi="Arial"/>
                <w:b w:val="false"/>
                <w:bCs w:val="false"/>
                <w:sz w:val="20"/>
                <w:szCs w:val="20"/>
              </w:rPr>
              <w:t xml:space="preserve">HR Admins and Beacon Admins</w:t>
            </w:r>
          </w:p>
        </w:tc>
        <w:tc>
          <w:tcPr>
            <w:tcW w:type="pct" w:w="48%"/>
            <w:tcMar>
              <w:top w:type="dxa" w:w="90"/>
              <w:left w:type="dxa" w:w="120"/>
              <w:bottom w:type="dxa" w:w="90"/>
              <w:right w:type="dxa" w:w="120"/>
            </w:tcMar>
          </w:tcPr>
          <w:p>
            <w:r>
              <w:rPr>
                <w:rFonts w:ascii="Arial" w:cs="Arial" w:eastAsia="Arial" w:hAnsi="Arial"/>
                <w:b w:val="false"/>
                <w:bCs w:val="false"/>
                <w:sz w:val="20"/>
                <w:szCs w:val="20"/>
              </w:rPr>
              <w:t>Add, edit and deactivate employees at any parish, set who reports hours and any standing hours, and open an employee’s hours history.</w:t>
            </w:r>
          </w:p>
        </w:tc>
      </w:tr>
      <w:tr>
        <w:tc>
          <w:tcPr>
            <w:tcW w:type="pct" w:w="30%"/>
            <w:tcMar>
              <w:top w:type="dxa" w:w="90"/>
              <w:left w:type="dxa" w:w="120"/>
              <w:bottom w:type="dxa" w:w="90"/>
              <w:right w:type="dxa" w:w="120"/>
            </w:tcMar>
          </w:tcPr>
          <w:p>
            <w:r>
              <w:rPr>
                <w:rFonts w:ascii="Arial" w:cs="Arial" w:eastAsia="Arial" w:hAnsi="Arial"/>
                <w:b/>
                <w:bCs/>
                <w:sz w:val="20"/>
                <w:szCs w:val="20"/>
              </w:rPr>
              <w:t>Hours history (Time Review and Employees menus)</w:t>
            </w:r>
          </w:p>
        </w:tc>
        <w:tc>
          <w:tcPr>
            <w:tcW w:type="pct" w:w="22%"/>
            <w:tcMar>
              <w:top w:type="dxa" w:w="90"/>
              <w:left w:type="dxa" w:w="120"/>
              <w:bottom w:type="dxa" w:w="90"/>
              <w:right w:type="dxa" w:w="120"/>
            </w:tcMar>
          </w:tcPr>
          <w:p>
            <w:r>
              <w:rPr>
                <w:rFonts w:ascii="Arial" w:cs="Arial" w:eastAsia="Arial" w:hAnsi="Arial"/>
                <w:b w:val="false"/>
                <w:bCs w:val="false"/>
                <w:sz w:val="20"/>
                <w:szCs w:val="20"/>
              </w:rPr>
              <w:t>HR Admins and Beacon Admins</w:t>
            </w:r>
          </w:p>
        </w:tc>
        <w:tc>
          <w:tcPr>
            <w:tcW w:type="pct" w:w="48%"/>
            <w:tcMar>
              <w:top w:type="dxa" w:w="90"/>
              <w:left w:type="dxa" w:w="120"/>
              <w:bottom w:type="dxa" w:w="90"/>
              <w:right w:type="dxa" w:w="120"/>
            </w:tcMar>
          </w:tcPr>
          <w:p>
            <w:r>
              <w:rPr>
                <w:rFonts w:ascii="Arial" w:cs="Arial" w:eastAsia="Arial" w:hAnsi="Arial"/>
                <w:b w:val="false"/>
                <w:bCs w:val="false"/>
                <w:sz w:val="20"/>
                <w:szCs w:val="20"/>
              </w:rPr>
              <w:t>One row per pay period with the hours of each kind, the total and the paid figure, for one employee or one department.</w:t>
            </w:r>
          </w:p>
        </w:tc>
      </w:tr>
      <w:tr>
        <w:tc>
          <w:tcPr>
            <w:tcW w:type="pct" w:w="30%"/>
            <w:tcMar>
              <w:top w:type="dxa" w:w="90"/>
              <w:left w:type="dxa" w:w="120"/>
              <w:bottom w:type="dxa" w:w="90"/>
              <w:right w:type="dxa" w:w="120"/>
            </w:tcMar>
          </w:tcPr>
          <w:p>
            <w:r>
              <w:rPr>
                <w:rFonts w:ascii="Arial" w:cs="Arial" w:eastAsia="Arial" w:hAnsi="Arial"/>
                <w:b/>
                <w:bCs/>
                <w:sz w:val="20"/>
                <w:szCs w:val="20"/>
              </w:rPr>
              <w:t>Payroll Periods (HR Administrative Tasks)</w:t>
            </w:r>
          </w:p>
        </w:tc>
        <w:tc>
          <w:tcPr>
            <w:tcW w:type="pct" w:w="22%"/>
            <w:tcMar>
              <w:top w:type="dxa" w:w="90"/>
              <w:left w:type="dxa" w:w="120"/>
              <w:bottom w:type="dxa" w:w="90"/>
              <w:right w:type="dxa" w:w="120"/>
            </w:tcMar>
          </w:tcPr>
          <w:p>
            <w:r>
              <w:rPr>
                <w:rFonts w:ascii="Arial" w:cs="Arial" w:eastAsia="Arial" w:hAnsi="Arial"/>
                <w:b w:val="false"/>
                <w:bCs w:val="false"/>
                <w:sz w:val="20"/>
                <w:szCs w:val="20"/>
              </w:rPr>
              <w:t xml:space="preserve">HR Admins, Setup Admins and Beacon Admins</w:t>
            </w:r>
          </w:p>
        </w:tc>
        <w:tc>
          <w:tcPr>
            <w:tcW w:type="pct" w:w="48%"/>
            <w:tcMar>
              <w:top w:type="dxa" w:w="90"/>
              <w:left w:type="dxa" w:w="120"/>
              <w:bottom w:type="dxa" w:w="90"/>
              <w:right w:type="dxa" w:w="120"/>
            </w:tcMar>
          </w:tcPr>
          <w:p>
            <w:r>
              <w:rPr>
                <w:rFonts w:ascii="Arial" w:cs="Arial" w:eastAsia="Arial" w:hAnsi="Arial"/>
                <w:b w:val="false"/>
                <w:bCs w:val="false"/>
                <w:sz w:val="20"/>
                <w:szCs w:val="20"/>
              </w:rPr>
              <w:t xml:space="preserve">The calendar: each period’s dates, submission deadline and pay date.</w:t>
            </w:r>
          </w:p>
        </w:tc>
      </w:tr>
      <w:tr>
        <w:tc>
          <w:tcPr>
            <w:tcW w:type="pct" w:w="30%"/>
            <w:tcMar>
              <w:top w:type="dxa" w:w="90"/>
              <w:left w:type="dxa" w:w="120"/>
              <w:bottom w:type="dxa" w:w="90"/>
              <w:right w:type="dxa" w:w="120"/>
            </w:tcMar>
          </w:tcPr>
          <w:p>
            <w:r>
              <w:rPr>
                <w:rFonts w:ascii="Arial" w:cs="Arial" w:eastAsia="Arial" w:hAnsi="Arial"/>
                <w:b/>
                <w:bCs/>
                <w:sz w:val="20"/>
                <w:szCs w:val="20"/>
              </w:rPr>
              <w:t>Time Categories (HR Administrative Tasks)</w:t>
            </w:r>
          </w:p>
        </w:tc>
        <w:tc>
          <w:tcPr>
            <w:tcW w:type="pct" w:w="22%"/>
            <w:tcMar>
              <w:top w:type="dxa" w:w="90"/>
              <w:left w:type="dxa" w:w="120"/>
              <w:bottom w:type="dxa" w:w="90"/>
              <w:right w:type="dxa" w:w="120"/>
            </w:tcMar>
          </w:tcPr>
          <w:p>
            <w:r>
              <w:rPr>
                <w:rFonts w:ascii="Arial" w:cs="Arial" w:eastAsia="Arial" w:hAnsi="Arial"/>
                <w:b w:val="false"/>
                <w:bCs w:val="false"/>
                <w:sz w:val="20"/>
                <w:szCs w:val="20"/>
              </w:rPr>
              <w:t xml:space="preserve">HR Admins, Setup Admins and Beacon Admins</w:t>
            </w:r>
          </w:p>
        </w:tc>
        <w:tc>
          <w:tcPr>
            <w:tcW w:type="pct" w:w="48%"/>
            <w:tcMar>
              <w:top w:type="dxa" w:w="90"/>
              <w:left w:type="dxa" w:w="120"/>
              <w:bottom w:type="dxa" w:w="90"/>
              <w:right w:type="dxa" w:w="120"/>
            </w:tcMar>
          </w:tcPr>
          <w:p>
            <w:r>
              <w:rPr>
                <w:rFonts w:ascii="Arial" w:cs="Arial" w:eastAsia="Arial" w:hAnsi="Arial"/>
                <w:b w:val="false"/>
                <w:bCs w:val="false"/>
                <w:sz w:val="20"/>
                <w:szCs w:val="20"/>
              </w:rPr>
              <w:t xml:space="preserve">The kinds of hours: regular, overtime, holiday, sick, vacation.</w:t>
            </w:r>
          </w:p>
        </w:tc>
      </w:tr>
      <w:tr>
        <w:tc>
          <w:tcPr>
            <w:tcW w:type="pct" w:w="30%"/>
            <w:tcMar>
              <w:top w:type="dxa" w:w="90"/>
              <w:left w:type="dxa" w:w="120"/>
              <w:bottom w:type="dxa" w:w="90"/>
              <w:right w:type="dxa" w:w="120"/>
            </w:tcMar>
          </w:tcPr>
          <w:p>
            <w:r>
              <w:rPr>
                <w:rFonts w:ascii="Arial" w:cs="Arial" w:eastAsia="Arial" w:hAnsi="Arial"/>
                <w:b/>
                <w:bCs/>
                <w:sz w:val="20"/>
                <w:szCs w:val="20"/>
              </w:rPr>
              <w:t>HR Activation (HR Administrative Tasks)</w:t>
            </w:r>
          </w:p>
        </w:tc>
        <w:tc>
          <w:tcPr>
            <w:tcW w:type="pct" w:w="22%"/>
            <w:tcMar>
              <w:top w:type="dxa" w:w="90"/>
              <w:left w:type="dxa" w:w="120"/>
              <w:bottom w:type="dxa" w:w="90"/>
              <w:right w:type="dxa" w:w="120"/>
            </w:tcMar>
          </w:tcPr>
          <w:p>
            <w:r>
              <w:rPr>
                <w:rFonts w:ascii="Arial" w:cs="Arial" w:eastAsia="Arial" w:hAnsi="Arial"/>
                <w:b w:val="false"/>
                <w:bCs w:val="false"/>
                <w:sz w:val="20"/>
                <w:szCs w:val="20"/>
              </w:rPr>
              <w:t xml:space="preserve">Setup Admins and Beacon Admins</w:t>
            </w:r>
          </w:p>
        </w:tc>
        <w:tc>
          <w:tcPr>
            <w:tcW w:type="pct" w:w="48%"/>
            <w:tcMar>
              <w:top w:type="dxa" w:w="90"/>
              <w:left w:type="dxa" w:w="120"/>
              <w:bottom w:type="dxa" w:w="90"/>
              <w:right w:type="dxa" w:w="120"/>
            </w:tcMar>
          </w:tcPr>
          <w:p>
            <w:r>
              <w:rPr>
                <w:rFonts w:ascii="Arial" w:cs="Arial" w:eastAsia="Arial" w:hAnsi="Arial"/>
                <w:b w:val="false"/>
                <w:bCs w:val="false"/>
                <w:sz w:val="20"/>
                <w:szCs w:val="20"/>
              </w:rPr>
              <w:t xml:space="preserve">Which parishes have timekeeping turned on.</w:t>
            </w:r>
          </w:p>
        </w:tc>
      </w:tr>
      <w:tr>
        <w:tc>
          <w:tcPr>
            <w:tcW w:type="pct" w:w="30%"/>
            <w:tcMar>
              <w:top w:type="dxa" w:w="90"/>
              <w:left w:type="dxa" w:w="120"/>
              <w:bottom w:type="dxa" w:w="90"/>
              <w:right w:type="dxa" w:w="120"/>
            </w:tcMar>
          </w:tcPr>
          <w:p>
            <w:r>
              <w:rPr>
                <w:rFonts w:ascii="Arial" w:cs="Arial" w:eastAsia="Arial" w:hAnsi="Arial"/>
                <w:b/>
                <w:bCs/>
                <w:sz w:val="20"/>
                <w:szCs w:val="20"/>
              </w:rPr>
              <w:t>HR &amp; Payroll (Parish Mode)</w:t>
            </w:r>
          </w:p>
        </w:tc>
        <w:tc>
          <w:tcPr>
            <w:tcW w:type="pct" w:w="22%"/>
            <w:tcMar>
              <w:top w:type="dxa" w:w="90"/>
              <w:left w:type="dxa" w:w="120"/>
              <w:bottom w:type="dxa" w:w="90"/>
              <w:right w:type="dxa" w:w="120"/>
            </w:tcMar>
          </w:tcPr>
          <w:p>
            <w:r>
              <w:rPr>
                <w:rFonts w:ascii="Arial" w:cs="Arial" w:eastAsia="Arial" w:hAnsi="Arial"/>
                <w:b w:val="false"/>
                <w:bCs w:val="false"/>
                <w:sz w:val="20"/>
                <w:szCs w:val="20"/>
              </w:rPr>
              <w:t>Timekeeping, Parish Finance and Parish Admin (at the diocese: HR Admin)</w:t>
            </w:r>
          </w:p>
        </w:tc>
        <w:tc>
          <w:tcPr>
            <w:tcW w:type="pct" w:w="48%"/>
            <w:tcMar>
              <w:top w:type="dxa" w:w="90"/>
              <w:left w:type="dxa" w:w="120"/>
              <w:bottom w:type="dxa" w:w="90"/>
              <w:right w:type="dxa" w:w="120"/>
            </w:tcMar>
          </w:tcPr>
          <w:p>
            <w:r>
              <w:rPr>
                <w:rFonts w:ascii="Arial" w:cs="Arial" w:eastAsia="Arial" w:hAnsi="Arial"/>
                <w:b w:val="false"/>
                <w:bCs w:val="false"/>
                <w:sz w:val="20"/>
                <w:szCs w:val="20"/>
              </w:rPr>
              <w:t>One tile on Parish Home, shown only when you have something to open. Staff: see the roster and propose employee-list changes. Timekeeping: enter and submit hours, and see the hours the diocese received.</w:t>
            </w:r>
          </w:p>
        </w:tc>
      </w:tr>
    </w:tbl>
    <w:p>
      <w:pPr>
        <w:spacing w:after="200"/>
      </w:pPr>
    </w:p>
    <w:tbl>
      <w:tblPr>
        <w:tblW w:type="pct" w:w="100%"/>
        <w:tblBorders>
          <w:top w:val="single" w:color="F0A500" w:sz="12"/>
          <w:left w:val="single" w:color="F0A500" w:sz="12"/>
          <w:bottom w:val="single" w:color="F0A500" w:sz="12"/>
          <w:right w:val="single" w:color="F0A500" w:sz="12"/>
          <w:insideH w:val="none" w:color="FFFFFF" w:sz="0"/>
          <w:insideV w:val="none" w:color="FFFFFF" w:sz="0"/>
        </w:tblBorders>
      </w:tblPr>
      <w:tblGrid>
        <w:gridCol w:w="100"/>
      </w:tblGrid>
      <w:tr>
        <w:tc>
          <w:tcPr>
            <w:shd w:fill="FFF2CC" w:color="auto" w:val="clear"/>
            <w:tcMar>
              <w:top w:type="dxa" w:w="160"/>
              <w:left w:type="dxa" w:w="200"/>
              <w:bottom w:type="dxa" w:w="160"/>
              <w:right w:type="dxa" w:w="200"/>
            </w:tcMar>
          </w:tcPr>
          <w:p>
            <w:pPr>
              <w:spacing w:after="60"/>
            </w:pPr>
            <w:r>
              <w:rPr>
                <w:rFonts w:ascii="Arial" w:cs="Arial" w:eastAsia="Arial" w:hAnsi="Arial"/>
                <w:b/>
                <w:bCs/>
                <w:color w:val="1F4E79"/>
                <w:sz w:val="22"/>
                <w:szCs w:val="22"/>
              </w:rPr>
              <w:t xml:space="preserve">What Timekeeping Does Not Do</w:t>
            </w:r>
          </w:p>
          <w:p>
            <w:r>
              <w:rPr>
                <w:rFonts w:ascii="Arial" w:cs="Arial" w:eastAsia="Arial" w:hAnsi="Arial"/>
                <w:sz w:val="22"/>
                <w:szCs w:val="22"/>
              </w:rPr>
              <w:t xml:space="preserve">Beacon holds hours only: it never stores or shows pay, and it never changes Checkwriters or the paid register. The email reader never overwrites hours a person has confirmed, never records into a closed period, and never changes an employee list by itself; new hires and departures wait for approval. Each email is handled once, so running the reader again does not double anything.</w:t>
            </w:r>
          </w:p>
        </w:tc>
      </w:tr>
    </w:tbl>
    <w:p>
      <w:pPr>
        <w:spacing w:after="200"/>
      </w:pPr>
    </w:p>
    <w:p>
      <w:pPr>
        <w:pStyle w:val="Heading1"/>
        <w:spacing w:after="160" w:before="360"/>
      </w:pPr>
      <w:r>
        <w:rPr>
          <w:rFonts w:ascii="Arial" w:cs="Arial" w:eastAsia="Arial" w:hAnsi="Arial"/>
          <w:b/>
          <w:bCs/>
          <w:color w:val="1F4E79"/>
          <w:sz w:val="28"/>
          <w:szCs w:val="28"/>
        </w:rPr>
        <w:t>11.  Neighborhood and Sustainability Reviews</w:t>
      </w:r>
    </w:p>
    <w:p>
      <w:pPr>
        <w:spacing w:after="160" w:line="276"/>
      </w:pPr>
      <w:r>
        <w:rPr>
          <w:rFonts w:ascii="Arial" w:cs="Arial" w:eastAsia="Arial" w:hAnsi="Arial"/>
          <w:sz w:val="22"/>
          <w:szCs w:val="22"/>
        </w:rPr>
        <w:t>Beacon gives parishes and the diocese two views that put numbers beside the questions a parish is already asking: who lives around our church, and what does a priest cost us? They are information to start a conversation. Nothing on them is a grade, and higher is never called better or worse.</w:t>
      </w:r>
    </w:p>
    <w:p>
      <w:pPr>
        <w:pStyle w:val="Heading2"/>
        <w:spacing w:after="120" w:before="240"/>
      </w:pPr>
      <w:r>
        <w:rPr>
          <w:rFonts w:ascii="Arial" w:cs="Arial" w:eastAsia="Arial" w:hAnsi="Arial"/>
          <w:color w:val="2E75B6"/>
          <w:sz w:val="24"/>
          <w:szCs w:val="24"/>
        </w:rPr>
        <w:t>For a Parish: Resources for Parishes</w:t>
      </w:r>
    </w:p>
    <w:p>
      <w:pPr>
        <w:spacing w:after="160" w:line="276"/>
      </w:pPr>
      <w:r>
        <w:rPr>
          <w:rFonts w:ascii="Arial" w:cs="Arial" w:eastAsia="Arial" w:hAnsi="Arial"/>
          <w:sz w:val="22"/>
          <w:szCs w:val="22"/>
        </w:rPr>
        <w:t>Parish Home has one Resources for Parishes tile. It opens a short menu: Neighborhood View, Parish Sustainability Review, and the Resource Document Archive (the shared diocese-wide library). A tile appears only for the people who may use it.</w:t>
      </w:r>
    </w:p>
    <w:p>
      <w:pPr>
        <w:pStyle w:val="Heading2"/>
        <w:spacing w:after="120" w:before="240"/>
      </w:pPr>
      <w:r>
        <w:rPr>
          <w:rFonts w:ascii="Arial" w:cs="Arial" w:eastAsia="Arial" w:hAnsi="Arial"/>
          <w:color w:val="2E75B6"/>
          <w:sz w:val="24"/>
          <w:szCs w:val="24"/>
        </w:rPr>
        <w:t>Neighborhood View</w:t>
      </w:r>
    </w:p>
    <w:p>
      <w:pPr>
        <w:spacing w:after="160" w:line="276"/>
      </w:pPr>
      <w:r>
        <w:rPr>
          <w:rFonts w:ascii="Arial" w:cs="Arial" w:eastAsia="Arial" w:hAnsi="Arial"/>
          <w:sz w:val="22"/>
          <w:szCs w:val="22"/>
        </w:rPr>
        <w:t>Neighborhood View shows who lives within a 7 or 15 minute drive of the church, from public Census data. It opens on the Story tab: what stands out, a few key numbers, how the people in the pews compare with the people around the church (average age, the share who are white, and people), and the charts behind it. The Report tab is a one-page picture that prints on a single landscape page, and All details lists every number with its source. A switch compares the area with the U.S., the state or the county. A number the Census is unsure about says "use caution".</w:t>
      </w:r>
    </w:p>
    <w:p>
      <w:pPr>
        <w:spacing w:after="160" w:line="276"/>
      </w:pPr>
      <w:r>
        <w:rPr>
          <w:rFonts w:ascii="Arial" w:cs="Arial" w:eastAsia="Arial" w:hAnsi="Arial"/>
          <w:sz w:val="22"/>
          <w:szCs w:val="22"/>
        </w:rPr>
        <w:t>The page appears for a parish whose church location has been confirmed. If the parish left its age or race questions blank on its report, the page says Not reported and never shows a zero.</w:t>
      </w:r>
    </w:p>
    <w:p>
      <w:pPr>
        <w:pStyle w:val="Heading2"/>
        <w:spacing w:after="120" w:before="240"/>
      </w:pPr>
      <w:r>
        <w:rPr>
          <w:rFonts w:ascii="Arial" w:cs="Arial" w:eastAsia="Arial" w:hAnsi="Arial"/>
          <w:color w:val="2E75B6"/>
          <w:sz w:val="24"/>
          <w:szCs w:val="24"/>
        </w:rPr>
        <w:t>Parish Sustainability Review</w:t>
      </w:r>
    </w:p>
    <w:p>
      <w:pPr>
        <w:spacing w:after="160" w:line="276"/>
      </w:pPr>
      <w:r>
        <w:rPr>
          <w:rFonts w:ascii="Arial" w:cs="Arial" w:eastAsia="Arial" w:hAnsi="Arial"/>
          <w:sz w:val="22"/>
          <w:szCs w:val="22"/>
        </w:rPr>
        <w:t>The Parish Sustainability Review shows ten years of the parish's own parochial report numbers: Sunday attendance and members, plate and pledge in today's dollars, the number of pledges, and total revenue against total expenses. Under it, "Can we afford a priest?" projects the next five years from the latest report using the diocese's rates, with switches for the questions a vestry asks. A leader can save a scenario by name and load it again.</w:t>
      </w:r>
    </w:p>
    <w:p>
      <w:pPr>
        <w:spacing w:after="160" w:line="276"/>
      </w:pPr>
      <w:r>
        <w:rPr>
          <w:rFonts w:ascii="Arial" w:cs="Arial" w:eastAsia="Arial" w:hAnsi="Arial"/>
          <w:sz w:val="22"/>
          <w:szCs w:val="22"/>
        </w:rPr>
        <w:t>Only the people who already see the parish's Finance section can open it. A parish with fewer than 10 pledges never shows its amount pledged or its average pledge, to every viewer, so no one can work out a household's gift.</w:t>
      </w:r>
    </w:p>
    <w:p>
      <w:pPr>
        <w:pStyle w:val="Heading2"/>
        <w:spacing w:after="120" w:before="240"/>
      </w:pPr>
      <w:r>
        <w:rPr>
          <w:rFonts w:ascii="Arial" w:cs="Arial" w:eastAsia="Arial" w:hAnsi="Arial"/>
          <w:color w:val="2E75B6"/>
          <w:sz w:val="24"/>
          <w:szCs w:val="24"/>
        </w:rPr>
        <w:t>For Diocesan Staff: Congregational Vitality</w:t>
      </w:r>
    </w:p>
    <w:p>
      <w:pPr>
        <w:spacing w:after="160" w:line="276"/>
      </w:pPr>
      <w:r>
        <w:rPr>
          <w:rFonts w:ascii="Arial" w:cs="Arial" w:eastAsia="Arial" w:hAnsi="Arial"/>
          <w:sz w:val="22"/>
          <w:szCs w:val="22"/>
        </w:rPr>
        <w:t>Beacon Admins and Setup Admins see a Congregational Vitality button on the diocese's portal. It opens three things.</w:t>
      </w:r>
      <w:r>
        <w:rPr>
          <w:rFonts w:ascii="Arial" w:cs="Arial" w:eastAsia="Arial" w:hAnsi="Arial"/>
          <w:sz w:val="22"/>
          <w:szCs w:val="22"/>
        </w:rPr>
        <w:t xml:space="preserve"> These parish features (this button, Parish Mode, Parish Requests and the Parish group of Administrative Tasks) exist only in an entity that has parishes, such as a diocese; an entity without parishes, such as Claggett Center, does not have them. A Setup Admin turns them on or off for an entity under Setup Tables &gt; Entities &amp; Global Approvers &gt; Diocese Features ("Parish functions"); a new entity starts with them off.</w:t>
      </w:r>
    </w:p>
    <w:p>
      <w:pPr>
        <w:spacing w:after="160" w:line="276"/>
      </w:pPr>
      <w:r>
        <w:rPr>
          <w:rFonts w:ascii="Arial" w:cs="Arial" w:eastAsia="Arial" w:hAnsi="Arial"/>
          <w:sz w:val="22"/>
          <w:szCs w:val="22"/>
        </w:rPr>
        <w:t>Neighborhood Review has one row per parish with eight neighborhood measures, shaded where a parish's area is clearly higher or lower than the state, county or U.S., and the one thing that stands out most. Switch the drive time or the comparison, and click a column heading to sort. A parish with no confirmed church location says so on its row.</w:t>
      </w:r>
    </w:p>
    <w:p>
      <w:pPr>
        <w:spacing w:after="160" w:line="276"/>
      </w:pPr>
      <w:r>
        <w:rPr>
          <w:rFonts w:ascii="Arial" w:cs="Arial" w:eastAsia="Arial" w:hAnsi="Arial"/>
          <w:sz w:val="22"/>
          <w:szCs w:val="22"/>
        </w:rPr>
        <w:t>Parish Sustainability Review has one row per parish: Sunday attendance with a ten-year line, deficit years in the last five, cash and reserves, how long the reserves last with a priest at a test salary, and whether a priest is affordable (no gap in the final year, or reserves that last 10 years or more). The diocese's pay guideline has not been loaded yet, so type a test salary above the list to see every parish at that salary.</w:t>
      </w:r>
    </w:p>
    <w:p>
      <w:pPr>
        <w:spacing w:after="160" w:line="276"/>
      </w:pPr>
      <w:r>
        <w:rPr>
          <w:rFonts w:ascii="Arial" w:cs="Arial" w:eastAsia="Arial" w:hAnsi="Arial"/>
          <w:sz w:val="22"/>
          <w:szCs w:val="22"/>
        </w:rPr>
        <w:t>Projection defaults is where staff set the rates, safe draw rate and health insurance that every parish's calculator starts from. Clicking a parish's name in either list opens that parish's own page in a diocesan view, with the same numbers the parish sees and a Spreadsheet mode for checking the diocese's old workbook.</w:t>
      </w:r>
    </w:p>
    <w:p>
      <w:pPr>
        <w:pStyle w:val="Heading2"/>
        <w:spacing w:after="120" w:before="240"/>
      </w:pPr>
      <w:r>
        <w:rPr>
          <w:rFonts w:ascii="Arial" w:cs="Arial" w:eastAsia="Arial" w:hAnsi="Arial"/>
          <w:color w:val="2E75B6"/>
          <w:sz w:val="24"/>
          <w:szCs w:val="24"/>
        </w:rPr>
        <w:t>What These Views Do Not Do</w:t>
      </w:r>
    </w:p>
    <w:p>
      <w:pPr>
        <w:spacing w:after="160" w:line="276"/>
      </w:pPr>
      <w:r>
        <w:rPr>
          <w:rFonts w:ascii="Arial" w:cs="Arial" w:eastAsia="Arial" w:hAnsi="Arial"/>
          <w:sz w:val="22"/>
          <w:szCs w:val="22"/>
        </w:rPr>
        <w:t>They never show one parish's giving to another parish. They do not rank parishes or tell anyone what to do. The neighborhood numbers are Census estimates for everyone living nearby, not the parish's members, and the parish numbers are the parish's own report.</w:t>
      </w:r>
    </w:p>
    <w:p>
      <w:pPr>
        <w:pStyle w:val="Heading1"/>
        <w:spacing w:after="160" w:before="360"/>
      </w:pPr>
      <w:r>
        <w:rPr>
          <w:rFonts w:ascii="Arial" w:cs="Arial" w:eastAsia="Arial" w:hAnsi="Arial"/>
          <w:b/>
          <w:bCs/>
          <w:color w:val="1F4E79"/>
          <w:sz w:val="28"/>
          <w:szCs w:val="28"/>
        </w:rPr>
        <w:t xml:space="preserve">12.  Giving Statements</w:t>
      </w:r>
    </w:p>
    <w:p>
      <w:pPr>
        <w:spacing w:after="160" w:line="276"/>
      </w:pPr>
      <w:r>
        <w:rPr>
          <w:rFonts w:ascii="Arial" w:cs="Arial" w:eastAsia="Arial" w:hAnsi="Arial"/>
          <w:sz w:val="22"/>
          <w:szCs w:val="22"/>
        </w:rPr>
        <w:t xml:space="preserve">Beacon builds the year-end giving statement a parish gives each donor for their taxes. It lives under People &amp; Giving, on the Statements screen, for the people who hold the parish's Finance or Finance Supervisor role, and it is switched on parish by parish. Beacon never sends a statement to anyone: it builds the files, and the parish office prints or sends them. A one-page quick guide opens from the beacon icon beside the screen's title.</w:t>
      </w:r>
    </w:p>
    <w:p>
      <w:pPr>
        <w:pStyle w:val="Heading2"/>
        <w:spacing w:after="120" w:before="240"/>
      </w:pPr>
      <w:r>
        <w:rPr>
          <w:rFonts w:ascii="Arial" w:cs="Arial" w:eastAsia="Arial" w:hAnsi="Arial"/>
          <w:color w:val="2E75B6"/>
          <w:sz w:val="24"/>
          <w:szCs w:val="24"/>
        </w:rPr>
        <w:t xml:space="preserve">Setting Up a Parish</w:t>
      </w:r>
    </w:p>
    <w:p>
      <w:pPr>
        <w:spacing w:after="160" w:line="276"/>
      </w:pPr>
      <w:r>
        <w:rPr>
          <w:rFonts w:ascii="Arial" w:cs="Arial" w:eastAsia="Arial" w:hAnsi="Arial"/>
          <w:sz w:val="22"/>
          <w:szCs w:val="22"/>
        </w:rPr>
        <w:t xml:space="preserve">Each parish keeps a statement profile: its legal name, tax ID, address, the signer and the signer's title, a contact email, and whether to print its logo. Beacon fills the boxes from what it already holds, then Finance checks every one and confirms the profile. Nothing can be built for real donors until the profile is confirmed, and changing a confirmed profile takes the confirmation away until it is confirmed again.</w:t>
      </w:r>
    </w:p>
    <w:p>
      <w:pPr>
        <w:spacing w:after="160" w:line="276"/>
      </w:pPr>
      <w:r>
        <w:rPr>
          <w:rFonts w:ascii="Arial" w:cs="Arial" w:eastAsia="Arial" w:hAnsi="Arial"/>
          <w:sz w:val="22"/>
          <w:szCs w:val="22"/>
        </w:rPr>
        <w:t xml:space="preserve">A few settings follow: a minimum year total, whether to still build a statement for a donor with no mailing address, a separate not-tax-deductible section, check numbers, and whether members may get their own statement online. The wording comes from a template. Each parish has one default, a copy of Cornerstone's Standard template that Beacon makes the first time it is needed. A parish that wants different wording copies a Cornerstone template and edits its own copy. Every save is a new version, and a copy never changes when Cornerstone changes its own.</w:t>
      </w:r>
    </w:p>
    <w:p>
      <w:pPr>
        <w:pStyle w:val="Heading2"/>
        <w:spacing w:after="120" w:before="240"/>
      </w:pPr>
      <w:r>
        <w:rPr>
          <w:rFonts w:ascii="Arial" w:cs="Arial" w:eastAsia="Arial" w:hAnsi="Arial"/>
          <w:color w:val="2E75B6"/>
          <w:sz w:val="24"/>
          <w:szCs w:val="24"/>
        </w:rPr>
        <w:t xml:space="preserve">Running a Year</w:t>
      </w:r>
    </w:p>
    <w:p>
      <w:pPr>
        <w:spacing w:after="160" w:line="276"/>
      </w:pPr>
      <w:r>
        <w:rPr>
          <w:rFonts w:ascii="Arial" w:cs="Arial" w:eastAsia="Arial" w:hAnsi="Arial"/>
          <w:sz w:val="22"/>
          <w:szCs w:val="22"/>
        </w:rPr>
        <w:t xml:space="preserve">Finance chooses a year and makes the list, which builds nothing. The list shows who will get a statement and, for everyone who will not, the plain reason: a donor set to no statement, no mailing address, a total under the minimum, and so on. Build then makes the statements a few at a time with a progress bar, and it can be stopped and picked up again. The result is one PDF for each donor, one PDF of everything to print, and a ZIP with a Print folder and an Email folder.</w:t>
      </w:r>
    </w:p>
    <w:p>
      <w:pPr>
        <w:spacing w:after="160" w:line="276"/>
      </w:pPr>
      <w:r>
        <w:rPr>
          <w:rFonts w:ascii="Arial" w:cs="Arial" w:eastAsia="Arial" w:hAnsi="Arial"/>
          <w:sz w:val="22"/>
          <w:szCs w:val="22"/>
        </w:rPr>
        <w:t xml:space="preserve">Only gifts in closed deposits count, so a deposit still open is not on any statement yet. A reversed or moved gift is not listed twice. The year follows the postmark date when a gift has one. Goods or services given back reduce the deductible amount, and gifts in kind are listed without a dollar value. A joint statement needs both spouses set to Joint.</w:t>
      </w:r>
    </w:p>
    <w:p>
      <w:pPr>
        <w:pStyle w:val="Heading2"/>
        <w:spacing w:after="120" w:before="240"/>
      </w:pPr>
      <w:r>
        <w:rPr>
          <w:rFonts w:ascii="Arial" w:cs="Arial" w:eastAsia="Arial" w:hAnsi="Arial"/>
          <w:color w:val="2E75B6"/>
          <w:sz w:val="24"/>
          <w:szCs w:val="24"/>
        </w:rPr>
        <w:t xml:space="preserve">After a Statement Is Built</w:t>
      </w:r>
    </w:p>
    <w:p>
      <w:pPr>
        <w:spacing w:after="160" w:line="276"/>
      </w:pPr>
      <w:r>
        <w:rPr>
          <w:rFonts w:ascii="Arial" w:cs="Arial" w:eastAsia="Arial" w:hAnsi="Arial"/>
          <w:sz w:val="22"/>
          <w:szCs w:val="22"/>
        </w:rPr>
        <w:t xml:space="preserve">A late gift, a correction or a reopened deposit can leave a built statement out of date. The Changed since issued list finds them, and Re-issue builds a corrected statement that says it is corrected and which statement it replaces. The old one is kept and stays downloadable. When a parish allows it, members can build their own statement for any year on their own Giving page; they see only their own gifts, and nothing is stored.</w:t>
      </w:r>
    </w:p>
    <w:p>
      <w:pPr>
        <w:pStyle w:val="Heading2"/>
        <w:spacing w:after="120" w:before="240"/>
      </w:pPr>
      <w:r>
        <w:rPr>
          <w:rFonts w:ascii="Arial" w:cs="Arial" w:eastAsia="Arial" w:hAnsi="Arial"/>
          <w:color w:val="2E75B6"/>
          <w:sz w:val="24"/>
          <w:szCs w:val="24"/>
        </w:rPr>
        <w:t xml:space="preserve">What Statements Do Not Do</w:t>
      </w:r>
    </w:p>
    <w:p>
      <w:pPr>
        <w:spacing w:after="160" w:line="276"/>
      </w:pPr>
      <w:r>
        <w:rPr>
          <w:rFonts w:ascii="Arial" w:cs="Arial" w:eastAsia="Arial" w:hAnsi="Arial"/>
          <w:sz w:val="22"/>
          <w:szCs w:val="22"/>
        </w:rPr>
        <w:t xml:space="preserve">Beacon does not email or mail statements, and it never changes the books: a statement only reads gifts that are already recorded.</w:t>
      </w:r>
    </w:p>
    <w:p>
      <w:pPr>
        <w:pStyle w:val="Heading1"/>
        <w:spacing w:after="160" w:before="360"/>
      </w:pPr>
      <w:r>
        <w:rPr>
          <w:rFonts w:ascii="Arial" w:cs="Arial" w:eastAsia="Arial" w:hAnsi="Arial"/>
          <w:b/>
          <w:bCs/>
          <w:color w:val="1F4E79"/>
          <w:sz w:val="28"/>
          <w:szCs w:val="28"/>
        </w:rPr>
        <w:t xml:space="preserve">13.  Questions or Feedback</w:t>
      </w:r>
    </w:p>
    <w:p>
      <w:pPr>
        <w:spacing w:after="160" w:line="276"/>
      </w:pPr>
      <w:r>
        <w:rPr>
          <w:rFonts w:ascii="Arial" w:cs="Arial" w:eastAsia="Arial" w:hAnsi="Arial"/>
          <w:sz w:val="22"/>
          <w:szCs w:val="22"/>
        </w:rPr>
        <w:t xml:space="preserve">Beacon includes a built-in Feedback link in the navigation menu of every page — the fastest way to flag something confusing, report a problem, or suggest an improvement. For anything more urgent, or for questions this overview doesn't answer, contact the CFM Business Office.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r>
      <w:rPr>
        <w:rFonts w:ascii="Arial" w:cs="Arial" w:eastAsia="Arial" w:hAnsi="Arial"/>
        <w:color w:val="666666"/>
        <w:sz w:val="18"/>
        <w:szCs w:val="18"/>
      </w:rPr>
      <w:t xml:space="preserve">  |  Project 26-129  |  Cornerstone Franciscan Ministries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b/>
        <w:bCs/>
        <w:color w:val="1F4E79"/>
        <w:sz w:val="20"/>
        <w:szCs w:val="20"/>
      </w:rPr>
      <w:t xml:space="preserve">Beacon  |  Overview</w:t>
    </w:r>
    <w:r>
      <w:rPr>
        <w:rFonts w:ascii="Arial" w:cs="Arial" w:eastAsia="Arial" w:hAnsi="Arial"/>
        <w:color w:val="666666"/>
        <w:sz w:val="20"/>
        <w:szCs w:val="20"/>
      </w:rPr>
      <w:t xml:space="preserve">	Online Check &amp; Payment Request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2026-07-31T17:48:44.341Z</dcterms:created>
  <dcterms:modified xsi:type="dcterms:W3CDTF">2026-07-31T17:48:44.341Z</dcterms:modified>
</cp:coreProperties>
</file>

<file path=docProps/custom.xml><?xml version="1.0" encoding="utf-8"?>
<Properties xmlns="http://schemas.openxmlformats.org/officeDocument/2006/custom-properties" xmlns:vt="http://schemas.openxmlformats.org/officeDocument/2006/docPropsVTypes"/>
</file>