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 w:after="200"/>
      </w:pPr>
      <w:r>
        <w:rPr>
          <w:b/>
          <w:color w:val="2F5597"/>
          <w:sz w:val="26"/>
        </w:rPr>
        <w:t>PROPOSTA DE DESENVOLVIMENTO</w:t>
      </w:r>
    </w:p>
    <w:p>
      <w:pPr>
        <w:pStyle w:val="Title"/>
        <w:jc w:val="left"/>
      </w:pPr>
      <w:r>
        <w:t>Inteligência Artificial para Inspeção de Telhados Industriais por Drones</w:t>
      </w:r>
    </w:p>
    <w:p>
      <w:pPr>
        <w:pStyle w:val="SubtitleCustom"/>
        <w:spacing w:before="160" w:after="560"/>
      </w:pPr>
      <w:r>
        <w:t>Estruturação do escopo técnico, arquitetura preliminar, validação e apoio multidisciplinar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859"/>
            <w:shd w:fill="EAF0F8"/>
            <w:tcMar>
              <w:top w:w="200" w:type="dxa"/>
              <w:start w:w="220" w:type="dxa"/>
              <w:bottom w:w="200" w:type="dxa"/>
              <w:end w:w="220" w:type="dxa"/>
            </w:tcMar>
            <w:tcBorders>
              <w:top w:val="single" w:sz="8" w:color="9FBAD0"/>
              <w:bottom w:val="single" w:sz="8" w:color="9FBAD0"/>
              <w:left w:val="single" w:sz="8" w:color="9FBAD0"/>
              <w:right w:val="single" w:sz="8" w:color="9FBAD0"/>
            </w:tcBorders>
          </w:tcPr>
          <w:p>
            <w:pPr>
              <w:jc w:val="both"/>
            </w:pPr>
            <w:r>
              <w:rPr>
                <w:b/>
                <w:color w:val="17365D"/>
                <w:sz w:val="21"/>
              </w:rPr>
              <w:t xml:space="preserve">Objetivo central. </w:t>
            </w:r>
            <w:r>
              <w:rPr>
                <w:sz w:val="21"/>
              </w:rPr>
              <w:t>Desenvolver uma solução de IA capaz de analisar fotografias e vídeos obtidos por drones em inspeções de telhados industriais, identificar e segmentar anomalias e pontos de interesse, categorizar não conformidades, estimar sua severidade e apoiar a elaboração de laudos tecnicamente fundamentados.</w:t>
            </w:r>
          </w:p>
        </w:tc>
      </w:tr>
    </w:tbl>
    <w:p>
      <w:r>
        <w:br/>
      </w:r>
    </w:p>
    <w:p>
      <w:r>
        <w:rPr>
          <w:i/>
          <w:color w:val="5A5A5A"/>
          <w:sz w:val="20"/>
        </w:rPr>
        <w:t>Documento de trabalho para discussão técnica e acadêmica</w:t>
      </w:r>
    </w:p>
    <w:p>
      <w:r>
        <w:br w:type="page"/>
      </w:r>
    </w:p>
    <w:p>
      <w:pPr>
        <w:pStyle w:val="Heading1"/>
        <w:keepNext/>
      </w:pPr>
      <w:r>
        <w:t>1. Contexto e finalidade</w:t>
      </w:r>
    </w:p>
    <w:p>
      <w:pPr>
        <w:spacing w:after="140" w:line="269" w:lineRule="auto"/>
        <w:jc w:val="both"/>
      </w:pPr>
      <w:r>
        <w:rPr>
          <w:sz w:val="21"/>
        </w:rPr>
        <w:t>A proposta consiste em estruturar uma solução computacional voltada à inspeção assistida de telhados industriais, utilizando imagens e vídeos capturados por drones como insumo para modelos de visão computacional. A intenção é transformar grandes volumes de evidência visual em informações técnicas organizadas, rastreáveis e úteis para engenheiros, inspetores e responsáveis pela manutenção.</w:t>
      </w:r>
    </w:p>
    <w:p>
      <w:pPr>
        <w:spacing w:after="140" w:line="269" w:lineRule="auto"/>
        <w:jc w:val="both"/>
      </w:pPr>
      <w:r>
        <w:rPr>
          <w:sz w:val="21"/>
        </w:rPr>
        <w:t>O sistema deverá atuar como ferramenta de apoio à decisão, e não como substituto da responsabilidade técnica profissional. As classificações produzidas pela IA deverão ser validadas por especialistas e associadas a critérios documentados, normas aplicáveis, regras de engenharia e registros de evidência.</w:t>
      </w:r>
    </w:p>
    <w:p>
      <w:pPr>
        <w:pStyle w:val="Heading1"/>
        <w:keepNext/>
      </w:pPr>
      <w:r>
        <w:t>2. Escopo funcional proposto</w:t>
      </w:r>
    </w:p>
    <w:p>
      <w:pPr>
        <w:pStyle w:val="ListBullet"/>
        <w:spacing w:after="80" w:line="259" w:lineRule="auto"/>
      </w:pPr>
      <w:r>
        <w:rPr>
          <w:sz w:val="21"/>
        </w:rPr>
        <w:t>Analisar fotos e vídeos produzidos por drones durante inspeções de telhados industriais.</w:t>
      </w:r>
    </w:p>
    <w:p>
      <w:pPr>
        <w:pStyle w:val="ListBullet"/>
        <w:spacing w:after="80" w:line="259" w:lineRule="auto"/>
      </w:pPr>
      <w:r>
        <w:rPr>
          <w:sz w:val="21"/>
        </w:rPr>
        <w:t>Detectar, segmentar e classificar anomalias, patologias, avarias e demais pontos de interesse visual.</w:t>
      </w:r>
    </w:p>
    <w:p>
      <w:pPr>
        <w:pStyle w:val="ListBullet"/>
        <w:spacing w:after="80" w:line="259" w:lineRule="auto"/>
      </w:pPr>
      <w:r>
        <w:rPr>
          <w:sz w:val="21"/>
        </w:rPr>
        <w:t>Analisar relatórios técnicos existentes e correlacionar achados visuais às categorias de não conformidade utilizadas na inspeção.</w:t>
      </w:r>
    </w:p>
    <w:p>
      <w:pPr>
        <w:pStyle w:val="ListBullet"/>
        <w:spacing w:after="80" w:line="259" w:lineRule="auto"/>
      </w:pPr>
      <w:r>
        <w:rPr>
          <w:sz w:val="21"/>
        </w:rPr>
        <w:t>Retornar imagens demarcadas, com indicação visual das ocorrências detectadas e seus respectivos metadados.</w:t>
      </w:r>
    </w:p>
    <w:p>
      <w:pPr>
        <w:pStyle w:val="ListBullet"/>
        <w:spacing w:after="80" w:line="259" w:lineRule="auto"/>
      </w:pPr>
      <w:r>
        <w:rPr>
          <w:sz w:val="21"/>
        </w:rPr>
        <w:t>Categorizar as não conformidades por gravidade, risco, prioridade de tratamento e sugestão de adequação, sempre com rastreabilidade dos critérios utilizados.</w:t>
      </w:r>
    </w:p>
    <w:p>
      <w:pPr>
        <w:pStyle w:val="ListBullet"/>
        <w:spacing w:after="80" w:line="259" w:lineRule="auto"/>
      </w:pPr>
      <w:r>
        <w:rPr>
          <w:sz w:val="21"/>
        </w:rPr>
        <w:t>Apoiar a construção de laudos, incluindo referências, evidências, justificativas técnicas e vínculo com requisitos normativos aplicáveis.</w:t>
      </w:r>
    </w:p>
    <w:p>
      <w:pPr>
        <w:pStyle w:val="ListBullet"/>
        <w:spacing w:after="80" w:line="259" w:lineRule="auto"/>
      </w:pPr>
      <w:r>
        <w:rPr>
          <w:sz w:val="21"/>
        </w:rPr>
        <w:t>Permitir validação humana dos resultados e registrar correções para melhoria contínua do sistema.</w:t>
      </w:r>
    </w:p>
    <w:p>
      <w:r>
        <w:br w:type="page"/>
      </w:r>
    </w:p>
    <w:p>
      <w:pPr>
        <w:pStyle w:val="Heading1"/>
        <w:keepNext/>
      </w:pPr>
      <w:r>
        <w:t>3. Arquitetura preliminar da Inteligência Artificial</w:t>
      </w:r>
    </w:p>
    <w:p>
      <w:pPr>
        <w:spacing w:after="140" w:line="269" w:lineRule="auto"/>
        <w:jc w:val="both"/>
      </w:pPr>
      <w:r>
        <w:rPr>
          <w:sz w:val="21"/>
        </w:rPr>
        <w:t>Como hipótese inicial de arquitetura, propõe-se uma abordagem em múltiplos estágios, separando detecção/segmentação, avaliação de severidade e aplicação de regras de engenharia. Essa decomposição reduz o acoplamento entre tarefas e favorece validação independente de cada componente.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515"/>
        <w:gridCol w:w="3515"/>
      </w:tblGrid>
      <w:tr>
        <w:trPr>
          <w:tblHeader w:val="true"/>
        </w:trPr>
        <w:tc>
          <w:tcPr>
            <w:tcW w:type="dxa" w:w="328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Estágio</w:t>
            </w:r>
          </w:p>
        </w:tc>
        <w:tc>
          <w:tcPr>
            <w:tcW w:type="dxa" w:w="328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Componente proposto</w:t>
            </w:r>
          </w:p>
        </w:tc>
        <w:tc>
          <w:tcPr>
            <w:tcW w:type="dxa" w:w="328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Função principal</w:t>
            </w:r>
          </w:p>
        </w:tc>
      </w:tr>
      <w:t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sz w:val="18"/>
              </w:rPr>
              <w:t>YOLO26-seg com fine-tuning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sz w:val="18"/>
              </w:rPr>
              <w:t>Detecção e segmentação das patologias e demais não conformidades visualmente observáveis.</w:t>
            </w:r>
          </w:p>
        </w:tc>
      </w:tr>
      <w:t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5F7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5F7FA"/>
          </w:tcPr>
          <w:p>
            <w:r>
              <w:rPr>
                <w:sz w:val="18"/>
              </w:rPr>
              <w:t>Classificador dedicado + regressão ordinal CORAL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5F7FA"/>
          </w:tcPr>
          <w:p>
            <w:r>
              <w:rPr>
                <w:sz w:val="18"/>
              </w:rPr>
              <w:t>Atribuição de severidade às detecções, buscando preservar a natureza ordenada dos níveis de gravidade.</w:t>
            </w:r>
          </w:p>
        </w:tc>
      </w:tr>
      <w:t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sz w:val="18"/>
              </w:rPr>
              <w:t>Motor de regras de engenharia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sz w:val="18"/>
              </w:rPr>
              <w:t>Combinação dos resultados do modelo com critérios técnicos, contexto da inspeção, criticidade e regras normativas.</w:t>
            </w:r>
          </w:p>
        </w:tc>
      </w:tr>
      <w:t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5F7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5F7FA"/>
          </w:tcPr>
          <w:p>
            <w:r>
              <w:rPr>
                <w:sz w:val="18"/>
              </w:rPr>
              <w:t>Camada de relatório e validação humana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shd w:fill="F5F7FA"/>
          </w:tcPr>
          <w:p>
            <w:r>
              <w:rPr>
                <w:sz w:val="18"/>
              </w:rPr>
              <w:t>Geração de evidências, consolidação dos achados e revisão por profissional responsável antes da emissão do laudo.</w:t>
            </w:r>
          </w:p>
        </w:tc>
      </w:tr>
    </w:tbl>
    <w:p>
      <w:pPr>
        <w:spacing w:after="140" w:line="269" w:lineRule="auto"/>
        <w:jc w:val="both"/>
      </w:pPr>
      <w:r>
        <w:rPr>
          <w:sz w:val="21"/>
        </w:rPr>
        <w:t>A arquitetura acima deverá ser confirmada após análise do conjunto de dados disponível, distribuição das classes, qualidade das imagens, natureza das patologias, nível de detalhamento exigido e critérios de aceitação definidos para o projeto.</w:t>
      </w:r>
    </w:p>
    <w:p>
      <w:r>
        <w:br w:type="page"/>
      </w:r>
    </w:p>
    <w:p>
      <w:pPr>
        <w:pStyle w:val="Heading1"/>
        <w:keepNext/>
      </w:pPr>
      <w:r>
        <w:t>4. Referencial técnico e normativo</w:t>
      </w:r>
    </w:p>
    <w:p>
      <w:pPr>
        <w:spacing w:after="140" w:line="269" w:lineRule="auto"/>
        <w:jc w:val="both"/>
      </w:pPr>
      <w:r>
        <w:rPr>
          <w:sz w:val="21"/>
        </w:rPr>
        <w:t>O desenvolvimento deverá considerar, conforme pertinência ao tipo de estrutura, à atividade de inspeção e à condição identificada, os requisitos e critérios presentes nas normas e regulamentações aplicáveis. Entre as referências inicialmente consideradas estão:</w:t>
      </w:r>
    </w:p>
    <w:p>
      <w:pPr>
        <w:pStyle w:val="ListBullet"/>
        <w:spacing w:after="80" w:line="259" w:lineRule="auto"/>
      </w:pPr>
      <w:r>
        <w:rPr>
          <w:sz w:val="21"/>
        </w:rPr>
        <w:t>ABNT NBR 16747:2020 — inspeção predial e diretrizes associadas ao processo de inspeção;</w:t>
      </w:r>
    </w:p>
    <w:p>
      <w:pPr>
        <w:pStyle w:val="ListBullet"/>
        <w:spacing w:after="80" w:line="259" w:lineRule="auto"/>
      </w:pPr>
      <w:r>
        <w:rPr>
          <w:sz w:val="21"/>
        </w:rPr>
        <w:t>ABNT NBR 5674:2024 — manutenção de edificações;</w:t>
      </w:r>
    </w:p>
    <w:p>
      <w:pPr>
        <w:pStyle w:val="ListBullet"/>
        <w:spacing w:after="80" w:line="259" w:lineRule="auto"/>
      </w:pPr>
      <w:r>
        <w:rPr>
          <w:sz w:val="21"/>
        </w:rPr>
        <w:t>ABNT NBR 16325 — sistemas de proteção individual contra quedas de altura e pontos de ancoragem, conforme a parte aplicável;</w:t>
      </w:r>
    </w:p>
    <w:p>
      <w:pPr>
        <w:pStyle w:val="ListBullet"/>
        <w:spacing w:after="80" w:line="259" w:lineRule="auto"/>
      </w:pPr>
      <w:r>
        <w:rPr>
          <w:sz w:val="21"/>
        </w:rPr>
        <w:t>NR 35 — trabalho em altura;</w:t>
      </w:r>
    </w:p>
    <w:p>
      <w:pPr>
        <w:pStyle w:val="ListBullet"/>
        <w:spacing w:after="80" w:line="259" w:lineRule="auto"/>
      </w:pPr>
      <w:r>
        <w:rPr>
          <w:sz w:val="21"/>
        </w:rPr>
        <w:t>NR 18 — segurança e saúde no trabalho na indústria da construção, quando aplicável ao contexto operacional;</w:t>
      </w:r>
    </w:p>
    <w:p>
      <w:pPr>
        <w:pStyle w:val="ListBullet"/>
        <w:spacing w:after="80" w:line="259" w:lineRule="auto"/>
      </w:pPr>
      <w:r>
        <w:rPr>
          <w:sz w:val="21"/>
        </w:rPr>
        <w:t>ABNT NBR 8800:2024 — projeto de estruturas de aço e de estruturas mistas de aço e concreto de edifícios;</w:t>
      </w:r>
    </w:p>
    <w:p>
      <w:pPr>
        <w:pStyle w:val="ListBullet"/>
        <w:spacing w:after="80" w:line="259" w:lineRule="auto"/>
      </w:pPr>
      <w:r>
        <w:rPr>
          <w:sz w:val="21"/>
        </w:rPr>
        <w:t>ABNT NBR 6123:2023 — forças devidas ao vento em edificações.</w:t>
      </w:r>
    </w:p>
    <w:p>
      <w:pPr>
        <w:spacing w:after="140" w:line="269" w:lineRule="auto"/>
        <w:jc w:val="both"/>
      </w:pPr>
      <w:r>
        <w:rPr>
          <w:sz w:val="21"/>
        </w:rPr>
        <w:t>A vinculação automática entre uma detecção visual e uma conclusão normativa deverá ser tratada com cautela. O sistema deverá apresentar a evidência, o enquadramento sugerido e a referência técnica correspondente, preservando a validação final por profissional habilitado.</w:t>
      </w:r>
    </w:p>
    <w:p>
      <w:pPr>
        <w:pStyle w:val="Heading1"/>
        <w:keepNext/>
      </w:pPr>
      <w:r>
        <w:t>5. Plano de desenvolvimento e validação</w:t>
      </w:r>
    </w:p>
    <w:p>
      <w:pPr>
        <w:keepNext w:val="0"/>
        <w:spacing w:after="160"/>
      </w:pPr>
      <w:r>
        <w:rPr>
          <w:b/>
          <w:color w:val="2F5597"/>
          <w:sz w:val="21"/>
        </w:rPr>
        <w:t xml:space="preserve">1. Levantamento e preparação dos dados — </w:t>
      </w:r>
      <w:r>
        <w:rPr>
          <w:sz w:val="21"/>
        </w:rPr>
        <w:t>Reunir imagens, vídeos, relatórios e laudos existentes; definir taxonomia de não conformidades; padronizar nomenclatura; selecionar amostras representativas; estabelecer critérios de anotação e controle de qualidade.</w:t>
      </w:r>
    </w:p>
    <w:p>
      <w:pPr>
        <w:keepNext w:val="0"/>
        <w:spacing w:after="160"/>
      </w:pPr>
      <w:r>
        <w:rPr>
          <w:b/>
          <w:color w:val="2F5597"/>
          <w:sz w:val="21"/>
        </w:rPr>
        <w:t xml:space="preserve">2. Análise de requisitos e definição da arquitetura — </w:t>
      </w:r>
      <w:r>
        <w:rPr>
          <w:sz w:val="21"/>
        </w:rPr>
        <w:t>Avaliar tecnicamente o problema, os tipos de ocorrência, as classes disponíveis, a resolução necessária, os critérios de severidade e a arquitetura de IA mais adequada ao conjunto de dados.</w:t>
      </w:r>
    </w:p>
    <w:p>
      <w:pPr>
        <w:keepNext w:val="0"/>
        <w:spacing w:after="160"/>
      </w:pPr>
      <w:r>
        <w:rPr>
          <w:b/>
          <w:color w:val="2F5597"/>
          <w:sz w:val="21"/>
        </w:rPr>
        <w:t xml:space="preserve">3. Desenvolvimento do núcleo de visão computacional — </w:t>
      </w:r>
      <w:r>
        <w:rPr>
          <w:sz w:val="21"/>
        </w:rPr>
        <w:t>Realizar fine-tuning do modelo de detecção/segmentação, definir pipeline de inferência para imagens e vídeos e gerar evidências visuais demarcadas.</w:t>
      </w:r>
    </w:p>
    <w:p>
      <w:pPr>
        <w:keepNext w:val="0"/>
        <w:spacing w:after="160"/>
      </w:pPr>
      <w:r>
        <w:rPr>
          <w:b/>
          <w:color w:val="2F5597"/>
          <w:sz w:val="21"/>
        </w:rPr>
        <w:t xml:space="preserve">4. Classificação de severidade e regras de engenharia — </w:t>
      </w:r>
      <w:r>
        <w:rPr>
          <w:sz w:val="21"/>
        </w:rPr>
        <w:t>Implementar o classificador complementar, a regressão ordinal CORAL e as regras para categorização de gravidade, risco, prioridade e sugestão de adequação.</w:t>
      </w:r>
    </w:p>
    <w:p>
      <w:pPr>
        <w:keepNext w:val="0"/>
        <w:spacing w:after="160"/>
      </w:pPr>
      <w:r>
        <w:rPr>
          <w:b/>
          <w:color w:val="2F5597"/>
          <w:sz w:val="21"/>
        </w:rPr>
        <w:t xml:space="preserve">5. Geração assistida de laudo — </w:t>
      </w:r>
      <w:r>
        <w:rPr>
          <w:sz w:val="21"/>
        </w:rPr>
        <w:t>Estruturar a saída do sistema para produzir registros técnicos organizados, com evidências, categorias, justificativas, referências e campos de validação humana.</w:t>
      </w:r>
    </w:p>
    <w:p>
      <w:pPr>
        <w:keepNext w:val="0"/>
        <w:spacing w:after="160"/>
      </w:pPr>
      <w:r>
        <w:rPr>
          <w:b/>
          <w:color w:val="2F5597"/>
          <w:sz w:val="21"/>
        </w:rPr>
        <w:t xml:space="preserve">6. Validação com estudo de caso — </w:t>
      </w:r>
      <w:r>
        <w:rPr>
          <w:sz w:val="21"/>
        </w:rPr>
        <w:t>Utilizar o laudo e o acervo de inspeção do galpão do CEASA como caso de referência, buscando reproduzir os achados já documentados e comparar a saída da IA com o resultado técnico disponível.</w:t>
      </w:r>
    </w:p>
    <w:p>
      <w:pPr>
        <w:keepNext w:val="0"/>
        <w:spacing w:after="160"/>
      </w:pPr>
      <w:r>
        <w:rPr>
          <w:b/>
          <w:color w:val="2F5597"/>
          <w:sz w:val="21"/>
        </w:rPr>
        <w:t xml:space="preserve">7. Testes finais e implementação em ambiente real — </w:t>
      </w:r>
      <w:r>
        <w:rPr>
          <w:sz w:val="21"/>
        </w:rPr>
        <w:t>Executar testes controlados, medir desempenho, documentar limitações, validar o fluxo operacional e realizar aplicação piloto em inspeção real.</w:t>
      </w:r>
    </w:p>
    <w:p>
      <w:pPr>
        <w:keepNext w:val="0"/>
        <w:spacing w:after="160"/>
      </w:pPr>
      <w:r>
        <w:rPr>
          <w:b/>
          <w:color w:val="2F5597"/>
          <w:sz w:val="21"/>
        </w:rPr>
        <w:t xml:space="preserve">8. Escalonamento da solução — </w:t>
      </w:r>
      <w:r>
        <w:rPr>
          <w:sz w:val="21"/>
        </w:rPr>
        <w:t>Evoluir infraestrutura, armazenamento, APIs, observabilidade, segurança, versionamento de modelos, automação de deploy e capacidade de atendimento a múltiplos clientes/projetos.</w:t>
      </w:r>
    </w:p>
    <w:p>
      <w:pPr>
        <w:pStyle w:val="Heading1"/>
        <w:keepNext/>
      </w:pPr>
      <w:r>
        <w:t>6. Critérios de validação sugeridos</w:t>
      </w:r>
    </w:p>
    <w:p>
      <w:pPr>
        <w:pStyle w:val="ListBullet"/>
        <w:spacing w:after="80" w:line="259" w:lineRule="auto"/>
      </w:pPr>
      <w:r>
        <w:rPr>
          <w:sz w:val="21"/>
        </w:rPr>
        <w:t>Acurácia das detecções e segmentações em relação às anotações de referência.</w:t>
      </w:r>
    </w:p>
    <w:p>
      <w:pPr>
        <w:pStyle w:val="ListBullet"/>
        <w:spacing w:after="80" w:line="259" w:lineRule="auto"/>
      </w:pPr>
      <w:r>
        <w:rPr>
          <w:sz w:val="21"/>
        </w:rPr>
        <w:t>Cobertura das principais categorias de não conformidade relevantes ao caso de uso.</w:t>
      </w:r>
    </w:p>
    <w:p>
      <w:pPr>
        <w:pStyle w:val="ListBullet"/>
        <w:spacing w:after="80" w:line="259" w:lineRule="auto"/>
      </w:pPr>
      <w:r>
        <w:rPr>
          <w:sz w:val="21"/>
        </w:rPr>
        <w:t>Consistência da classificação de severidade e redução de divergências entre avaliações.</w:t>
      </w:r>
    </w:p>
    <w:p>
      <w:pPr>
        <w:pStyle w:val="ListBullet"/>
        <w:spacing w:after="80" w:line="259" w:lineRule="auto"/>
      </w:pPr>
      <w:r>
        <w:rPr>
          <w:sz w:val="21"/>
        </w:rPr>
        <w:t>Rastreabilidade: toda conclusão deve apontar para a evidência visual, regra aplicada e referência utilizada.</w:t>
      </w:r>
    </w:p>
    <w:p>
      <w:pPr>
        <w:pStyle w:val="ListBullet"/>
        <w:spacing w:after="80" w:line="259" w:lineRule="auto"/>
      </w:pPr>
      <w:r>
        <w:rPr>
          <w:sz w:val="21"/>
        </w:rPr>
        <w:t>Comparação entre o laudo técnico de referência e o laudo assistido pela IA, com análise das concordâncias, omissões e falsos positivos.</w:t>
      </w:r>
    </w:p>
    <w:p>
      <w:pPr>
        <w:pStyle w:val="ListBullet"/>
        <w:spacing w:after="80" w:line="259" w:lineRule="auto"/>
      </w:pPr>
      <w:r>
        <w:rPr>
          <w:sz w:val="21"/>
        </w:rPr>
        <w:t>Tempo de processamento, custo computacional e capacidade de operação em escala.</w:t>
      </w:r>
    </w:p>
    <w:p>
      <w:pPr>
        <w:pStyle w:val="ListBullet"/>
        <w:spacing w:after="80" w:line="259" w:lineRule="auto"/>
      </w:pPr>
      <w:r>
        <w:rPr>
          <w:sz w:val="21"/>
        </w:rPr>
        <w:t>Registro explícito das limitações do modelo e dos casos que exigem revisão humana obrigatória.</w:t>
      </w:r>
    </w:p>
    <w:p>
      <w:pPr>
        <w:pStyle w:val="Heading1"/>
        <w:keepNext/>
      </w:pPr>
      <w:r>
        <w:t>7. Equipes de apoio e aderência ao projeto</w:t>
      </w:r>
    </w:p>
    <w:p>
      <w:pPr>
        <w:spacing w:after="140" w:line="269" w:lineRule="auto"/>
        <w:jc w:val="both"/>
      </w:pPr>
      <w:r>
        <w:rPr>
          <w:sz w:val="21"/>
        </w:rPr>
        <w:t>Além do núcleo de Inteligência Artificial, o projeto tende a se beneficiar de competências complementares de engenharia de software e infraestrutura. A participação dessas frentes pode ser progressiva, acompanhando a maturidade da solução.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721"/>
        <w:gridCol w:w="3742"/>
      </w:tblGrid>
      <w:tr>
        <w:trPr>
          <w:tblHeader w:val="true"/>
        </w:trPr>
        <w:tc>
          <w:tcPr>
            <w:tcW w:type="dxa" w:w="3286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Equipe</w:t>
            </w:r>
          </w:p>
        </w:tc>
        <w:tc>
          <w:tcPr>
            <w:tcW w:type="dxa" w:w="3286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Aderência ao projeto</w:t>
            </w:r>
          </w:p>
        </w:tc>
        <w:tc>
          <w:tcPr>
            <w:tcW w:type="dxa" w:w="3286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Onde entraria</w:t>
            </w:r>
          </w:p>
        </w:tc>
      </w:tr>
      <w:tr>
        <w:tc>
          <w:tcPr>
            <w:tcW w:type="dxa" w:w="2494"/>
            <w:tcMar>
              <w:top w:w="110" w:type="dxa"/>
              <w:start w:w="110" w:type="dxa"/>
              <w:bottom w:w="110" w:type="dxa"/>
              <w:end w:w="110" w:type="dxa"/>
            </w:tcMar>
            <w:vAlign w:val="top"/>
          </w:tcPr>
          <w:p>
            <w:r>
              <w:rPr>
                <w:sz w:val="18"/>
              </w:rPr>
              <w:t>Cloud e DevOps Developer</w:t>
            </w:r>
          </w:p>
        </w:tc>
        <w:tc>
          <w:tcPr>
            <w:tcW w:type="dxa" w:w="2721"/>
            <w:tcMar>
              <w:top w:w="110" w:type="dxa"/>
              <w:start w:w="110" w:type="dxa"/>
              <w:bottom w:w="110" w:type="dxa"/>
              <w:end w:w="110" w:type="dxa"/>
            </w:tcMar>
            <w:vAlign w:val="top"/>
          </w:tcPr>
          <w:p>
            <w:r>
              <w:rPr>
                <w:sz w:val="18"/>
              </w:rPr>
              <w:t>Alta, principalmente em uma solução escalável/comercial</w:t>
            </w:r>
          </w:p>
        </w:tc>
        <w:tc>
          <w:tcPr>
            <w:tcW w:type="dxa" w:w="3742"/>
            <w:tcMar>
              <w:top w:w="110" w:type="dxa"/>
              <w:start w:w="110" w:type="dxa"/>
              <w:bottom w:w="110" w:type="dxa"/>
              <w:end w:w="110" w:type="dxa"/>
            </w:tcMar>
            <w:vAlign w:val="top"/>
          </w:tcPr>
          <w:p>
            <w:r>
              <w:rPr>
                <w:sz w:val="18"/>
              </w:rPr>
              <w:t>Infraestrutura, armazenamento de imagens, APIs, deploy, CI/CD, observabilidade, segurança operacional e controle de custos.</w:t>
            </w:r>
          </w:p>
        </w:tc>
      </w:tr>
      <w:tr>
        <w:tc>
          <w:tcPr>
            <w:tcW w:type="dxa" w:w="2494"/>
            <w:tcMar>
              <w:top w:w="110" w:type="dxa"/>
              <w:start w:w="110" w:type="dxa"/>
              <w:bottom w:w="110" w:type="dxa"/>
              <w:end w:w="110" w:type="dxa"/>
            </w:tcMar>
            <w:vAlign w:val="top"/>
            <w:shd w:fill="F5F7FA"/>
          </w:tcPr>
          <w:p>
            <w:r>
              <w:rPr>
                <w:sz w:val="18"/>
              </w:rPr>
              <w:t>Full Stack Developer</w:t>
            </w:r>
          </w:p>
        </w:tc>
        <w:tc>
          <w:tcPr>
            <w:tcW w:type="dxa" w:w="2721"/>
            <w:tcMar>
              <w:top w:w="110" w:type="dxa"/>
              <w:start w:w="110" w:type="dxa"/>
              <w:bottom w:w="110" w:type="dxa"/>
              <w:end w:w="110" w:type="dxa"/>
            </w:tcMar>
            <w:vAlign w:val="top"/>
            <w:shd w:fill="F5F7FA"/>
          </w:tcPr>
          <w:p>
            <w:r>
              <w:rPr>
                <w:sz w:val="18"/>
              </w:rPr>
              <w:t>Muito alta</w:t>
            </w:r>
          </w:p>
        </w:tc>
        <w:tc>
          <w:tcPr>
            <w:tcW w:type="dxa" w:w="3742"/>
            <w:tcMar>
              <w:top w:w="110" w:type="dxa"/>
              <w:start w:w="110" w:type="dxa"/>
              <w:bottom w:w="110" w:type="dxa"/>
              <w:end w:w="110" w:type="dxa"/>
            </w:tcMar>
            <w:vAlign w:val="top"/>
            <w:shd w:fill="F5F7FA"/>
          </w:tcPr>
          <w:p>
            <w:r>
              <w:rPr>
                <w:sz w:val="18"/>
              </w:rPr>
              <w:t>Plataforma web, dashboard, APIs, banco de dados, visualização das inspeções, fluxo de revisão e integração com a IA.</w:t>
            </w:r>
          </w:p>
        </w:tc>
      </w:tr>
      <w:tr>
        <w:tc>
          <w:tcPr>
            <w:tcW w:type="dxa" w:w="2494"/>
            <w:tcMar>
              <w:top w:w="110" w:type="dxa"/>
              <w:start w:w="110" w:type="dxa"/>
              <w:bottom w:w="110" w:type="dxa"/>
              <w:end w:w="110" w:type="dxa"/>
            </w:tcMar>
            <w:vAlign w:val="top"/>
          </w:tcPr>
          <w:p>
            <w:r>
              <w:rPr>
                <w:sz w:val="18"/>
              </w:rPr>
              <w:t>Desenvolvimento de Software</w:t>
            </w:r>
          </w:p>
        </w:tc>
        <w:tc>
          <w:tcPr>
            <w:tcW w:type="dxa" w:w="2721"/>
            <w:tcMar>
              <w:top w:w="110" w:type="dxa"/>
              <w:start w:w="110" w:type="dxa"/>
              <w:bottom w:w="110" w:type="dxa"/>
              <w:end w:w="110" w:type="dxa"/>
            </w:tcMar>
            <w:vAlign w:val="top"/>
          </w:tcPr>
          <w:p>
            <w:r>
              <w:rPr>
                <w:sz w:val="18"/>
              </w:rPr>
              <w:t>Alta, porém bastante abrangente</w:t>
            </w:r>
          </w:p>
        </w:tc>
        <w:tc>
          <w:tcPr>
            <w:tcW w:type="dxa" w:w="3742"/>
            <w:tcMar>
              <w:top w:w="110" w:type="dxa"/>
              <w:start w:w="110" w:type="dxa"/>
              <w:bottom w:w="110" w:type="dxa"/>
              <w:end w:w="110" w:type="dxa"/>
            </w:tcMar>
            <w:vAlign w:val="top"/>
          </w:tcPr>
          <w:p>
            <w:r>
              <w:rPr>
                <w:sz w:val="18"/>
              </w:rPr>
              <w:t>Requisitos, arquitetura de software, codificação, testes, documentação, qualidade do produto e integração dos módulos.</w:t>
            </w:r>
          </w:p>
        </w:tc>
      </w:tr>
    </w:tbl>
    <w:p>
      <w:pPr>
        <w:spacing w:after="140" w:line="269" w:lineRule="auto"/>
        <w:jc w:val="both"/>
      </w:pPr>
      <w:r>
        <w:rPr>
          <w:sz w:val="21"/>
        </w:rPr>
        <w:t>Em uma fase inicial de prova de conceito, parte dessas atribuições pode ser concentrada em uma equipe reduzida. À medida que o projeto avance para validação operacional, implantação comercial e atendimento simultâneo a diferentes clientes, a especialização dessas funções tende a reduzir riscos técnicos e facilitar a evolução do produto.</w:t>
      </w:r>
    </w:p>
    <w:p>
      <w:pPr>
        <w:pStyle w:val="Heading1"/>
        <w:keepNext/>
      </w:pPr>
      <w:r>
        <w:t>8. Solicitação de apoio e orientação acadêmica</w:t>
      </w:r>
    </w:p>
    <w:p>
      <w:pPr>
        <w:spacing w:after="140" w:line="269" w:lineRule="auto"/>
        <w:jc w:val="both"/>
      </w:pPr>
      <w:r>
        <w:rPr>
          <w:sz w:val="21"/>
        </w:rPr>
        <w:t>Considerando o item 1.3, alínea “a”, do edital do PUC TEC, entende-se que a possibilidade de apoio e orientação de docentes da área de tecnologia pode contribuir significativamente para o rigor metodológico e para a qualidade da solução. Nesse sentido, e com o devido respeito à disponibilidade, às competências específicas e aos critérios institucionais de designação, tomo a liberdade de sugerir os seguintes professores para eventual colaboração ou orientação técnica:</w:t>
      </w:r>
    </w:p>
    <w:p>
      <w:pPr>
        <w:pStyle w:val="ListBullet"/>
        <w:spacing w:after="80" w:line="259" w:lineRule="auto"/>
      </w:pPr>
      <w:r>
        <w:rPr>
          <w:sz w:val="21"/>
        </w:rPr>
        <w:t>Prof. Sandro Jeronimo De Almeida</w:t>
      </w:r>
    </w:p>
    <w:p>
      <w:pPr>
        <w:pStyle w:val="ListBullet"/>
        <w:spacing w:after="80" w:line="259" w:lineRule="auto"/>
      </w:pPr>
      <w:r>
        <w:rPr>
          <w:sz w:val="21"/>
        </w:rPr>
        <w:t>Prof. Ilo Amy Saldanha Rivero</w:t>
      </w:r>
    </w:p>
    <w:p>
      <w:pPr>
        <w:pStyle w:val="ListBullet"/>
        <w:spacing w:after="80" w:line="259" w:lineRule="auto"/>
      </w:pPr>
      <w:r>
        <w:rPr>
          <w:sz w:val="21"/>
        </w:rPr>
        <w:t>Prof. Júlio César Dillinger Conway</w:t>
      </w:r>
    </w:p>
    <w:p>
      <w:pPr>
        <w:spacing w:after="140" w:line="269" w:lineRule="auto"/>
        <w:jc w:val="both"/>
      </w:pPr>
      <w:r>
        <w:rPr>
          <w:sz w:val="21"/>
        </w:rPr>
        <w:t>A indicação tem caráter propositivo e busca apenas facilitar a identificação de possíveis interlocutores acadêmicos. A definição final da participação docente deve observar a aderência temática, a disponibilidade dos professores, a organização do projeto e as regras estabelecidas pela PUC Minas e pelo PUC TEC.</w:t>
      </w:r>
    </w:p>
    <w:p>
      <w:pPr>
        <w:pStyle w:val="Heading1"/>
        <w:keepNext/>
      </w:pPr>
      <w:r>
        <w:t>9. Resultado esperado</w:t>
      </w:r>
    </w:p>
    <w:p>
      <w:pPr>
        <w:spacing w:after="140" w:line="269" w:lineRule="auto"/>
        <w:jc w:val="both"/>
      </w:pPr>
      <w:r>
        <w:rPr>
          <w:sz w:val="21"/>
        </w:rPr>
        <w:t>Ao final do ciclo de desenvolvimento, espera-se obter um sistema capaz de receber imagens e vídeos de inspeção, identificar e segmentar não conformidades, organizar evidências, estimar níveis de severidade, sugerir enquadramentos técnicos e apoiar a elaboração de laudos. O resultado deverá ser validado em caso real, documentado tecnicamente e estruturado de forma a permitir evolução para uma solução escalável, segura e comercialmente sustentável.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859"/>
            <w:shd w:fill="F2F2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both"/>
            </w:pPr>
            <w:r>
              <w:rPr>
                <w:b/>
                <w:color w:val="464646"/>
                <w:sz w:val="19"/>
              </w:rPr>
              <w:t xml:space="preserve">Observação técnica: </w:t>
            </w:r>
            <w:r>
              <w:rPr>
                <w:color w:val="464646"/>
                <w:sz w:val="19"/>
              </w:rPr>
              <w:t>a arquitetura e os modelos citados representam uma proposta inicial. A solução definitiva deverá resultar da análise experimental dos dados, das métricas de desempenho, dos requisitos do projeto e da validação conjunta entre especialistas de IA e profissionais da área de inspeção/engenharia.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37373"/>
        <w:sz w:val="16"/>
      </w:rPr>
      <w:t>Inteligência Artificial aplicada à inspeção de telhados industriais</w:t>
    </w:r>
  </w:p>
  <w:p>
    <w:pPr>
      <w:jc w:val="right"/>
    </w:pPr>
    <w:r>
      <w:rPr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95959"/>
        <w:sz w:val="16"/>
      </w:rPr>
      <w:t>PROPOSTA PRELIMINAR DE ESCOPO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rPr>
      <w:rFonts w:ascii="Aptos" w:hAnsi="Aptos"/>
      <w:color w:val="595959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IA para Inspeção de Telhados Industriais</dc:title>
  <dc:subject>Escopo técnico preliminar para desenvolvimento, validação e escalonamento</dc:subject>
  <dc:creator>Cláudio Francisco dos Santos Júnior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