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6056829cdf42d4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fb4543a56a444f8b"/>
    <w:headerReference xmlns:r="http://schemas.openxmlformats.org/officeDocument/2006/relationships" r:id="R4c10a9625da2439a"/>
    <w:p>
      <w:pPr>
        <w:pStyle w:val="Title"/>
        <w:jc w:val="center"/>
      </w:pPr>
      <w:r>
        <w:t xml:space="preserve">Fractional Non-Fungible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Fractional Non-Fungible Token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8314a797-df3c-409b-835c-0e80af92714f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Every non-fungible token is unique and some will need to allow for fractional ownership. A non-fungible token is not interchangeable with other tokens of the same class as they typically have different values.  A property title is a good example of a non-fungible token where the value of different real estate titles is not equal and freely exchanging them is a bad idea. Some Non-fungible tokens will need to be represented with their own class, meaning it will share no common properties with other tokens from the same template. Other non-fungible tokens can exist within the same class and have some shared property values while also having unique property values between instances.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Membership, Time Share vacation property.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Time Share</w:t>
                </w:r>
              </w:p>
            </w:tc>
            <w:tc>
              <w:p>
                <w:r>
                  <w:t>The physical property title is split between multiple owners who each own a percentage of the title.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Fractional Non-fungible tokens require additional thought about how these tokens may or may not be grouped together in the same class.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fractional-non-fungible.proto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fractional-non-fungible.md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NonFungible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Common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Fractional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Fractional Non-Fungible Token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21bd0a5adb4832" /><Relationship Type="http://schemas.openxmlformats.org/officeDocument/2006/relationships/header" Target="/word/header1.xml" Id="R4c10a9625da2439a" /><Relationship Type="http://schemas.openxmlformats.org/officeDocument/2006/relationships/footer" Target="/word/footer1.xml" Id="Rfb4543a56a444f8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