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b6eb70f1184826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beeef5ca15664018"/>
    <w:headerReference xmlns:r="http://schemas.openxmlformats.org/officeDocument/2006/relationships" r:id="R5719536064394a6f"/>
    <w:p>
      <w:pPr>
        <w:pStyle w:val="Title"/>
        <w:jc w:val="center"/>
      </w:pPr>
      <w:r>
        <w:t xml:space="preserve">Unique Whole Fungible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Unique Whole Fungible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2d291501-4cca-43cf-8330-e2440e58d7df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&amp;tau;&lt;sub&gt;F'&lt;/sub&gt;{&lt;i&gt;~d&lt;/i&gt;}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tF'{~d}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Unique, Whole Fungible tokens have interchangeable value with each other, where any owned sum of them from a class has the same value as another owned sum from the same class. A whole token cannot be sub-divided so it doesn't support the notion of 'making change'. Because this token is unique, it will have its own identity and can have unique properties like a serial number.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An inventory item or SKU, where an item is treated as a whole because it makes no sense to own a fraction of a SKU or loyalty point.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Loyalty Points</w:t>
                </w:r>
              </w:p>
            </w:tc>
            <w:tc>
              <w:p>
                <w:r>
                  <w:t>Most credit card or retail loyalty point programs deal with whole numbers so that redeeming points is easy to understand for their customers.</w:t>
                </w:r>
              </w:p>
            </w:tc>
          </w:tr>
          <w:tr>
            <w:tc>
              <w:p>
                <w:r>
                  <w:t>General Admission Movie Ticket</w:t>
                </w:r>
              </w:p>
            </w:tc>
            <w:tc>
              <w:p>
                <w:r>
                  <w:t>Purchasing a general admission ticket to a movie only allows for you to have a seat, but the seat that you actually get depends on factors like when you arrive. Your not likely to want to share a seat with another adult.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Base</w:t>
                </w:r>
              </w:p>
            </w:tc>
            <w:tc>
              <w:p>
                <w:r>
                  <w:t>t</w:t>
                </w:r>
              </w:p>
            </w:tc>
            <w:tc>
              <w:p>
                <w:r>
                  <w:t>Base Token Definition</w:t>
                </w:r>
              </w:p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whole-fungible.proto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whole-fungible.md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Base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Token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Token Type:</w:t>
            </w:r>
          </w:p>
          <w:tcPr>
            <w:tcW w:w="30" w:type="pct"/>
          </w:tcPr>
        </w:tc>
        <w:tc>
          <w:p>
            <w:r>
              <w:t>Fungible</w:t>
            </w:r>
          </w:p>
          <w:tcPr>
            <w:tcW w:w="70" w:type="pct"/>
          </w:tcPr>
        </w:tc>
      </w:tr>
      <w:tr>
        <w:tc>
          <w:p>
            <w:r>
              <w:t>Representation Type:</w:t>
            </w:r>
          </w:p>
          <w:tcPr>
            <w:tcW w:w="30" w:type="pct"/>
          </w:tcPr>
        </w:tc>
        <w:tc>
          <w:p>
            <w:r>
              <w:t>Unique</w:t>
            </w:r>
          </w:p>
          <w:tcPr>
            <w:tcW w:w="70" w:type="pct"/>
          </w:tcPr>
        </w:tc>
      </w:tr>
      <w:tr>
        <w:tc>
          <w:p>
            <w:r>
              <w:t>Value Type:</w:t>
            </w:r>
          </w:p>
          <w:tcPr>
            <w:tcW w:w="30" w:type="pct"/>
          </w:tcPr>
        </w:tc>
        <w:tc>
          <w:p>
            <w:r>
              <w:t>Intrinsic</w:t>
            </w:r>
          </w:p>
          <w:tcPr>
            <w:tcW w:w="70" w:type="pct"/>
          </w:tcPr>
        </w:tc>
      </w:tr>
      <w:tr>
        <w:tc>
          <w:p>
            <w:r>
              <w:t>Token Unit:</w:t>
            </w:r>
          </w:p>
          <w:tcPr>
            <w:tcW w:w="30" w:type="pct"/>
          </w:tcPr>
        </w:tc>
        <w:tc>
          <w:p>
            <w:r>
              <w:t>Whole</w:t>
            </w:r>
          </w:p>
          <w:tcPr>
            <w:tcW w:w="70" w:type="pct"/>
          </w:tcPr>
        </w:tc>
      </w:tr>
      <w:tr>
        <w:tc>
          <w:p>
            <w:r>
              <w:t>Symbol: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Owner: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  <w:tr>
        <w:tc>
          <w:p>
            <w:r>
              <w:t>Quantity: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Decimals:</w:t>
            </w:r>
          </w:p>
          <w:tcPr>
            <w:tcW w:w="30" w:type="pct"/>
          </w:tcPr>
        </w:tc>
        <w:tc>
          <w:p>
            <w:r>
              <w:t>0</w:t>
            </w:r>
          </w:p>
          <w:tcPr>
            <w:tcW w:w="70" w:type="pct"/>
          </w:tcPr>
        </w:tc>
      </w:tr>
      <w:tr>
        <w:tc>
          <w:p>
            <w:r>
              <w:t>Constructor Name: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</w:body>
</w:document>
</file>

<file path=word/footer1.xml><?xml version="1.0" encoding="utf-8"?>
<w:ftr xmlns:w="http://schemas.openxmlformats.org/wordprocessingml/2006/main">
  <w:p>
    <w:pPr>
      <w:pStyle w:val="Footer"/>
    </w:pPr>
    <w:r>
      <w:t>Unique Whole Fungible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0f2b6ce3b5444d7" /><Relationship Type="http://schemas.openxmlformats.org/officeDocument/2006/relationships/header" Target="/word/header1.xml" Id="R5719536064394a6f" /><Relationship Type="http://schemas.openxmlformats.org/officeDocument/2006/relationships/footer" Target="/word/footer1.xml" Id="Rbeeef5ca1566401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