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522c21932a447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e35bfee2a454bc8"/>
    <w:headerReference xmlns:r="http://schemas.openxmlformats.org/officeDocument/2006/relationships" r:id="Raf147fc2a54a4f38"/>
    <w:p>
      <w:pPr>
        <w:pStyle w:val="Title"/>
        <w:jc w:val="center"/>
      </w:pPr>
      <w:r>
        <w:t xml:space="preserve">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b1eacdf8-35d8-454a-b1af-92eb0b6f45d4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Whole Fungible tokens have interchangeable value with each other, where any owned sum of them from a class has the same value as another owned sum from the same class. A whole token cannot be sub-divided so it doesn't support the notion of 'making change'.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Solidity Penalty Token</w:t>
                </w:r>
              </w:p>
            </w:tc>
            <w:tc>
              <w:p>
                <w:r>
                  <w:t>EthereumSolidity</w:t>
                </w:r>
              </w:p>
            </w:tc>
            <w:tc>
              <w:p>
                <w:r>
                  <w:t>https://github.com/EntEthAlliance/Trusted-Token/blob/develop/contracts/PenaltyToken.sol</w:t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Whole Fungible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a3b4374b0744c8" /><Relationship Type="http://schemas.openxmlformats.org/officeDocument/2006/relationships/header" Target="/word/header1.xml" Id="Raf147fc2a54a4f38" /><Relationship Type="http://schemas.openxmlformats.org/officeDocument/2006/relationships/footer" Target="/word/footer1.xml" Id="R3e35bfee2a454bc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