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5e532b32114ce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409b8b076d348ba"/>
    <w:headerReference xmlns:r="http://schemas.openxmlformats.org/officeDocument/2006/relationships" r:id="R2c07f99af71345fb"/>
    <w:p>
      <w:pPr>
        <w:pStyle w:val="Title"/>
        <w:jc w:val="center"/>
      </w:pPr>
      <w:r>
        <w:t xml:space="preserve">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Attestable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189b1589-a93a-4aa6-8d9d-0d9237ab5b42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&lt;i&gt;a&lt;/i&gt;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a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support a basic attestation request returning a true or false and if true it will return a cryptographic proof the requester may store for future validations. Attestable will accept a simple ownership query to validate that an account is the owner of the token or a attestation proof and validate it.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Certain tokens will want to prove something like ownership or validation of an issued proof from the token for applications wanting to check attestations.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Diploma</w:t>
                </w:r>
              </w:p>
            </w:tc>
            <w:tc>
              <w:p>
                <w:r>
                  <w:t>Check to see if an account is the owner or holder of a diploma token. This can be done by the Account Id or a stored attestation issued by the Diploma Token.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attestable.proto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attestable.md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Heading4"/>
        <w:jc w:val="left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Attestable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1216d120224e12" /><Relationship Type="http://schemas.openxmlformats.org/officeDocument/2006/relationships/header" Target="/word/header1.xml" Id="R2c07f99af71345fb" /><Relationship Type="http://schemas.openxmlformats.org/officeDocument/2006/relationships/footer" Target="/word/footer1.xml" Id="R9409b8b076d348ba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