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8ed3b9dae44349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cdedb2a1ea104f84"/>
    <w:headerReference xmlns:r="http://schemas.openxmlformats.org/officeDocument/2006/relationships" r:id="R7c14ddd634694bc3"/>
    <w:p>
      <w:pPr>
        <w:pStyle w:val="Title"/>
        <w:jc w:val="center"/>
      </w:pPr>
      <w:r>
        <w:t xml:space="preserve">Subdividable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6e3501dc-5800-4c71-b59e-ad11418a998c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An ability for the token to be subdivided from a single whole token into fractions, which are represented as decimal places. Any value greater than 0 will indicate how many fractions are possible where the smallest fraction is also the smallest ownable unit of the token.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Sub-dividable is common for crypto-currencies or tokens of fiat currency.  For example, the US Dollar is sub-dividable to 2 decimal places, where a value like .42 is possible.  Bitcoin, is sub-dividable up to 8 decimal places.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Analogy 1</w:t>
                </w:r>
              </w:p>
            </w:tc>
            <w:tc>
              <w:p>
                <w:r>
                  <w:t>subdividable analogy 1 description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~d</w:t>
                </w:r>
              </w:p>
            </w:tc>
            <w:tc>
              <w:p>
                <w:r>
                  <w:t>d5807a8e-879b-4885-95fa-f09ba2a22172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subdividable.proto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subdividable.md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SourceCode</w:t>
                </w:r>
              </w:p>
            </w:tc>
            <w:tc>
              <w:p>
                <w:r>
                  <w:t>Code 1</w:t>
                </w:r>
              </w:p>
            </w:tc>
            <w:tc>
              <w:p>
                <w:r>
                  <w:t>Daml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  <w:tr>
            <w:tc>
              <w:p>
                <w:r>
                  <w:t>Implementation</w:t>
                </w:r>
              </w:p>
            </w:tc>
            <w:tc>
              <w:p>
                <w:r>
                  <w:t>Implementation 1</w:t>
                </w:r>
              </w:p>
            </w:tc>
            <w:tc>
              <w:p>
                <w:r>
                  <w:t>ChaincodeGo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  <w:tr>
            <w:tc>
              <w:p>
                <w:r>
                  <w:t>Resource</w:t>
                </w:r>
              </w:p>
            </w:tc>
            <w:tc>
              <w:p>
                <w:r>
                  <w:t>Regulation Reference 1</w:t>
                </w:r>
              </w:p>
            </w:tc>
            <w:tc>
              <w:p>
                <w:r>
                  <w:t/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3"/>
        <w:jc w:val="left"/>
      </w:pPr>
      <w:r>
        <w:t>Properties</w:t>
      </w:r>
    </w:p>
    <w:p>
      <w:pPr>
        <w:pStyle w:val="Heading4"/>
        <w:jc w:val="left"/>
      </w:pPr>
      <w:r>
        <w:t>Name: Decimals</w:t>
      </w:r>
    </w:p>
    <w:p>
      <w:pPr>
        <w:pStyle w:val="Normal"/>
        <w:jc w:val="left"/>
      </w:pPr>
      <w:r>
        <w:t>Value Description: Set to a number greater than Zero, allowing subdivision</w:t>
      </w:r>
    </w:p>
    <w:p>
      <w:pPr>
        <w:pStyle w:val="Normal"/>
        <w:jc w:val="left"/>
      </w:pPr>
      <w:r>
        <w:t>Template Value: 0</w:t>
      </w:r>
    </w:p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GetDecimals</w:t>
      </w:r>
    </w:p>
    <w:p>
      <w:pPr>
        <w:pStyle w:val="Normal"/>
        <w:jc w:val="left"/>
      </w:pPr>
      <w:r>
        <w:t>Id: 01f7ef04-1215-45f1-b118-12b4a76db9ad</w:t>
      </w:r>
    </w:p>
    <w:p>
      <w:pPr>
        <w:pStyle w:val="Normal"/>
        <w:jc w:val="left"/>
      </w:pPr>
      <w:r>
        <w:t>Description: Return the value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GetDecimalsRequest</w:t>
      </w:r>
    </w:p>
    <w:p>
      <w:pPr>
        <w:pStyle w:val="Normal"/>
        <w:jc w:val="left"/>
      </w:pPr>
      <w:r>
        <w:t>Description: 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GetDecimalsResponse</w:t>
      </w:r>
    </w:p>
    <w:p>
      <w:pPr>
        <w:pStyle w:val="Normal"/>
        <w:jc w:val="left"/>
      </w:pPr>
      <w:r>
        <w:t>Description: Return number of decimal places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Decimals</w:t>
                </w:r>
              </w:p>
            </w:tc>
            <w:tc>
              <w:p>
                <w:r>
                  <w:t>integer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Subdividable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0c771326124a98" /><Relationship Type="http://schemas.openxmlformats.org/officeDocument/2006/relationships/header" Target="/word/header1.xml" Id="R7c14ddd634694bc3" /><Relationship Type="http://schemas.openxmlformats.org/officeDocument/2006/relationships/footer" Target="/word/footer1.xml" Id="Rcdedb2a1ea104f84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