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3b621b83bd4b5b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096bb35829d46ac"/>
    <w:headerReference xmlns:r="http://schemas.openxmlformats.org/officeDocument/2006/relationships" r:id="R0769c06ae1c4416f"/>
    <w:p>
      <w:pPr>
        <w:pStyle w:val="Title"/>
        <w:jc w:val="center"/>
      </w:pPr>
      <w:r>
        <w:t xml:space="preserve">Document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Document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ce4b7adc-4741-4bf0-b03d-0af8c4c92746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[&amp;tau;&lt;sub&gt;N&lt;/sub&gt;{&lt;i&gt;~d,t,s,e,b&lt;/i&gt;}+&amp;phi;File]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Used to represent a document that may be a scanned or PDF printed document. It records the document hash to check for tampering, a file path to fetch the file from storage as well as the ability to be encumbered. Implements the File property-set.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For example: you may choose to create an invoice token from an invoice document.  You can then allow another token or contract representing a loan or proof of financing to encumber the document establishing a link between the two.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Scanned Document</w:t>
                </w:r>
              </w:p>
            </w:tc>
            <w:tc>
              <w:p>
                <w:r>
                  <w:t>A scanned copy of a certificate, like a diploma or industry certification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Document.proto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Document.md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[tN{~d,t,s,e,b}+phFile]</w:t>
      </w:r>
    </w:p>
    <w:p>
      <w:pPr>
        <w:pStyle w:val="Normal"/>
        <w:jc w:val="left"/>
      </w:pPr>
      <w:r>
        <w:t xml:space="preserve">Name: [tN{~d,t,s,e,b}+phFile]</w:t>
      </w:r>
    </w:p>
    <w:p>
      <w:pPr>
        <w:pStyle w:val="Normal"/>
        <w:jc w:val="left"/>
      </w:pPr>
      <w:r>
        <w:t>Id: 4c2730f5-dc5f-4949-87e3-71f3a6e6cae9</w:t>
      </w:r>
    </w:p>
    <w:p>
      <w:pPr>
        <w:pStyle w:val="Normal"/>
        <w:jc w:val="left"/>
      </w:pPr>
      <w:r>
        <w:t>Reference Notes: 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1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Singleton</w:t>
      </w:r>
    </w:p>
    <w:p>
      <w:pPr>
        <w:pStyle w:val="Quote"/>
        <w:jc w:val="left"/>
      </w:pPr>
      <w:r>
        <w:t>Reference Notes: 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Transferable</w:t>
      </w:r>
    </w:p>
    <w:p>
      <w:pPr>
        <w:pStyle w:val="Quote"/>
        <w:jc w:val="left"/>
      </w:pPr>
      <w:r>
        <w:t>Reference Notes: 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Burnable</w:t>
      </w:r>
    </w:p>
    <w:p>
      <w:pPr>
        <w:pStyle w:val="Quote"/>
        <w:jc w:val="left"/>
      </w:pPr>
      <w:r>
        <w:t>Reference Notes: burnable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Encumberable</w:t>
      </w:r>
    </w:p>
    <w:p>
      <w:pPr>
        <w:pStyle w:val="Quote"/>
        <w:jc w:val="left"/>
      </w:pPr>
      <w:r>
        <w:t>Reference Notes: encumberable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Normal"/>
        <w:jc w:val="left"/>
      </w:pPr>
      <w:r>
        <w:t xml:space="preserve">Name: File</w:t>
      </w:r>
    </w:p>
    <w:p>
      <w:pPr>
        <w:pStyle w:val="Normal"/>
        <w:jc w:val="left"/>
      </w:pPr>
      <w:r>
        <w:t>Id: 79d40648-02ba-4055-b700-01dce32196ec</w:t>
      </w:r>
    </w:p>
    <w:p>
      <w:pPr>
        <w:pStyle w:val="Normal"/>
        <w:jc w:val="left"/>
      </w:pPr>
      <w:r>
        <w:t>Reference Notes: file</w:t>
      </w:r>
    </w:p>
    <w:p>
      <w:pPr>
        <w:pStyle w:val="Heading2"/>
        <w:jc w:val="left"/>
      </w:pPr>
      <w:r>
        <w:t>Reference Values</w:t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2"/>
        <w:jc w:val="center"/>
      </w:pPr>
      <w:r>
        <w:t/>
      </w:r>
    </w:p>
    <w:p>
      <w:pPr>
        <w:pStyle w:val="Heading3"/>
        <w:jc w:val="left"/>
      </w:pPr>
      <w:r>
        <w:t>Properties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Document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e2087c49244a40" /><Relationship Type="http://schemas.openxmlformats.org/officeDocument/2006/relationships/header" Target="/word/header1.xml" Id="R0769c06ae1c4416f" /><Relationship Type="http://schemas.openxmlformats.org/officeDocument/2006/relationships/footer" Target="/word/footer1.xml" Id="R9096bb35829d46a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