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86283131d38484c" /></Relationships>
</file>

<file path=word/document.xml><?xml version="1.0" encoding="utf-8"?>
<w:document xmlns:w="http://schemas.openxmlformats.org/wordprocessingml/2006/main">
  <w:body>
    <w:footerReference xmlns:r="http://schemas.openxmlformats.org/officeDocument/2006/relationships" r:id="R903844033d7243e4"/>
    <w:headerReference xmlns:r="http://schemas.openxmlformats.org/officeDocument/2006/relationships" r:id="R48938fd7dedd41ce"/>
    <w:p>
      <w:pPr>
        <w:pStyle w:val="Title"/>
        <w:jc w:val="center"/>
      </w:pPr>
      <w:r>
        <w:t xml:space="preserve">Emoney</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TemplateDefinition</w:t>
            </w:r>
          </w:p>
          <w:tcPr>
            <w:tcW w:w="70" w:type="pct"/>
          </w:tcPr>
        </w:tc>
      </w:tr>
      <w:tr>
        <w:tc>
          <w:p>
            <w:r>
              <w:t>Name:</w:t>
            </w:r>
          </w:p>
          <w:tcPr>
            <w:tcW w:w="30" w:type="pct"/>
          </w:tcPr>
        </w:tc>
        <w:tc>
          <w:p>
            <w:r>
              <w:t>Emoney</w:t>
            </w:r>
          </w:p>
          <w:tcPr>
            <w:tcW w:w="70" w:type="pct"/>
          </w:tcPr>
        </w:tc>
      </w:tr>
      <w:tr>
        <w:tc>
          <w:p>
            <w:r>
              <w:t>Id:</w:t>
            </w:r>
          </w:p>
          <w:tcPr>
            <w:tcW w:w="30" w:type="pct"/>
          </w:tcPr>
        </w:tc>
        <w:tc>
          <w:p>
            <w:r>
              <w:t>6fb84412-79c1-4b46-ae29-68b1e5710086</w:t>
            </w:r>
          </w:p>
          <w:tcPr>
            <w:tcW w:w="70" w:type="pct"/>
          </w:tcPr>
        </w:tc>
      </w:tr>
      <w:tr>
        <w:tc>
          <w:p>
            <w:r>
              <w:t>Visual:</w:t>
            </w:r>
          </w:p>
          <w:tcPr>
            <w:tcW w:w="30" w:type="pct"/>
          </w:tcPr>
        </w:tc>
        <w:tc>
          <w:p>
            <w:r>
              <w:t>&amp;tau;&lt;sub&gt;F&lt;/sub&gt;{&lt;i&gt;d,t,g,h,c,SC&lt;/i&gt;}</w:t>
            </w:r>
          </w:p>
          <w:tcPr>
            <w:tcW w:w="70" w:type="pct"/>
          </w:tcPr>
        </w:tc>
      </w:tr>
      <w:tr>
        <w:tc>
          <w:p>
            <w:r>
              <w:t>Tooling:</w:t>
            </w:r>
          </w:p>
          <w:tcPr>
            <w:tcW w:w="30" w:type="pct"/>
          </w:tcPr>
        </w:tc>
        <w:tc>
          <w:p>
            <w:r>
              <w:t>tF{d,t,g,h,c,SC}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The Emoney Token enables the issuance of regulated electronic money on blockchain networks, and its practical usage in real financial applications.</w:t>
      </w:r>
    </w:p>
    <w:p>
      <w:pPr>
        <w:pStyle w:val="Heading2"/>
        <w:jc w:val="left"/>
      </w:pPr>
      <w:r>
        <w:t>Example</w:t>
      </w:r>
    </w:p>
    <w:p>
      <w:pPr>
        <w:pStyle w:val="Normal"/>
        <w:jc w:val="left"/>
      </w:pPr>
      <w:r>
        <w:t>Financial institutions work today with electronic systems which hold account balances in databases on core banking systems. In order for an institution to be allowed to maintain records of client balances segregated and available for clients, such institution must be regulated under a known legal framework and must possess a license to do so. Maintaining a license under regulatory supervision entails ensuring compliance (i.e. performing KYC on all clients and ensuring good AML practices before allowing transactions) and demonstrating technical and operational solvency through periodic audits, so clients depositing funds with the institution can rest assured that their money is safe.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Issuing Bonds</w:t>
                </w:r>
              </w:p>
            </w:tc>
            <w:tc>
              <w:p>
                <w:r>
                  <w:t>A bond is a debt security, under which the issuer owes the holders a debt and is obliged to pay them interest or to repay the principal at a later date. The issuance of bonds in in general handled by a Central Securities Depository (CSD). CSDs can use the Emoney Token to execute the whole issuing process, using real delivery vs payment, and settlement on a blockchain. This use case has been already implemented on io.cash.</w:t>
                </w:r>
              </w:p>
            </w:tc>
          </w:tr>
          <w:tr>
            <w:tc>
              <w:p>
                <w:r>
                  <w:t>Cash pooling</w:t>
                </w:r>
              </w:p>
            </w:tc>
            <w:tc>
              <w:p>
                <w:r>
                  <w:t>Cash pooling is a technique to combine credit and debit positions in various accounts into one account. Enabling the usage of real tokenized cash, to be used on chain, speeds up the process, decreasing costs and increases operational efficiency. This use case has been already implemented on io.cash.</w:t>
                </w:r>
              </w:p>
            </w:tc>
          </w:tr>
          <w:tr>
            <w:tc>
              <w:p>
                <w:r>
                  <w:t>Oil barrels</w:t>
                </w:r>
              </w:p>
            </w:tc>
            <w:tc>
              <w:p>
                <w:r>
                  <w:t>TODO</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Emoney.proto</w:t>
                </w:r>
              </w:p>
            </w:tc>
            <w:tc>
              <w:p>
                <w:r>
                  <w:t/>
                </w:r>
              </w:p>
            </w:tc>
          </w:tr>
          <w:tr>
            <w:tc>
              <w:p>
                <w:r>
                  <w:t>Uml</w:t>
                </w:r>
              </w:p>
            </w:tc>
            <w:tc>
              <w:p>
                <w:r>
                  <w:t>Emoney.md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E-Money Token Standard</w:t>
                </w:r>
              </w:p>
            </w:tc>
            <w:tc>
              <w:p>
                <w:r>
                  <w:t>https://emoneytokenstandard.org</w:t>
                </w:r>
              </w:p>
            </w:tc>
            <w:tc>
              <w:p>
                <w:r>
                  <w:t/>
                </w:r>
              </w:p>
            </w:tc>
          </w:tr>
          <w:tr>
            <w:tc>
              <w:p>
                <w:r>
                  <w:t>Resource</w:t>
                </w:r>
              </w:p>
            </w:tc>
            <w:tc>
              <w:p>
                <w:r>
                  <w:t>ioBUILDERS</w:t>
                </w:r>
              </w:p>
            </w:tc>
            <w:tc>
              <w:p>
                <w:r>
                  <w:t>https://io.builders</w:t>
                </w:r>
              </w:p>
            </w:tc>
            <w:tc>
              <w:p>
                <w:r>
                  <w:t>Contributor</w:t>
                </w:r>
              </w:p>
            </w:tc>
          </w:tr>
          <w:tr>
            <w:tc>
              <w:p>
                <w:r>
                  <w:t>Resource</w:t>
                </w:r>
              </w:p>
            </w:tc>
            <w:tc>
              <w:p>
                <w:r>
                  <w:t>Adhara</w:t>
                </w:r>
              </w:p>
            </w:tc>
            <w:tc>
              <w:p>
                <w:r>
                  <w:t>https://adhara.io</w:t>
                </w:r>
              </w:p>
            </w:tc>
            <w:tc>
              <w:p>
                <w:r>
                  <w:t>Contributor</w:t>
                </w:r>
              </w:p>
            </w:tc>
          </w:tr>
          <w:tr>
            <w:tc>
              <w:p>
                <w:r>
                  <w:t>Resource</w:t>
                </w:r>
              </w:p>
            </w:tc>
            <w:tc>
              <w:p>
                <w:r>
                  <w:t>ioCash</w:t>
                </w:r>
              </w:p>
            </w:tc>
            <w:tc>
              <w:p>
                <w:r>
                  <w:t>https://io.cash</w:t>
                </w:r>
              </w:p>
            </w:tc>
            <w:tc>
              <w:p>
                <w:r>
                  <w:t>IoCash is the world´s first B2B platform that makes it possible to operate with traditional money directly on blockchain. It is using the Emoney Token to make that possible.</w:t>
                </w:r>
              </w:p>
            </w:tc>
          </w:tr>
          <w:tr>
            <w:tc>
              <w:p>
                <w:r>
                  <w:t>Resource</w:t>
                </w:r>
              </w:p>
            </w:tc>
            <w:tc>
              <w:p>
                <w:r>
                  <w:t>Contact</w:t>
                </w:r>
              </w:p>
            </w:tc>
            <w:tc>
              <w:p>
                <w:r>
                  <w:t>emtoken@io.builders</w:t>
                </w:r>
              </w:p>
            </w:tc>
            <w:tc>
              <w:p>
                <w:r>
                  <w:t/>
                </w:r>
              </w:p>
            </w:tc>
          </w:tr>
        </w:tbl>
      </w:r>
    </w:p>
    <w:p>
      <w:pPr>
        <w:pStyle w:val="Heading1"/>
        <w:jc w:val="center"/>
      </w:pPr>
      <w:r>
        <w:t>Template Definition</w:t>
      </w:r>
    </w:p>
    <w:p>
      <w:pPr>
        <w:pStyle w:val="Heading2"/>
        <w:jc w:val="left"/>
      </w:pPr>
      <w:r>
        <w:t>Template Formula Reference: tF{d,t,g,h,c,SC}</w:t>
      </w:r>
    </w:p>
    <w:p>
      <w:pPr>
        <w:pStyle w:val="Normal"/>
        <w:jc w:val="left"/>
      </w:pPr>
      <w:r>
        <w:t xml:space="preserve">Name: tF{d,t,g,h,c,SC}</w:t>
      </w:r>
    </w:p>
    <w:p>
      <w:pPr>
        <w:pStyle w:val="Normal"/>
        <w:jc w:val="left"/>
      </w:pPr>
      <w:r>
        <w:t>Id: a46301ea-5791-4a21-aa20-e3b6aeb53343</w:t>
      </w:r>
    </w:p>
    <w:p>
      <w:pPr>
        <w:pStyle w:val="Normal"/>
        <w:jc w:val="left"/>
      </w:pPr>
      <w:r>
        <w:t>Reference Notes: Emoney</w:t>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2</w:t>
            </w:r>
          </w:p>
          <w:tcPr>
            <w:tcW w:w="70" w:type="pct"/>
          </w:tcPr>
        </w:tc>
      </w:tr>
      <w:tr>
        <w:tc>
          <w:p>
            <w:r>
              <w:t>Constructor Name:</w:t>
            </w:r>
          </w:p>
          <w:tcPr>
            <w:tcW w:w="30" w:type="pct"/>
          </w:tcPr>
        </w:tc>
        <w:tc>
          <w:p>
            <w:r>
              <w:t>Constructor</w:t>
            </w:r>
          </w:p>
          <w:tcPr>
            <w:tcW w:w="70" w:type="pct"/>
          </w:tcPr>
        </w:tc>
      </w:tr>
    </w:tbl>
    <w:p>
      <w:pPr>
        <w:pStyle w:val="Heading1"/>
        <w:jc w:val="center"/>
      </w:pPr>
      <w:r>
        <w:t>Behaviors</w:t>
      </w:r>
    </w:p>
    <w:p>
      <w:pPr>
        <w:pStyle w:val="Heading2"/>
        <w:jc w:val="left"/>
      </w:pPr>
      <w:r>
        <w:t>Behavior Reference: Subdividable</w:t>
      </w:r>
    </w:p>
    <w:p>
      <w:pPr>
        <w:pStyle w:val="Quote"/>
        <w:jc w:val="left"/>
      </w:pPr>
      <w:r>
        <w:t>Reference Notes: Subdividable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4"/>
        <w:jc w:val="left"/>
      </w:pPr>
      <w:r>
        <w:t>Name: Decimals</w:t>
      </w:r>
    </w:p>
    <w:p>
      <w:pPr>
        <w:pStyle w:val="Normal"/>
        <w:jc w:val="left"/>
      </w:pPr>
      <w:r>
        <w:t>Value Description: Set to Two, mirroring the decimals used in most fiat currencies</w:t>
      </w:r>
    </w:p>
    <w:p>
      <w:pPr>
        <w:pStyle w:val="Normal"/>
        <w:jc w:val="left"/>
      </w:pPr>
      <w:r>
        <w:t>Template Value: 2</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2</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2</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2</w:t>
                </w:r>
              </w:p>
            </w:tc>
          </w:tr>
        </w:tbl>
      </w:r>
    </w:p>
    <w:p>
      <w:pPr>
        <w:pStyle w:val="Heading3"/>
        <w:jc w:val="left"/>
      </w:pPr>
      <w:r>
        <w:t>Properties</w:t>
      </w:r>
    </w:p>
    <w:p>
      <w:pPr>
        <w:pStyle w:val="Normal"/>
        <w:jc w:val="center"/>
      </w:pPr>
      <w:r>
        <w:t/>
      </w:r>
    </w:p>
    <w:p>
      <w:pPr>
        <w:pStyle w:val="Heading2"/>
        <w:jc w:val="left"/>
      </w:pPr>
      <w:r>
        <w:t>Behavior Reference: Transferable</w:t>
      </w:r>
    </w:p>
    <w:p>
      <w:pPr>
        <w:pStyle w:val="Quote"/>
        <w:jc w:val="left"/>
      </w:pPr>
      <w:r>
        <w:t>Reference Notes: Transferable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TransferFromRequest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TransferFromResponse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Delegable</w:t>
      </w:r>
    </w:p>
    <w:p>
      <w:pPr>
        <w:pStyle w:val="Quote"/>
        <w:jc w:val="left"/>
      </w:pPr>
      <w:r>
        <w:t>Reference Notes: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AllowanceResponse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ApproveResponse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Holdable</w:t>
      </w:r>
    </w:p>
    <w:p>
      <w:pPr>
        <w:pStyle w:val="Quote"/>
        <w:jc w:val="left"/>
      </w:pPr>
      <w:r>
        <w:t>Reference Notes: Holdable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Hold</w:t>
      </w:r>
    </w:p>
    <w:p>
      <w:pPr>
        <w:pStyle w:val="Normal"/>
        <w:jc w:val="left"/>
      </w:pPr>
      <w:r>
        <w:t>Id: 6cc942c8-afa4-4bab-9737-27a0b7b24a5b</w:t>
      </w:r>
    </w:p>
    <w:p>
      <w:pPr>
        <w:pStyle w:val="Normal"/>
        <w:jc w:val="left"/>
      </w:pPr>
      <w:r>
        <w:t>Description: Request the create a hold on behalf of the owner of the token in favor of to the party or account provided in the To field of the request. It specifies a notary who is responsible to either execute or release the hold.</w:t>
      </w:r>
    </w:p>
    <w:p>
      <w:pPr>
        <w:pStyle w:val="Heading5"/>
        <w:jc w:val="left"/>
      </w:pPr>
      <w:r>
        <w:t>Request</w:t>
      </w:r>
    </w:p>
    <w:p>
      <w:pPr>
        <w:pStyle w:val="Normal"/>
        <w:jc w:val="left"/>
      </w:pPr>
      <w:r>
        <w:t>Control Message: HoldRequest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To</w:t>
                </w:r>
              </w:p>
            </w:tc>
            <w:tc>
              <w:p>
                <w:r>
                  <w:t>AccountId to transfer ownership of token(s) to after the hold is executed.</w:t>
                </w:r>
              </w:p>
            </w:tc>
          </w:tr>
          <w:tr>
            <w:tc>
              <w:p>
                <w:r>
                  <w:t>Notary</w:t>
                </w:r>
              </w:p>
            </w:tc>
            <w:tc>
              <w:p>
                <w:r>
                  <w:t>AccountId of the notary</w:t>
                </w:r>
              </w:p>
            </w:tc>
          </w:tr>
          <w:tr>
            <w:tc>
              <w:p>
                <w:r>
                  <w:t>Quantity</w:t>
                </w:r>
              </w:p>
            </w:tc>
            <w:tc>
              <w:p>
                <w:r>
                  <w:t>Number of tokens to be put on hold.</w:t>
                </w:r>
              </w:p>
            </w:tc>
          </w:tr>
          <w:tr>
            <w:tc>
              <w:p>
                <w:r>
                  <w:t>TimeToExpiration</w:t>
                </w:r>
              </w:p>
            </w:tc>
            <w:tc>
              <w:p>
                <w:r>
                  <w:t>The duration until the hold is expired. If it is '0' the hold must be perpetual.</w:t>
                </w:r>
              </w:p>
            </w:tc>
          </w:tr>
        </w:tbl>
      </w:r>
    </w:p>
    <w:p>
      <w:pPr>
        <w:pStyle w:val="Heading5"/>
        <w:jc w:val="left"/>
      </w:pPr>
      <w:r>
        <w:t>Response</w:t>
      </w:r>
    </w:p>
    <w:p>
      <w:pPr>
        <w:pStyle w:val="Normal"/>
        <w:jc w:val="left"/>
      </w:pPr>
      <w:r>
        <w:t>Control Message: Hold 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hold request.</w:t>
                </w:r>
              </w:p>
            </w:tc>
          </w:tr>
        </w:tbl>
      </w:r>
    </w:p>
    <w:p>
      <w:pPr>
        <w:pStyle w:val="Heading4"/>
        <w:jc w:val="left"/>
      </w:pPr>
      <w:r>
        <w:t>HoldFrom</w:t>
      </w:r>
    </w:p>
    <w:p>
      <w:pPr>
        <w:pStyle w:val="Normal"/>
        <w:jc w:val="left"/>
      </w:pPr>
      <w:r>
        <w:t>Id: 67f2d012-5b2d-46bc-8ee7-befdf90f66d8</w:t>
      </w:r>
    </w:p>
    <w:p>
      <w:pPr>
        <w:pStyle w:val="Normal"/>
        <w:jc w:val="left"/>
      </w:pPr>
      <w:r>
        <w:t>Description: Request the create a hold on behalf of the party or account provided in the From field in favor of to the party or account provided in the To field of the request. It specifies a notary who is responsible to either execute or release the hold.</w:t>
      </w:r>
    </w:p>
    <w:p>
      <w:pPr>
        <w:pStyle w:val="Heading5"/>
        <w:jc w:val="left"/>
      </w:pPr>
      <w:r>
        <w:t>Request</w:t>
      </w:r>
    </w:p>
    <w:p>
      <w:pPr>
        <w:pStyle w:val="Normal"/>
        <w:jc w:val="left"/>
      </w:pPr>
      <w:r>
        <w:t>Control Message: TransferFromRequest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From</w:t>
                </w:r>
              </w:p>
            </w:tc>
            <w:tc>
              <w:p>
                <w:r>
                  <w:t>AccountId oon which behalf the hold should be created.</w:t>
                </w:r>
              </w:p>
            </w:tc>
          </w:tr>
          <w:tr>
            <w:tc>
              <w:p>
                <w:r>
                  <w:t>To</w:t>
                </w:r>
              </w:p>
            </w:tc>
            <w:tc>
              <w:p>
                <w:r>
                  <w:t>AccountId to transfer ownership of token(s) to after the hold is executed.</w:t>
                </w:r>
              </w:p>
            </w:tc>
          </w:tr>
          <w:tr>
            <w:tc>
              <w:p>
                <w:r>
                  <w:t>Notary</w:t>
                </w:r>
              </w:p>
            </w:tc>
            <w:tc>
              <w:p>
                <w:r>
                  <w:t>AccountId of the notary</w:t>
                </w:r>
              </w:p>
            </w:tc>
          </w:tr>
          <w:tr>
            <w:tc>
              <w:p>
                <w:r>
                  <w:t>Quantity</w:t>
                </w:r>
              </w:p>
            </w:tc>
            <w:tc>
              <w:p>
                <w:r>
                  <w:t>Number of tokens to be put on hold.</w:t>
                </w:r>
              </w:p>
            </w:tc>
          </w:tr>
          <w:tr>
            <w:tc>
              <w:p>
                <w:r>
                  <w:t>TimeToExpiration</w:t>
                </w:r>
              </w:p>
            </w:tc>
            <w:tc>
              <w:p>
                <w:r>
                  <w:t>The duration until the hold is expired. If it is '0' the hold must be perpetual.</w:t>
                </w:r>
              </w:p>
            </w:tc>
          </w:tr>
        </w:tbl>
      </w:r>
    </w:p>
    <w:p>
      <w:pPr>
        <w:pStyle w:val="Heading5"/>
        <w:jc w:val="left"/>
      </w:pPr>
      <w:r>
        <w:t>Response</w:t>
      </w:r>
    </w:p>
    <w:p>
      <w:pPr>
        <w:pStyle w:val="Normal"/>
        <w:jc w:val="left"/>
      </w:pPr>
      <w:r>
        <w:t>Control Message: TransferFromResponse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hold from request.</w:t>
                </w:r>
              </w:p>
            </w:tc>
          </w:tr>
        </w:tbl>
      </w:r>
    </w:p>
    <w:p>
      <w:pPr>
        <w:pStyle w:val="Heading4"/>
        <w:jc w:val="left"/>
      </w:pPr>
      <w:r>
        <w:t>ExecuteHold</w:t>
      </w:r>
    </w:p>
    <w:p>
      <w:pPr>
        <w:pStyle w:val="Normal"/>
        <w:jc w:val="left"/>
      </w:pPr>
      <w:r>
        <w:t>Id: 4946eea9-c59e-4192-9115-2ba57821936c</w:t>
      </w:r>
    </w:p>
    <w:p>
      <w:pPr>
        <w:pStyle w:val="Normal"/>
        <w:jc w:val="left"/>
      </w:pPr>
      <w:r>
        <w:t>Description: Request to execute a hold. Execute means that the specified value is transferred the owner of the token in favor of to the party or account provided in the To field of the Hold / HoldFrom request. If the specified value is less than the hold value the remaining amount is available again to the owner of the tokens. Only the account specified in the Notary field of the Hold / HoldFrom request can make a successful request.</w:t>
      </w:r>
    </w:p>
    <w:p>
      <w:pPr>
        <w:pStyle w:val="Heading5"/>
        <w:jc w:val="left"/>
      </w:pPr>
      <w:r>
        <w:t>Request</w:t>
      </w:r>
    </w:p>
    <w:p>
      <w:pPr>
        <w:pStyle w:val="Normal"/>
        <w:jc w:val="left"/>
      </w:pPr>
      <w:r>
        <w:t>Control Message: ExecuteHoldRequest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Quantity</w:t>
                </w:r>
              </w:p>
            </w:tc>
            <w:tc>
              <w:p>
                <w:r>
                  <w:t>Number of tokens to be put on hold.</w:t>
                </w:r>
              </w:p>
            </w:tc>
          </w:tr>
        </w:tbl>
      </w:r>
    </w:p>
    <w:p>
      <w:pPr>
        <w:pStyle w:val="Heading5"/>
        <w:jc w:val="left"/>
      </w:pPr>
      <w:r>
        <w:t>Response</w:t>
      </w:r>
    </w:p>
    <w:p>
      <w:pPr>
        <w:pStyle w:val="Normal"/>
        <w:jc w:val="left"/>
      </w:pPr>
      <w:r>
        <w:t>Control Message: ExecuteHoldResponse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requester based on the outcome of the execute hold request.</w:t>
                </w:r>
              </w:p>
            </w:tc>
          </w:tr>
        </w:tbl>
      </w:r>
    </w:p>
    <w:p>
      <w:pPr>
        <w:pStyle w:val="Heading4"/>
        <w:jc w:val="left"/>
      </w:pPr>
      <w:r>
        <w:t>ReleaseHold</w:t>
      </w:r>
    </w:p>
    <w:p>
      <w:pPr>
        <w:pStyle w:val="Normal"/>
        <w:jc w:val="left"/>
      </w:pPr>
      <w:r>
        <w:t>Id: d07c8a5a-be40-479c-aa0d-7ac80b7ca9b3</w:t>
      </w:r>
    </w:p>
    <w:p>
      <w:pPr>
        <w:pStyle w:val="Normal"/>
        <w:jc w:val="left"/>
      </w:pPr>
      <w:r>
        <w:t>Description: Request to release a hold. Release means that the transfer is not executed and the held amount is available again for the owner of the token. Until a hold has expired it can only be released by the notary or the party or account provided in the To field of the Hold / HoldFrom request. After it has expired it can be released by any account.</w:t>
      </w:r>
    </w:p>
    <w:p>
      <w:pPr>
        <w:pStyle w:val="Heading5"/>
        <w:jc w:val="left"/>
      </w:pPr>
      <w:r>
        <w:t>Request</w:t>
      </w:r>
    </w:p>
    <w:p>
      <w:pPr>
        <w:pStyle w:val="Normal"/>
        <w:jc w:val="left"/>
      </w:pPr>
      <w:r>
        <w:t>Control Message: ReleaseHoldRequest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bl>
      </w:r>
    </w:p>
    <w:p>
      <w:pPr>
        <w:pStyle w:val="Heading5"/>
        <w:jc w:val="left"/>
      </w:pPr>
      <w:r>
        <w:t>Response</w:t>
      </w:r>
    </w:p>
    <w:p>
      <w:pPr>
        <w:pStyle w:val="Normal"/>
        <w:jc w:val="left"/>
      </w:pPr>
      <w:r>
        <w:t>Control Message: ReleaseHoldResponse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requester based on the outcome of the release hold request.</w:t>
                </w:r>
              </w:p>
            </w:tc>
          </w:tr>
        </w:tbl>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Compliant</w:t>
      </w:r>
    </w:p>
    <w:p>
      <w:pPr>
        <w:pStyle w:val="Quote"/>
        <w:jc w:val="left"/>
      </w:pPr>
      <w:r>
        <w:t>Reference Notes: Compliant</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CheckTransferAllowed</w:t>
      </w:r>
    </w:p>
    <w:p>
      <w:pPr>
        <w:pStyle w:val="Normal"/>
        <w:jc w:val="left"/>
      </w:pPr>
      <w:r>
        <w:t>Id: 3f591127-0508-445b-b449-4adc3d8d90e9</w:t>
      </w:r>
    </w:p>
    <w:p>
      <w:pPr>
        <w:pStyle w:val="Normal"/>
        <w:jc w:val="left"/>
      </w:pPr>
      <w:r>
        <w:t>Description: Checks if the transfer request is allowed to be executed with the given parameters.</w:t>
      </w:r>
    </w:p>
    <w:p>
      <w:pPr>
        <w:pStyle w:val="Heading5"/>
        <w:jc w:val="left"/>
      </w:pPr>
      <w:r>
        <w:t>Request</w:t>
      </w:r>
    </w:p>
    <w:p>
      <w:pPr>
        <w:pStyle w:val="Normal"/>
        <w:jc w:val="left"/>
      </w:pPr>
      <w:r>
        <w:t>Control Message: CheckTransferAllowedRequest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CheckTransferAllowedResponse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transfer is allowed and false means it is not.</w:t>
                </w:r>
              </w:p>
            </w:tc>
          </w:tr>
        </w:tbl>
      </w:r>
    </w:p>
    <w:p>
      <w:pPr>
        <w:pStyle w:val="Heading4"/>
        <w:jc w:val="left"/>
      </w:pPr>
      <w:r>
        <w:t>CheckMintAllowed</w:t>
      </w:r>
    </w:p>
    <w:p>
      <w:pPr>
        <w:pStyle w:val="Normal"/>
        <w:jc w:val="left"/>
      </w:pPr>
      <w:r>
        <w:t>Id: 0323b374-71af-48f6-93ff-2a63366267db</w:t>
      </w:r>
    </w:p>
    <w:p>
      <w:pPr>
        <w:pStyle w:val="Normal"/>
        <w:jc w:val="left"/>
      </w:pPr>
      <w:r>
        <w:t>Description: Checks if the mint request is allowed to be executed with the given parameters.</w:t>
      </w:r>
    </w:p>
    <w:p>
      <w:pPr>
        <w:pStyle w:val="Heading5"/>
        <w:jc w:val="left"/>
      </w:pPr>
      <w:r>
        <w:t>Request</w:t>
      </w:r>
    </w:p>
    <w:p>
      <w:pPr>
        <w:pStyle w:val="Normal"/>
        <w:jc w:val="left"/>
      </w:pPr>
      <w:r>
        <w:t>Control Message: CheckMintAllowedRequest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tokens to transfer.</w:t>
                </w:r>
              </w:p>
            </w:tc>
          </w:tr>
        </w:tbl>
      </w:r>
    </w:p>
    <w:p>
      <w:pPr>
        <w:pStyle w:val="Heading5"/>
        <w:jc w:val="left"/>
      </w:pPr>
      <w:r>
        <w:t>Response</w:t>
      </w:r>
    </w:p>
    <w:p>
      <w:pPr>
        <w:pStyle w:val="Normal"/>
        <w:jc w:val="left"/>
      </w:pPr>
      <w:r>
        <w:t>Control Message: CheckMintAllowedResponse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minting request is allowed and false means it is not.</w:t>
                </w:r>
              </w:p>
            </w:tc>
          </w:tr>
        </w:tbl>
      </w:r>
    </w:p>
    <w:p>
      <w:pPr>
        <w:pStyle w:val="Heading4"/>
        <w:jc w:val="left"/>
      </w:pPr>
      <w:r>
        <w:t>CheckBurnAllowed</w:t>
      </w:r>
    </w:p>
    <w:p>
      <w:pPr>
        <w:pStyle w:val="Normal"/>
        <w:jc w:val="left"/>
      </w:pPr>
      <w:r>
        <w:t>Id: 8edffc4d-d14e-4a98-8c96-338835d5534c</w:t>
      </w:r>
    </w:p>
    <w:p>
      <w:pPr>
        <w:pStyle w:val="Normal"/>
        <w:jc w:val="left"/>
      </w:pPr>
      <w:r>
        <w:t>Description: Checks if the burn request is allowed to be executed with the given parameters.</w:t>
      </w:r>
    </w:p>
    <w:p>
      <w:pPr>
        <w:pStyle w:val="Heading5"/>
        <w:jc w:val="left"/>
      </w:pPr>
      <w:r>
        <w:t>Request</w:t>
      </w:r>
    </w:p>
    <w:p>
      <w:pPr>
        <w:pStyle w:val="Normal"/>
        <w:jc w:val="left"/>
      </w:pPr>
      <w:r>
        <w:t>Control Message: CheckBurnAllowedRequest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Quantity</w:t>
                </w:r>
              </w:p>
            </w:tc>
            <w:tc>
              <w:p>
                <w:r>
                  <w:t>Number of tokens to transfer.</w:t>
                </w:r>
              </w:p>
            </w:tc>
          </w:tr>
        </w:tbl>
      </w:r>
    </w:p>
    <w:p>
      <w:pPr>
        <w:pStyle w:val="Heading5"/>
        <w:jc w:val="left"/>
      </w:pPr>
      <w:r>
        <w:t>Response</w:t>
      </w:r>
    </w:p>
    <w:p>
      <w:pPr>
        <w:pStyle w:val="Normal"/>
        <w:jc w:val="left"/>
      </w:pPr>
      <w:r>
        <w:t>Control Message: CheckMintAllowedResponse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burn request is allowed and false means it is not.</w:t>
                </w:r>
              </w:p>
            </w:tc>
          </w:tr>
        </w:tbl>
      </w:r>
    </w:p>
    <w:p>
      <w:pPr>
        <w:pStyle w:val="Heading3"/>
        <w:jc w:val="left"/>
      </w:pPr>
      <w:r>
        <w:t>Influence Bindings</w:t>
      </w:r>
    </w:p>
    <w:p>
      <w:pPr>
        <w:pStyle w:val="Heading3"/>
        <w:jc w:val="left"/>
      </w:pPr>
      <w:r>
        <w:t>Properties</w:t>
      </w:r>
    </w:p>
    <w:p>
      <w:pPr>
        <w:pStyle w:val="Normal"/>
        <w:jc w:val="center"/>
      </w:pPr>
      <w:r>
        <w:t/>
      </w:r>
    </w:p>
    <w:p>
      <w:pPr>
        <w:pStyle w:val="Heading2"/>
        <w:jc w:val="center"/>
      </w:pPr>
      <w:r>
        <w:t>Behavior Groups</w:t>
      </w:r>
    </w:p>
    <w:p>
      <w:pPr>
        <w:pStyle w:val="Normal"/>
        <w:jc w:val="left"/>
      </w:pPr>
      <w:r>
        <w:t xml:space="preserve">Name: Supply Control</w:t>
      </w:r>
    </w:p>
    <w:p>
      <w:pPr>
        <w:pStyle w:val="Normal"/>
        <w:jc w:val="left"/>
      </w:pPr>
      <w:r>
        <w:t>Id: 91cb89b6-a2ce-44ff-b3a0-f0cb3f117e56</w:t>
      </w:r>
    </w:p>
    <w:p>
      <w:pPr>
        <w:pStyle w:val="Normal"/>
        <w:jc w:val="left"/>
      </w:pPr>
      <w:r>
        <w:t>Reference Notes: Supply Control</w:t>
      </w:r>
    </w:p>
    <w:p>
      <w:pPr>
        <w:pStyle w:val="Heading2"/>
        <w:jc w:val="left"/>
      </w:pPr>
      <w:r>
        <w:t>Reference Values</w:t>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Behavior</w:t>
      </w:r>
    </w:p>
    <w:p>
      <w:pPr>
        <w:pStyle w:val="Heading2"/>
        <w:jc w:val="left"/>
      </w:pPr>
      <w:r>
        <w:t>Behavior Reference: Mintable</w:t>
      </w:r>
    </w:p>
    <w:p>
      <w:pPr>
        <w:pStyle w:val="Quote"/>
        <w:jc w:val="left"/>
      </w:pPr>
      <w:r>
        <w:t>Reference Notes: Mintable in SupplyControl will be bound to the Roles behavior to determine if the requesting minter is allowed to invoke the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Burnable</w:t>
      </w:r>
    </w:p>
    <w:p>
      <w:pPr>
        <w:pStyle w:val="Quote"/>
        <w:jc w:val="left"/>
      </w:pPr>
      <w:r>
        <w:t>Reference Notes: Burnable is not modified from the referenced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Roles</w:t>
      </w:r>
    </w:p>
    <w:p>
      <w:pPr>
        <w:pStyle w:val="Quote"/>
        <w:jc w:val="left"/>
      </w:pPr>
      <w:r>
        <w:t>Reference Notes: Roles support requires that a role or group called 'Minters' be created that allows for account to be added. These accounts will be allowed to invoke MintTo.</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3"/>
        <w:jc w:val="left"/>
      </w:pPr>
      <w:r>
        <w:t>Invocations</w:t>
      </w:r>
    </w:p>
    <w:p>
      <w:pPr>
        <w:pStyle w:val="Heading3"/>
        <w:jc w:val="left"/>
      </w:pPr>
      <w:r>
        <w:t>Influence Bindings</w:t>
      </w:r>
    </w:p>
    <w:p>
      <w:pPr>
        <w:pStyle w:val="Normal"/>
        <w:jc w:val="left"/>
      </w:pPr>
      <w:r>
        <w:t>Influenced Id: f9224e90-3cab-45bf-b5dc-0175121e2ead</w:t>
      </w:r>
    </w:p>
    <w:p>
      <w:pPr>
        <w:pStyle w:val="Normal"/>
        <w:jc w:val="left"/>
      </w:pPr>
      <w:r>
        <w:t>Influenced Name: Mintable</w:t>
      </w:r>
    </w:p>
    <w:p>
      <w:pPr>
        <w:pStyle w:val="Normal"/>
        <w:jc w:val="left"/>
      </w:pPr>
      <w:r>
        <w:t>Influenced Invocation Id: 70499b23-a1dd-4c87-90d6-6e45400f28b5</w:t>
      </w:r>
    </w:p>
    <w:p>
      <w:pPr>
        <w:pStyle w:val="Normal"/>
        <w:jc w:val="left"/>
      </w:pPr>
      <w:r>
        <w:t>Influence Type: Intercept</w:t>
      </w:r>
    </w:p>
    <w:p>
      <w:pPr>
        <w:pStyle w:val="Subtitle"/>
        <w:jc w:val="center"/>
      </w:pPr>
      <w:r>
        <w:t>Influencing Invocation: </w:t>
      </w:r>
    </w:p>
    <w:p>
      <w:pPr>
        <w:pStyle w:val="Heading3"/>
        <w:jc w:val="left"/>
      </w:pPr>
      <w:r>
        <w:t>RoleCheck</w:t>
      </w:r>
    </w:p>
    <w:p>
      <w:pPr>
        <w:pStyle w:val="Normal"/>
        <w:jc w:val="left"/>
      </w:pPr>
      <w:r>
        <w:t>Id: 00a665e3-1dda-441e-8262-5750435c153c</w:t>
      </w:r>
    </w:p>
    <w:p>
      <w:pPr>
        <w:pStyle w:val="Quote"/>
        <w:jc w:val="left"/>
      </w:pPr>
      <w:r>
        <w:t>Check to see if the account is in the Role called 'Minters'</w:t>
      </w:r>
    </w:p>
    <w:p>
      <w:pPr>
        <w:pStyle w:val="Heading4"/>
        <w:jc w:val="left"/>
      </w:pPr>
      <w:r>
        <w:t>Request</w:t>
      </w:r>
    </w:p>
    <w:p>
      <w:pPr>
        <w:pStyle w:val="Normal"/>
        <w:jc w:val="left"/>
      </w:pPr>
      <w:r>
        <w:t>Control Message: IsInRole</w:t>
      </w:r>
    </w:p>
    <w:p>
      <w:pPr>
        <w:pStyle w:val="Normal"/>
        <w:jc w:val="left"/>
      </w:pPr>
      <w:r>
        <w:t>Description: Checking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4"/>
        <w:jc w:val="left"/>
      </w:pPr>
      <w:r>
        <w:t>Response</w:t>
      </w:r>
    </w:p>
    <w:p>
      <w:pPr>
        <w:pStyle w:val="Normal"/>
        <w:jc w:val="left"/>
      </w:pPr>
      <w:r>
        <w:t>Control Message: True/False</w:t>
      </w:r>
    </w:p>
    <w:p>
      <w:pPr>
        <w:pStyle w:val="Normal"/>
        <w:jc w:val="left"/>
      </w:pPr>
      <w:r>
        <w:t>Description: Respond true if the account is in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Subtitle"/>
        <w:jc w:val="center"/>
      </w:pPr>
      <w:r>
        <w:t>Influenced Invocation: </w:t>
      </w:r>
    </w:p>
    <w:p>
      <w:pPr>
        <w:pStyle w:val="Heading3"/>
        <w:jc w:val="left"/>
      </w:pPr>
      <w:r>
        <w:t>MintTo</w:t>
      </w:r>
    </w:p>
    <w:p>
      <w:pPr>
        <w:pStyle w:val="Normal"/>
        <w:jc w:val="left"/>
      </w:pPr>
      <w:r>
        <w:t>Id: 70499b23-a1dd-4c87-90d6-6e45400f28b5</w:t>
      </w:r>
    </w:p>
    <w:p>
      <w:pPr>
        <w:pStyle w:val="Quote"/>
        <w:jc w:val="left"/>
      </w:pPr>
      <w:r>
        <w:t>A request to create new token instances in the class by the owner or a party or account in a role that is granted this permission to another party or account.  Requires a To and Quantity fields in the request.</w:t>
      </w:r>
    </w:p>
    <w:p>
      <w:pPr>
        <w:pStyle w:val="Heading4"/>
        <w:jc w:val="left"/>
      </w:pPr>
      <w:r>
        <w:t>Request</w:t>
      </w:r>
    </w:p>
    <w:p>
      <w:pPr>
        <w:pStyle w:val="Normal"/>
        <w:jc w:val="left"/>
      </w:pPr>
      <w:r>
        <w:t>Control Message: MintToRequest</w:t>
      </w:r>
    </w:p>
    <w:p>
      <w:pPr>
        <w:pStyle w:val="Normal"/>
        <w:jc w:val="left"/>
      </w:pPr>
      <w:r>
        <w:t>Description: The request</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4"/>
        <w:jc w:val="left"/>
      </w:pPr>
      <w:r>
        <w:t>Response</w:t>
      </w:r>
    </w:p>
    <w:p>
      <w:pPr>
        <w:pStyle w:val="Normal"/>
        <w:jc w:val="left"/>
      </w:pPr>
      <w:r>
        <w:t>Control Message: MintToResponse</w:t>
      </w:r>
    </w:p>
    <w:p>
      <w:pPr>
        <w:pStyle w:val="Normal"/>
        <w:jc w:val="left"/>
      </w:pPr>
      <w:r>
        <w:t>Description: The response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Property Sets</w:t>
      </w:r>
    </w:p>
    <w:p>
      <w:pPr>
        <w:pStyle w:val="Heading2"/>
        <w:jc w:val="center"/>
      </w:pPr>
      <w:r>
        <w:t>Child Tokens</w:t>
      </w:r>
    </w:p>
  </w:body>
</w:document>
</file>

<file path=word/footer1.xml><?xml version="1.0" encoding="utf-8"?>
<w:ftr xmlns:w="http://schemas.openxmlformats.org/wordprocessingml/2006/main">
  <w:p>
    <w:pPr>
      <w:pStyle w:val="Footer"/>
    </w:pPr>
    <w:r>
      <w:t>Emoney</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c3008f648bc5437a" /><Relationship Type="http://schemas.openxmlformats.org/officeDocument/2006/relationships/header" Target="/word/header1.xml" Id="R48938fd7dedd41ce" /><Relationship Type="http://schemas.openxmlformats.org/officeDocument/2006/relationships/footer" Target="/word/footer1.xml" Id="R903844033d7243e4"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