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bin" ContentType="image/jpe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bd66bd78db054dda" /></Relationships>
</file>

<file path=word/document.xml><?xml version="1.0" encoding="utf-8"?>
<w:document xmlns:w="http://schemas.openxmlformats.org/wordprocessingml/2006/main">
  <w:body>
    <w:footerReference xmlns:r="http://schemas.openxmlformats.org/officeDocument/2006/relationships" r:id="R8e72a3f62c954fd2"/>
    <w:headerReference xmlns:r="http://schemas.openxmlformats.org/officeDocument/2006/relationships" r:id="Rad69e949416846b2"/>
    <w:p>
      <w:pPr>
        <w:pStyle w:val="Title"/>
        <w:jc w:val="center"/>
      </w:pPr>
      <w:r>
        <w:t xml:space="preserve">ReservedTicket</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TemplateDefinition</w:t>
            </w:r>
          </w:p>
          <w:tcPr>
            <w:tcW w:w="70" w:type="pct"/>
          </w:tcPr>
        </w:tc>
      </w:tr>
      <w:tr>
        <w:tc>
          <w:p>
            <w:r>
              <w:t>Name:</w:t>
            </w:r>
          </w:p>
          <w:tcPr>
            <w:tcW w:w="30" w:type="pct"/>
          </w:tcPr>
        </w:tc>
        <w:tc>
          <w:p>
            <w:r>
              <w:t>ReservedTicket</w:t>
            </w:r>
          </w:p>
          <w:tcPr>
            <w:tcW w:w="70" w:type="pct"/>
          </w:tcPr>
        </w:tc>
      </w:tr>
      <w:tr>
        <w:tc>
          <w:p>
            <w:r>
              <w:t>Id:</w:t>
            </w:r>
          </w:p>
          <w:tcPr>
            <w:tcW w:w="30" w:type="pct"/>
          </w:tcPr>
        </w:tc>
        <w:tc>
          <w:p>
            <w:r>
              <w:t>8dab45c9-cf5d-4752-b4dd-d2192a22886a</w:t>
            </w:r>
          </w:p>
          <w:tcPr>
            <w:tcW w:w="70" w:type="pct"/>
          </w:tcPr>
        </w:tc>
      </w:tr>
      <w:tr>
        <w:tc>
          <w:p>
            <w:r>
              <w:t>Visual:</w:t>
            </w:r>
          </w:p>
          <w:tcPr>
            <w:tcW w:w="30" w:type="pct"/>
          </w:tcPr>
        </w:tc>
        <w:tc>
          <w:p>
            <w:r>
              <w:t>&amp;tau&lt;sub&gt;N&lt;/sub&gt;&lt;i&gt;{~d,t,g,SC}&lt;/i&gt;</w:t>
            </w:r>
          </w:p>
          <w:tcPr>
            <w:tcW w:w="70" w:type="pct"/>
          </w:tcPr>
        </w:tc>
      </w:tr>
      <w:tr>
        <w:tc>
          <w:p>
            <w:r>
              <w:t>Tooling:</w:t>
            </w:r>
          </w:p>
          <w:tcPr>
            <w:tcW w:w="30" w:type="pct"/>
          </w:tcPr>
        </w:tc>
        <w:tc>
          <w:p>
            <w:r>
              <w:t>tN{~d,t,g,SC}</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This is a Variable Supply Whole Non-Fungible where the total supply can vary. The tokens in this class will be of the same series, sharing those properties, but also have unique values like seat number. It is Whole by setting the Decimals property on the subdividable behavior = 0. A token instance can be burned.</w:t>
      </w:r>
    </w:p>
    <w:p>
      <w:pPr>
        <w:pStyle w:val="Heading2"/>
        <w:jc w:val="left"/>
      </w:pPr>
      <w:r>
        <w:t>Example</w:t>
      </w:r>
    </w:p>
    <w:p>
      <w:pPr>
        <w:pStyle w:val="Normal"/>
        <w:jc w:val="left"/>
      </w:pPr>
      <w:r>
        <w:t>This token can be used to represent a unique item in a shared context, like a reserved seat at a concert.</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Reserved Seating</w:t>
                </w:r>
              </w:p>
            </w:tc>
            <w:tc>
              <w:p>
                <w:r>
                  <w:t>All tokens in the class share the venue, date and time for the event, but have a unique seat number.</w:t>
                </w:r>
              </w:p>
            </w:tc>
          </w:tr>
        </w:tbl>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ReservedTicket.proto</w:t>
                </w:r>
              </w:p>
            </w:tc>
            <w:tc>
              <w:p>
                <w:r>
                  <w:t/>
                </w:r>
              </w:p>
            </w:tc>
          </w:tr>
          <w:tr>
            <w:tc>
              <w:p>
                <w:r>
                  <w:t>Uml</w:t>
                </w:r>
              </w:p>
            </w:tc>
            <w:tc>
              <w:p>
                <w:r>
                  <w:t>ReservedTicket.md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bl>
      </w:r>
    </w:p>
    <w:p>
      <w:pPr>
        <w:pStyle w:val="Heading1"/>
        <w:jc w:val="center"/>
      </w:pPr>
      <w:r>
        <w:t>Template Definition</w:t>
      </w:r>
    </w:p>
    <w:p>
      <w:pPr>
        <w:pStyle w:val="Heading2"/>
        <w:jc w:val="left"/>
      </w:pPr>
      <w:r>
        <w:t>Template Formula Reference: tN{~d,t,g,SC}</w:t>
      </w:r>
    </w:p>
    <w:p>
      <w:pPr>
        <w:pStyle w:val="Normal"/>
        <w:jc w:val="left"/>
      </w:pPr>
      <w:r>
        <w:t xml:space="preserve">Name: tN{~d,t,g,SC}</w:t>
      </w:r>
    </w:p>
    <w:p>
      <w:pPr>
        <w:pStyle w:val="Normal"/>
        <w:jc w:val="left"/>
      </w:pPr>
      <w:r>
        <w:t>Id: 38ead4b1-1f94-4bc3-8b1f-2d0dda0c72bb</w:t>
      </w:r>
    </w:p>
    <w:p>
      <w:pPr>
        <w:pStyle w:val="Normal"/>
        <w:jc w:val="left"/>
      </w:pPr>
      <w:r>
        <w:t>Reference Notes: ReservedTicket</w:t>
      </w:r>
    </w:p>
    <w:p>
      <w:pPr>
        <w:pStyle w:val="Heading1"/>
        <w:jc w:val="center"/>
      </w:pPr>
      <w:r>
        <w:t>Base Details</w:t>
      </w:r>
    </w:p>
    <w:tbl>
      <w:tblPr>
        <w:tblStyle w:val="GridTable4-Accent1"/>
        <w:tblBorders>
          <w:top w:val="none" w:sz="12"/>
          <w:bottom w:val="none" w:sz="12"/>
          <w:left w:val="none" w:sz="12"/>
          <w:right w:val="none" w:sz="12"/>
          <w:insideH w:val="none" w:sz="12"/>
          <w:insideV w:val="none" w:sz="12"/>
        </w:tblBorders>
      </w:tblPr>
      <w:tr>
        <w:tc>
          <w:p>
            <w:r>
              <w:t>Token Name:</w:t>
            </w:r>
          </w:p>
          <w:tcPr>
            <w:tcW w:w="30" w:type="pct"/>
          </w:tcPr>
        </w:tc>
        <w:tc>
          <w:p>
            <w:r>
              <w:t/>
            </w:r>
          </w:p>
          <w:tcPr>
            <w:tcW w:w="70" w:type="pct"/>
          </w:tcPr>
        </w:tc>
      </w:tr>
      <w:tr>
        <w:tc>
          <w:p>
            <w:r>
              <w:t>Symbol:</w:t>
            </w:r>
          </w:p>
          <w:tcPr>
            <w:tcW w:w="30" w:type="pct"/>
          </w:tcPr>
        </w:tc>
        <w:tc>
          <w:p>
            <w:r>
              <w:t/>
            </w:r>
          </w:p>
          <w:tcPr>
            <w:tcW w:w="70" w:type="pct"/>
          </w:tcPr>
        </w:tc>
      </w:tr>
      <w:tr>
        <w:tc>
          <w:p>
            <w:r>
              <w:t>Owner:</w:t>
            </w:r>
          </w:p>
          <w:tcPr>
            <w:tcW w:w="30" w:type="pct"/>
          </w:tcPr>
        </w:tc>
        <w:tc>
          <w:p>
            <w:r>
              <w:t/>
            </w:r>
          </w:p>
          <w:tcPr>
            <w:tcW w:w="70" w:type="pct"/>
          </w:tcPr>
        </w:tc>
      </w:tr>
      <w:tr>
        <w:tc>
          <w:p>
            <w:r>
              <w:t>Quantity:</w:t>
            </w:r>
          </w:p>
          <w:tcPr>
            <w:tcW w:w="30" w:type="pct"/>
          </w:tcPr>
        </w:tc>
        <w:tc>
          <w:p>
            <w:r>
              <w:t>0</w:t>
            </w:r>
          </w:p>
          <w:tcPr>
            <w:tcW w:w="70" w:type="pct"/>
          </w:tcPr>
        </w:tc>
      </w:tr>
      <w:tr>
        <w:tc>
          <w:p>
            <w:r>
              <w:t>Decimals:</w:t>
            </w:r>
          </w:p>
          <w:tcPr>
            <w:tcW w:w="30" w:type="pct"/>
          </w:tcPr>
        </w:tc>
        <w:tc>
          <w:p>
            <w:r>
              <w:t>0</w:t>
            </w:r>
          </w:p>
          <w:tcPr>
            <w:tcW w:w="70" w:type="pct"/>
          </w:tcPr>
        </w:tc>
      </w:tr>
      <w:tr>
        <w:tc>
          <w:p>
            <w:r>
              <w:t>Constructor Name:</w:t>
            </w:r>
          </w:p>
          <w:tcPr>
            <w:tcW w:w="30" w:type="pct"/>
          </w:tcPr>
        </w:tc>
        <w:tc>
          <w:p>
            <w:r>
              <w:t>Constructor</w:t>
            </w:r>
          </w:p>
          <w:tcPr>
            <w:tcW w:w="70" w:type="pct"/>
          </w:tcPr>
        </w:tc>
      </w:tr>
    </w:tbl>
    <w:p>
      <w:pPr>
        <w:pStyle w:val="Heading1"/>
        <w:jc w:val="center"/>
      </w:pPr>
      <w:r>
        <w:t>Behaviors</w:t>
      </w:r>
    </w:p>
    <w:p>
      <w:pPr>
        <w:pStyle w:val="Heading2"/>
        <w:jc w:val="left"/>
      </w:pPr>
      <w:r>
        <w:t>Behavior Reference: Non-Subdividable</w:t>
      </w:r>
    </w:p>
    <w:p>
      <w:pPr>
        <w:pStyle w:val="Quote"/>
        <w:jc w:val="left"/>
      </w:pPr>
      <w:r>
        <w:t>Reference Notes: Non-Subdividable</w:t>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True</w:t>
            </w:r>
          </w:p>
          <w:tcPr>
            <w:tcW w:w="70" w:type="pct"/>
          </w:tcPr>
        </w:tc>
      </w:tr>
      <w:tr>
        <w:tc>
          <w:p>
            <w:r>
              <w:t>Constructor:</w:t>
            </w:r>
          </w:p>
          <w:tcPr>
            <w:tcW w:w="30" w:type="pct"/>
          </w:tcPr>
        </w:tc>
        <w:tc>
          <w:p>
            <w:r>
              <w:t/>
            </w:r>
          </w:p>
          <w:tcPr>
            <w:tcW w:w="70" w:type="pct"/>
          </w:tcPr>
        </w:tc>
      </w:tr>
    </w:tbl>
    <w:p>
      <w:pPr>
        <w:pStyle w:val="Heading3"/>
        <w:jc w:val="left"/>
      </w:pPr>
      <w:r>
        <w:t>Applies To</w:t>
      </w:r>
    </w:p>
    <w:p>
      <w:pPr>
        <w:pStyle w:val="Heading3"/>
        <w:jc w:val="left"/>
      </w:pPr>
      <w:r>
        <w:t>Invocations</w:t>
      </w:r>
    </w:p>
    <w:p>
      <w:pPr>
        <w:pStyle w:val="Heading3"/>
        <w:jc w:val="left"/>
      </w:pPr>
      <w:r>
        <w:t>Influence Bindings</w:t>
      </w:r>
    </w:p>
    <w:p>
      <w:pPr>
        <w:pStyle w:val="Heading3"/>
        <w:jc w:val="left"/>
      </w:pPr>
      <w:r>
        <w:t>Properties</w:t>
      </w:r>
    </w:p>
    <w:p>
      <w:pPr>
        <w:pStyle w:val="Heading4"/>
        <w:jc w:val="left"/>
      </w:pPr>
      <w:r>
        <w:t>Name: Decimals</w:t>
      </w:r>
    </w:p>
    <w:p>
      <w:pPr>
        <w:pStyle w:val="Normal"/>
        <w:jc w:val="left"/>
      </w:pPr>
      <w:r>
        <w:t>Value Description: Set to Zero, not allowing any subdivision, usually this is applied to the base token.</w:t>
      </w:r>
    </w:p>
    <w:p>
      <w:pPr>
        <w:pStyle w:val="Normal"/>
        <w:jc w:val="left"/>
      </w:pPr>
      <w:r>
        <w:t>Template Value: 0</w:t>
      </w:r>
    </w:p>
    <w:p>
      <w:pPr>
        <w:pStyle w:val="Heading3"/>
        <w:jc w:val="left"/>
      </w:pPr>
      <w:r>
        <w:t>Invocations</w:t>
      </w:r>
    </w:p>
    <w:p>
      <w:pPr>
        <w:pStyle w:val="Heading4"/>
        <w:jc w:val="left"/>
      </w:pPr>
      <w:r>
        <w:t>GetDecimals</w:t>
      </w:r>
    </w:p>
    <w:p>
      <w:pPr>
        <w:pStyle w:val="Normal"/>
        <w:jc w:val="left"/>
      </w:pPr>
      <w:r>
        <w:t>Id: 2ca7fbb2-ce98-4dda-a6ae-e4ac2527bb33</w:t>
      </w:r>
    </w:p>
    <w:p>
      <w:pPr>
        <w:pStyle w:val="Normal"/>
        <w:jc w:val="left"/>
      </w:pPr>
      <w:r>
        <w:t>Description: Should return 0</w:t>
      </w:r>
    </w:p>
    <w:p>
      <w:pPr>
        <w:pStyle w:val="Heading5"/>
        <w:jc w:val="left"/>
      </w:pPr>
      <w:r>
        <w:t>Request</w:t>
      </w:r>
    </w:p>
    <w:p>
      <w:pPr>
        <w:pStyle w:val="Normal"/>
        <w:jc w:val="left"/>
      </w:pPr>
      <w:r>
        <w:t>Control Message: GetDecimalsRequest</w:t>
      </w:r>
    </w:p>
    <w:p>
      <w:pPr>
        <w:pStyle w:val="Normal"/>
        <w:jc w:val="left"/>
      </w:pPr>
      <w:r>
        <w:t>Description: </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bl>
      </w:r>
    </w:p>
    <w:p>
      <w:pPr>
        <w:pStyle w:val="Heading5"/>
        <w:jc w:val="left"/>
      </w:pPr>
      <w:r>
        <w:t>Response</w:t>
      </w:r>
    </w:p>
    <w:p>
      <w:pPr>
        <w:pStyle w:val="Normal"/>
        <w:jc w:val="left"/>
      </w:pPr>
      <w:r>
        <w:t>Control Message: GetDecimalsResponse</w:t>
      </w:r>
    </w:p>
    <w:p>
      <w:pPr>
        <w:pStyle w:val="Normal"/>
        <w:jc w:val="left"/>
      </w:pPr>
      <w:r>
        <w:t>Description: Return 0</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Decimals</w:t>
                </w:r>
              </w:p>
            </w:tc>
            <w:tc>
              <w:p>
                <w:r>
                  <w:t>0</w:t>
                </w:r>
              </w:p>
            </w:tc>
          </w:tr>
        </w:tbl>
      </w:r>
    </w:p>
    <w:p>
      <w:pPr>
        <w:pStyle w:val="Heading3"/>
        <w:jc w:val="left"/>
      </w:pPr>
      <w:r>
        <w:t>Properties</w:t>
      </w:r>
    </w:p>
    <w:p>
      <w:pPr>
        <w:pStyle w:val="Normal"/>
        <w:jc w:val="center"/>
      </w:pPr>
      <w:r>
        <w:t/>
      </w:r>
    </w:p>
    <w:p>
      <w:pPr>
        <w:pStyle w:val="Heading2"/>
        <w:jc w:val="left"/>
      </w:pPr>
      <w:r>
        <w:t>Behavior Reference: Transferable</w:t>
      </w:r>
    </w:p>
    <w:p>
      <w:pPr>
        <w:pStyle w:val="Quote"/>
        <w:jc w:val="left"/>
      </w:pPr>
      <w:r>
        <w:t>Reference Notes: Transferable</w:t>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True</w:t>
            </w:r>
          </w:p>
          <w:tcPr>
            <w:tcW w:w="70" w:type="pct"/>
          </w:tcPr>
        </w:tc>
      </w:tr>
      <w:tr>
        <w:tc>
          <w:p>
            <w:r>
              <w:t>Constructor:</w:t>
            </w:r>
          </w:p>
          <w:tcPr>
            <w:tcW w:w="30" w:type="pct"/>
          </w:tcPr>
        </w:tc>
        <w:tc>
          <w:p>
            <w:r>
              <w:t/>
            </w:r>
          </w:p>
          <w:tcPr>
            <w:tcW w:w="70" w:type="pct"/>
          </w:tcPr>
        </w:tc>
      </w:tr>
    </w:tbl>
    <w:p>
      <w:pPr>
        <w:pStyle w:val="Heading3"/>
        <w:jc w:val="left"/>
      </w:pPr>
      <w:r>
        <w:t>Applies To</w:t>
      </w:r>
    </w:p>
    <w:p>
      <w:pPr>
        <w:pStyle w:val="Heading3"/>
        <w:jc w:val="left"/>
      </w:pPr>
      <w:r>
        <w:t>Invocations</w:t>
      </w:r>
    </w:p>
    <w:p>
      <w:pPr>
        <w:pStyle w:val="Heading4"/>
        <w:jc w:val="left"/>
      </w:pPr>
      <w:r>
        <w:t>Transfer</w:t>
      </w:r>
    </w:p>
    <w:p>
      <w:pPr>
        <w:pStyle w:val="Normal"/>
        <w:jc w:val="left"/>
      </w:pPr>
      <w:r>
        <w:t>Id: 5d4b8f10-7857-4a2f-9b8c-d61e367a6bcc</w:t>
      </w:r>
    </w:p>
    <w:p>
      <w:pPr>
        <w:pStyle w:val="Normal"/>
        <w:jc w:val="left"/>
      </w:pPr>
      <w:r>
        <w:t>Description: &gt;A transfer request will invoke a transfer from the owner of the token to the party or account provided in the To field of the request. For fungible or subdividable non-fungible tokens, this request may also include value in the Amount field of the request to transfer more than one token of the class in a single request.</w:t>
      </w:r>
    </w:p>
    <w:p>
      <w:pPr>
        <w:pStyle w:val="Heading5"/>
        <w:jc w:val="left"/>
      </w:pPr>
      <w:r>
        <w:t>Request</w:t>
      </w:r>
    </w:p>
    <w:p>
      <w:pPr>
        <w:pStyle w:val="Normal"/>
        <w:jc w:val="left"/>
      </w:pPr>
      <w:r>
        <w:t>Control Message: TransferRequest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To</w:t>
                </w:r>
              </w:p>
            </w:tc>
            <w:tc>
              <w:p>
                <w:r>
                  <w:t>AccountId to transfer ownership to.</w:t>
                </w:r>
              </w:p>
            </w:tc>
          </w:tr>
          <w:tr>
            <w:tc>
              <w:p>
                <w:r>
                  <w:t>Quantity</w:t>
                </w:r>
              </w:p>
            </w:tc>
            <w:tc>
              <w:p>
                <w:r>
                  <w:t>Number of tokens to transfer.</w:t>
                </w:r>
              </w:p>
            </w:tc>
          </w:tr>
        </w:tbl>
      </w:r>
    </w:p>
    <w:p>
      <w:pPr>
        <w:pStyle w:val="Heading5"/>
        <w:jc w:val="left"/>
      </w:pPr>
      <w:r>
        <w:t>Response</w:t>
      </w:r>
    </w:p>
    <w:p>
      <w:pPr>
        <w:pStyle w:val="Normal"/>
        <w:jc w:val="left"/>
      </w:pPr>
      <w:r>
        <w:t>Control Message: TransferResponse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owner based on the outcome of the transfer request.</w:t>
                </w:r>
              </w:p>
            </w:tc>
          </w:tr>
        </w:tbl>
      </w:r>
    </w:p>
    <w:p>
      <w:pPr>
        <w:pStyle w:val="Heading4"/>
        <w:jc w:val="left"/>
      </w:pPr>
      <w:r>
        <w:t>TransferFrom</w:t>
      </w:r>
    </w:p>
    <w:p>
      <w:pPr>
        <w:pStyle w:val="Normal"/>
        <w:jc w:val="left"/>
      </w:pPr>
      <w:r>
        <w:t>Id: 516b4e2f-4a14-4c4f-a6f2-1419d4af35c6</w:t>
      </w:r>
    </w:p>
    <w:p>
      <w:pPr>
        <w:pStyle w:val="Normal"/>
        <w:jc w:val="left"/>
      </w:pPr>
      <w:r>
        <w:t>Description: &gt;A transfer request will invoke a transfer from the owner of the token to the party or account provided in the To field of the request. For fungible or subdividable non-fungible tokens, this request may also include value in the Amount field of the request to transfer more than one token of the class in a single request.</w:t>
      </w:r>
    </w:p>
    <w:p>
      <w:pPr>
        <w:pStyle w:val="Heading5"/>
        <w:jc w:val="left"/>
      </w:pPr>
      <w:r>
        <w:t>Request</w:t>
      </w:r>
    </w:p>
    <w:p>
      <w:pPr>
        <w:pStyle w:val="Normal"/>
        <w:jc w:val="left"/>
      </w:pPr>
      <w:r>
        <w:t>Control Message: TransferFromRequest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From</w:t>
                </w:r>
              </w:p>
            </w:tc>
            <w:tc>
              <w:p>
                <w:r>
                  <w:t>AccountId to transfer ownership from.</w:t>
                </w:r>
              </w:p>
            </w:tc>
          </w:tr>
          <w:tr>
            <w:tc>
              <w:p>
                <w:r>
                  <w:t>To</w:t>
                </w:r>
              </w:p>
            </w:tc>
            <w:tc>
              <w:p>
                <w:r>
                  <w:t>AccountId to transfer ownership to.</w:t>
                </w:r>
              </w:p>
            </w:tc>
          </w:tr>
          <w:tr>
            <w:tc>
              <w:p>
                <w:r>
                  <w:t>Quantity</w:t>
                </w:r>
              </w:p>
            </w:tc>
            <w:tc>
              <w:p>
                <w:r>
                  <w:t>Number of tokens to transfer.</w:t>
                </w:r>
              </w:p>
            </w:tc>
          </w:tr>
        </w:tbl>
      </w:r>
    </w:p>
    <w:p>
      <w:pPr>
        <w:pStyle w:val="Heading5"/>
        <w:jc w:val="left"/>
      </w:pPr>
      <w:r>
        <w:t>Response</w:t>
      </w:r>
    </w:p>
    <w:p>
      <w:pPr>
        <w:pStyle w:val="Normal"/>
        <w:jc w:val="left"/>
      </w:pPr>
      <w:r>
        <w:t>Control Message: TransferFromResponse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owner based on the outcome of the transfer from request.</w:t>
                </w:r>
              </w:p>
            </w:tc>
          </w:tr>
        </w:tbl>
      </w:r>
    </w:p>
    <w:p>
      <w:pPr>
        <w:pStyle w:val="Heading3"/>
        <w:jc w:val="left"/>
      </w:pPr>
      <w:r>
        <w:t>Influence Bindings</w:t>
      </w:r>
    </w:p>
    <w:p>
      <w:pPr>
        <w:pStyle w:val="Heading3"/>
        <w:jc w:val="left"/>
      </w:pPr>
      <w:r>
        <w:t>Properties</w:t>
      </w:r>
    </w:p>
    <w:p>
      <w:pPr>
        <w:pStyle w:val="Normal"/>
        <w:jc w:val="center"/>
      </w:pPr>
      <w:r>
        <w:t/>
      </w:r>
    </w:p>
    <w:p>
      <w:pPr>
        <w:pStyle w:val="Heading2"/>
        <w:jc w:val="left"/>
      </w:pPr>
      <w:r>
        <w:t>Behavior Reference: Delegable</w:t>
      </w:r>
    </w:p>
    <w:p>
      <w:pPr>
        <w:pStyle w:val="Quote"/>
        <w:jc w:val="left"/>
      </w:pPr>
      <w:r>
        <w:t>Reference Notes: Delegable</w:t>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True</w:t>
            </w:r>
          </w:p>
          <w:tcPr>
            <w:tcW w:w="70" w:type="pct"/>
          </w:tcPr>
        </w:tc>
      </w:tr>
      <w:tr>
        <w:tc>
          <w:p>
            <w:r>
              <w:t>Constructor:</w:t>
            </w:r>
          </w:p>
          <w:tcPr>
            <w:tcW w:w="30" w:type="pct"/>
          </w:tcPr>
        </w:tc>
        <w:tc>
          <w:p>
            <w:r>
              <w:t/>
            </w:r>
          </w:p>
          <w:tcPr>
            <w:tcW w:w="70" w:type="pct"/>
          </w:tcPr>
        </w:tc>
      </w:tr>
    </w:tbl>
    <w:p>
      <w:pPr>
        <w:pStyle w:val="Heading3"/>
        <w:jc w:val="left"/>
      </w:pPr>
      <w:r>
        <w:t>Applies To</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Burnable</w:t>
            </w:r>
          </w:p>
          <w:tcPr>
            <w:tcW w:w="70" w:type="pct"/>
          </w:tcPr>
        </w:tc>
      </w:tr>
      <w:tr>
        <w:tc>
          <w:p>
            <w:r>
              <w:t>Id:</w:t>
            </w:r>
          </w:p>
          <w:tcPr>
            <w:tcW w:w="30" w:type="pct"/>
          </w:tcPr>
        </w:tc>
        <w:tc>
          <w:p>
            <w:r>
              <w:t>803297a1-c0f9-4898-9d44-29c9d41cca97</w:t>
            </w:r>
          </w:p>
          <w:tcPr>
            <w:tcW w:w="70" w:type="pct"/>
          </w:tcPr>
        </w:tc>
      </w:tr>
      <w:tr>
        <w:tc>
          <w:p>
            <w:r>
              <w:t>Visual:</w:t>
            </w:r>
          </w:p>
          <w:tcPr>
            <w:tcW w:w="30" w:type="pct"/>
          </w:tcPr>
        </w:tc>
        <w:tc>
          <w:p>
            <w:r>
              <w:t>&lt;i&gt;b&lt;/i&gt;</w:t>
            </w:r>
          </w:p>
          <w:tcPr>
            <w:tcW w:w="70" w:type="pct"/>
          </w:tcPr>
        </w:tc>
      </w:tr>
      <w:tr>
        <w:tc>
          <w:p>
            <w:r>
              <w:t>Tooling:</w:t>
            </w:r>
          </w:p>
          <w:tcPr>
            <w:tcW w:w="30" w:type="pct"/>
          </w:tcPr>
        </w:tc>
        <w:tc>
          <w:p>
            <w:r>
              <w:t>b</w:t>
            </w:r>
          </w:p>
          <w:tcPr>
            <w:tcW w:w="70" w:type="pct"/>
          </w:tcPr>
        </w:tc>
      </w:tr>
      <w:tr>
        <w:tc>
          <w:p>
            <w:r>
              <w:t>Version:</w:t>
            </w:r>
          </w:p>
          <w:tcPr>
            <w:tcW w:w="30" w:type="pct"/>
          </w:tcPr>
        </w:tc>
        <w:tc>
          <w:p>
            <w:r>
              <w:t>1.0</w:t>
            </w:r>
          </w:p>
          <w:tcPr>
            <w:tcW w:w="70" w:type="pct"/>
          </w:tcPr>
        </w:tc>
      </w:tr>
    </w:tbl>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Transferable</w:t>
            </w:r>
          </w:p>
          <w:tcPr>
            <w:tcW w:w="70" w:type="pct"/>
          </w:tcPr>
        </w:tc>
      </w:tr>
      <w:tr>
        <w:tc>
          <w:p>
            <w:r>
              <w:t>Id:</w:t>
            </w:r>
          </w:p>
          <w:tcPr>
            <w:tcW w:w="30" w:type="pct"/>
          </w:tcPr>
        </w:tc>
        <w:tc>
          <w:p>
            <w:r>
              <w:t>af119e58-6d84-4ca6-9656-75e8d312f038</w:t>
            </w:r>
          </w:p>
          <w:tcPr>
            <w:tcW w:w="70" w:type="pct"/>
          </w:tcPr>
        </w:tc>
      </w:tr>
      <w:tr>
        <w:tc>
          <w:p>
            <w:r>
              <w:t>Visual:</w:t>
            </w:r>
          </w:p>
          <w:tcPr>
            <w:tcW w:w="30" w:type="pct"/>
          </w:tcPr>
        </w:tc>
        <w:tc>
          <w:p>
            <w:r>
              <w:t>&lt;i&gt;t&lt;/i&gt;</w:t>
            </w:r>
          </w:p>
          <w:tcPr>
            <w:tcW w:w="70" w:type="pct"/>
          </w:tcPr>
        </w:tc>
      </w:tr>
      <w:tr>
        <w:tc>
          <w:p>
            <w:r>
              <w:t>Tooling:</w:t>
            </w:r>
          </w:p>
          <w:tcPr>
            <w:tcW w:w="30" w:type="pct"/>
          </w:tcPr>
        </w:tc>
        <w:tc>
          <w:p>
            <w:r>
              <w:t>t</w:t>
            </w:r>
          </w:p>
          <w:tcPr>
            <w:tcW w:w="70" w:type="pct"/>
          </w:tcPr>
        </w:tc>
      </w:tr>
      <w:tr>
        <w:tc>
          <w:p>
            <w:r>
              <w:t>Version:</w:t>
            </w:r>
          </w:p>
          <w:tcPr>
            <w:tcW w:w="30" w:type="pct"/>
          </w:tcPr>
        </w:tc>
        <w:tc>
          <w:p>
            <w:r>
              <w:t>1.0</w:t>
            </w:r>
          </w:p>
          <w:tcPr>
            <w:tcW w:w="70" w:type="pct"/>
          </w:tcPr>
        </w:tc>
      </w:tr>
    </w:tbl>
    <w:p>
      <w:pPr>
        <w:pStyle w:val="Heading3"/>
        <w:jc w:val="left"/>
      </w:pPr>
      <w:r>
        <w:t>Invocations</w:t>
      </w:r>
    </w:p>
    <w:p>
      <w:pPr>
        <w:pStyle w:val="Heading4"/>
        <w:jc w:val="left"/>
      </w:pPr>
      <w:r>
        <w:t>Allowance</w:t>
      </w:r>
    </w:p>
    <w:p>
      <w:pPr>
        <w:pStyle w:val="Normal"/>
        <w:jc w:val="left"/>
      </w:pPr>
      <w:r>
        <w:t>Id: 2e0fd8e5-2090-4c62-b094-232c32a78022</w:t>
      </w:r>
    </w:p>
    <w:p>
      <w:pPr>
        <w:pStyle w:val="Normal"/>
        <w:jc w:val="left"/>
      </w:pPr>
      <w:r>
        <w:t>Description: A Request by a party or account to the owner of a token(s) to have the right to perform a delegated behavior on their behalf.</w:t>
      </w:r>
    </w:p>
    <w:p>
      <w:pPr>
        <w:pStyle w:val="Heading5"/>
        <w:jc w:val="left"/>
      </w:pPr>
      <w:r>
        <w:t>Request</w:t>
      </w:r>
    </w:p>
    <w:p>
      <w:pPr>
        <w:pStyle w:val="Normal"/>
        <w:jc w:val="left"/>
      </w:pPr>
      <w:r>
        <w:t>Control Message: AllowanceRequest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Quantity</w:t>
                </w:r>
              </w:p>
            </w:tc>
            <w:tc>
              <w:p>
                <w:r>
                  <w:t>Number of Tokens to be allowed.</w:t>
                </w:r>
              </w:p>
            </w:tc>
          </w:tr>
        </w:tbl>
      </w:r>
    </w:p>
    <w:p>
      <w:pPr>
        <w:pStyle w:val="Heading5"/>
        <w:jc w:val="left"/>
      </w:pPr>
      <w:r>
        <w:t>Response</w:t>
      </w:r>
    </w:p>
    <w:p>
      <w:pPr>
        <w:pStyle w:val="Normal"/>
        <w:jc w:val="left"/>
      </w:pPr>
      <w:r>
        <w:t>Control Message: AllowanceResponse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denial be returned to the allowance requestor.</w:t>
                </w:r>
              </w:p>
            </w:tc>
          </w:tr>
        </w:tbl>
      </w:r>
    </w:p>
    <w:p>
      <w:pPr>
        <w:pStyle w:val="Heading4"/>
        <w:jc w:val="left"/>
      </w:pPr>
      <w:r>
        <w:t>Approve Allowance</w:t>
      </w:r>
    </w:p>
    <w:p>
      <w:pPr>
        <w:pStyle w:val="Normal"/>
        <w:jc w:val="left"/>
      </w:pPr>
      <w:r>
        <w:t>Id: 6d5df99d-2f5e-4c7a-aea4-d2d54176abfd</w:t>
      </w:r>
    </w:p>
    <w:p>
      <w:pPr>
        <w:pStyle w:val="Normal"/>
        <w:jc w:val="left"/>
      </w:pPr>
      <w:r>
        <w:t>Description: Same control message as the AllowanceRequest.  This could allow for an AllowanceRequest to be forwarded to multiple parties needed to Approve and shield this from the requestor. When all Approvals are obtained, an AllowanceResponse could be sent.</w:t>
      </w:r>
    </w:p>
    <w:p>
      <w:pPr>
        <w:pStyle w:val="Heading5"/>
        <w:jc w:val="left"/>
      </w:pPr>
      <w:r>
        <w:t>Request</w:t>
      </w:r>
    </w:p>
    <w:p>
      <w:pPr>
        <w:pStyle w:val="Normal"/>
        <w:jc w:val="left"/>
      </w:pPr>
      <w:r>
        <w:t>Control Message: AllowanceRequest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Quantity</w:t>
                </w:r>
              </w:p>
            </w:tc>
            <w:tc>
              <w:p>
                <w:r>
                  <w:t>Number of Tokens to be allowed.</w:t>
                </w:r>
              </w:p>
            </w:tc>
          </w:tr>
        </w:tbl>
      </w:r>
    </w:p>
    <w:p>
      <w:pPr>
        <w:pStyle w:val="Heading5"/>
        <w:jc w:val="left"/>
      </w:pPr>
      <w:r>
        <w:t>Response</w:t>
      </w:r>
    </w:p>
    <w:p>
      <w:pPr>
        <w:pStyle w:val="Normal"/>
        <w:jc w:val="left"/>
      </w:pPr>
      <w:r>
        <w:t>Control Message: ApproveResponse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response from the owner approving the an allowance request, indicating a allowance quantity the requestor has the option to invoke the Delegable behaviors on the token(s).</w:t>
                </w:r>
              </w:p>
            </w:tc>
          </w:tr>
        </w:tbl>
      </w:r>
    </w:p>
    <w:p>
      <w:pPr>
        <w:pStyle w:val="Heading3"/>
        <w:jc w:val="left"/>
      </w:pPr>
      <w:r>
        <w:t>Influence Bindings</w:t>
      </w:r>
    </w:p>
    <w:p>
      <w:pPr>
        <w:pStyle w:val="Heading3"/>
        <w:jc w:val="left"/>
      </w:pPr>
      <w:r>
        <w:t>Properties</w:t>
      </w:r>
    </w:p>
    <w:p>
      <w:pPr>
        <w:pStyle w:val="Normal"/>
        <w:jc w:val="center"/>
      </w:pPr>
      <w:r>
        <w:t/>
      </w:r>
    </w:p>
    <w:p>
      <w:pPr>
        <w:pStyle w:val="Heading2"/>
        <w:jc w:val="center"/>
      </w:pPr>
      <w:r>
        <w:t>Behavior Groups</w:t>
      </w:r>
    </w:p>
    <w:p>
      <w:pPr>
        <w:pStyle w:val="Heading2"/>
        <w:jc w:val="center"/>
      </w:pPr>
      <w:r>
        <w:t>Property Sets</w:t>
      </w:r>
    </w:p>
    <w:p>
      <w:pPr>
        <w:pStyle w:val="Heading2"/>
        <w:jc w:val="center"/>
      </w:pPr>
      <w:r>
        <w:t>Child Tokens</w:t>
      </w:r>
    </w:p>
  </w:body>
</w:document>
</file>

<file path=word/footer1.xml><?xml version="1.0" encoding="utf-8"?>
<w:ftr xmlns:w="http://schemas.openxmlformats.org/wordprocessingml/2006/main">
  <w:p>
    <w:pPr>
      <w:pStyle w:val="Footer"/>
    </w:pPr>
    <w:r>
      <w:t>ReservedTicket</w:t>
      <w:fldSimple w:instr="PAGE"/>
    </w:r>
  </w:p>
</w:ftr>
</file>

<file path=word/header1.xml><?xml version="1.0" encoding="utf-8"?>
<w:hdr xmlns:w="http://schemas.openxmlformats.org/wordprocessingml/2006/main">
  <w:p>
    <w:r>
      <w:pict>
        <v:shape xmlns:o="urn:schemas-microsoft-com:office:office" xmlns:v="urn:schemas-microsoft-com:vml" id="WordPictureWatermark75517470" style="position:absolute;left:0;text-align:left;margin-left:0;margin-top:0;width:456.15pt;height:456.15pt;z-index:-251656192;mso-position-horizontal:center;mso-position-horizontal-relative:margin;mso-position-vertical:center;mso-position-vertical-relative:margin" o:spid="_x0000_s2051" o:allowincell="false" type="#_x0000_t75">
          <v:imagedata xmlns:r="http://schemas.openxmlformats.org/officeDocument/2006/relationships" gain="19661f" blacklevel="22938f" o:title="水印" r:id="rId999"/>
        </v:shape>
      </w:pict>
    </w:r>
  </w:p>
</w:hdr>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54C48"/>
  </w:style>
  <w:style w:type="paragraph" w:styleId="Heading1">
    <w:name w:val="heading 1"/>
    <w:basedOn w:val="Normal"/>
    <w:next w:val="Normal"/>
    <w:link w:val="Heading1Char"/>
    <w:uiPriority w:val="9"/>
    <w:qFormat/>
    <w:rsid w:val="00704BB7"/>
    <w:pPr>
      <w:keepNext/>
      <w:keepLines/>
      <w:spacing w:before="320" w:after="80" w:line="240" w:lineRule="auto"/>
      <w:jc w:val="center"/>
      <w:outlineLvl w:val="0"/>
    </w:pPr>
    <w:rPr>
      <w:rFonts w:asciiTheme="majorHAnsi" w:eastAsiaTheme="majorEastAsia" w:hAnsiTheme="majorHAnsi" w:cstheme="majorBidi"/>
      <w:b/>
      <w:color w:val="1481AB" w:themeColor="accent1" w:themeShade="BF"/>
      <w:sz w:val="40"/>
      <w:szCs w:val="40"/>
    </w:rPr>
  </w:style>
  <w:style w:type="paragraph" w:styleId="Heading2">
    <w:name w:val="heading 2"/>
    <w:basedOn w:val="Normal"/>
    <w:next w:val="Normal"/>
    <w:link w:val="Heading2Char"/>
    <w:uiPriority w:val="9"/>
    <w:unhideWhenUsed/>
    <w:qFormat/>
    <w:rsid w:val="00704BB7"/>
    <w:pPr>
      <w:keepNext/>
      <w:keepLines/>
      <w:spacing w:before="160" w:after="40" w:line="240" w:lineRule="auto"/>
      <w:jc w:val="center"/>
      <w:outlineLvl w:val="1"/>
    </w:pPr>
    <w:rPr>
      <w:rFonts w:asciiTheme="majorHAnsi" w:eastAsiaTheme="majorEastAsia" w:hAnsiTheme="majorHAnsi" w:cstheme="majorBidi"/>
      <w:sz w:val="36"/>
      <w:szCs w:val="32"/>
      <w:u w:val="single"/>
    </w:rPr>
  </w:style>
  <w:style w:type="paragraph" w:styleId="Heading3">
    <w:name w:val="heading 3"/>
    <w:basedOn w:val="Normal"/>
    <w:next w:val="Normal"/>
    <w:link w:val="Heading3Char"/>
    <w:uiPriority w:val="9"/>
    <w:unhideWhenUsed/>
    <w:qFormat/>
    <w:rsid w:val="00704BB7"/>
    <w:pPr>
      <w:keepNext/>
      <w:keepLines/>
      <w:spacing w:before="160" w:after="0" w:line="240" w:lineRule="auto"/>
      <w:outlineLvl w:val="2"/>
    </w:pPr>
    <w:rPr>
      <w:rFonts w:asciiTheme="majorHAnsi" w:eastAsiaTheme="majorEastAsia" w:hAnsiTheme="majorHAnsi" w:cstheme="majorBidi"/>
      <w:sz w:val="36"/>
      <w:szCs w:val="32"/>
    </w:rPr>
  </w:style>
  <w:style w:type="paragraph" w:styleId="Heading4">
    <w:name w:val="heading 4"/>
    <w:basedOn w:val="Normal"/>
    <w:next w:val="Normal"/>
    <w:link w:val="Heading4Char"/>
    <w:uiPriority w:val="9"/>
    <w:unhideWhenUsed/>
    <w:qFormat/>
    <w:rsid w:val="00704BB7"/>
    <w:pPr>
      <w:keepNext/>
      <w:keepLines/>
      <w:spacing w:before="80" w:after="0"/>
      <w:outlineLvl w:val="3"/>
    </w:pPr>
    <w:rPr>
      <w:rFonts w:asciiTheme="majorHAnsi" w:eastAsiaTheme="majorEastAsia" w:hAnsiTheme="majorHAnsi" w:cstheme="majorBidi"/>
      <w:i/>
      <w:iCs/>
      <w:sz w:val="32"/>
      <w:szCs w:val="30"/>
    </w:rPr>
  </w:style>
  <w:style w:type="paragraph" w:styleId="Heading5">
    <w:name w:val="heading 5"/>
    <w:basedOn w:val="Normal"/>
    <w:next w:val="Normal"/>
    <w:link w:val="Heading5Char"/>
    <w:uiPriority w:val="9"/>
    <w:unhideWhenUsed/>
    <w:qFormat/>
    <w:rsid w:val="006F0482"/>
    <w:pPr>
      <w:keepNext/>
      <w:keepLines/>
      <w:spacing w:before="40" w:after="0"/>
      <w:outlineLvl w:val="4"/>
    </w:pPr>
    <w:rPr>
      <w:rFonts w:asciiTheme="majorHAnsi" w:eastAsiaTheme="majorEastAsia" w:hAnsiTheme="majorHAnsi" w:cstheme="majorBidi"/>
      <w:b/>
      <w:sz w:val="28"/>
      <w:szCs w:val="28"/>
    </w:rPr>
  </w:style>
  <w:style w:type="paragraph" w:styleId="Heading6">
    <w:name w:val="heading 6"/>
    <w:basedOn w:val="Normal"/>
    <w:next w:val="Normal"/>
    <w:link w:val="Heading6Char"/>
    <w:uiPriority w:val="9"/>
    <w:unhideWhenUsed/>
    <w:qFormat/>
    <w:rsid w:val="006F0482"/>
    <w:pPr>
      <w:keepNext/>
      <w:keepLines/>
      <w:spacing w:before="40" w:after="0"/>
      <w:outlineLvl w:val="5"/>
    </w:pPr>
    <w:rPr>
      <w:rFonts w:asciiTheme="majorHAnsi" w:eastAsiaTheme="majorEastAsia" w:hAnsiTheme="majorHAnsi" w:cstheme="majorBidi"/>
      <w:i/>
      <w:iCs/>
      <w:sz w:val="26"/>
      <w:szCs w:val="26"/>
      <w:u w:val="single"/>
    </w:rPr>
  </w:style>
  <w:style w:type="paragraph" w:styleId="Heading7">
    <w:name w:val="heading 7"/>
    <w:basedOn w:val="Normal"/>
    <w:next w:val="Normal"/>
    <w:link w:val="Heading7Char"/>
    <w:uiPriority w:val="9"/>
    <w:unhideWhenUsed/>
    <w:qFormat/>
    <w:rsid w:val="00C54C48"/>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C54C48"/>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C54C48"/>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basedOn w:val="Normal"/>
    <w:rsid w:val="008B5C93"/>
    <w:pPr>
      <w:spacing w:before="100" w:beforeAutospacing="1" w:after="100" w:afterAutospacing="1" w:line="240" w:lineRule="auto"/>
    </w:pPr>
    <w:rPr>
      <w:rFonts w:ascii="Times New Roman" w:eastAsia="Times New Roman" w:hAnsi="Times New Roman"/>
      <w:sz w:val="24"/>
      <w:szCs w:val="24"/>
    </w:rPr>
  </w:style>
  <w:style w:type="character" w:customStyle="1" w:styleId="defaultparagraphfont0">
    <w:name w:val="defaultparagraphfont"/>
    <w:basedOn w:val="DefaultParagraphFont"/>
    <w:rsid w:val="008B5C93"/>
  </w:style>
  <w:style w:type="paragraph" w:customStyle="1" w:styleId="heading10">
    <w:name w:val="heading1"/>
    <w:basedOn w:val="Normal"/>
    <w:rsid w:val="008B5C93"/>
    <w:pPr>
      <w:spacing w:before="100" w:beforeAutospacing="1" w:after="100" w:afterAutospacing="1" w:line="240" w:lineRule="auto"/>
    </w:pPr>
    <w:rPr>
      <w:rFonts w:ascii="Times New Roman" w:eastAsia="Times New Roman" w:hAnsi="Times New Roman"/>
      <w:sz w:val="24"/>
      <w:szCs w:val="24"/>
    </w:rPr>
  </w:style>
  <w:style w:type="paragraph" w:customStyle="1" w:styleId="normal-mediumgrid3-accent1-br-mediumgrid3-accent1-br-mediumgrid3-accent1-br-mediumgrid3-accent1-br-mediumgrid3-accent1-br">
    <w:name w:val="normal-mediumgrid3-accent1-br-mediumgrid3-accent1-br-mediumgrid3-accent1-br-mediumgrid3-accent1-br-mediumgrid3-accent1-br"/>
    <w:basedOn w:val="Normal"/>
    <w:rsid w:val="008B5C93"/>
    <w:pPr>
      <w:spacing w:before="100" w:beforeAutospacing="1" w:after="100" w:afterAutospacing="1" w:line="240" w:lineRule="auto"/>
    </w:pPr>
    <w:rPr>
      <w:rFonts w:ascii="Times New Roman" w:eastAsia="Times New Roman" w:hAnsi="Times New Roman"/>
      <w:sz w:val="24"/>
      <w:szCs w:val="24"/>
    </w:rPr>
  </w:style>
  <w:style w:type="paragraph" w:customStyle="1" w:styleId="normalweb">
    <w:name w:val="normalweb"/>
    <w:basedOn w:val="Normal"/>
    <w:rsid w:val="008B5C93"/>
    <w:pPr>
      <w:spacing w:before="100" w:beforeAutospacing="1" w:after="100" w:afterAutospacing="1" w:line="240" w:lineRule="auto"/>
    </w:pPr>
    <w:rPr>
      <w:rFonts w:ascii="Times New Roman" w:eastAsia="Times New Roman" w:hAnsi="Times New Roman"/>
      <w:sz w:val="24"/>
      <w:szCs w:val="24"/>
    </w:rPr>
  </w:style>
  <w:style w:type="character" w:customStyle="1" w:styleId="Emphasis1">
    <w:name w:val="Emphasis1"/>
    <w:basedOn w:val="DefaultParagraphFont"/>
    <w:rsid w:val="008B5C93"/>
  </w:style>
  <w:style w:type="table" w:styleId="MediumGrid3-Accent1">
    <w:name w:val="Medium Grid 3 Accent 1"/>
    <w:basedOn w:val="TableNormal"/>
    <w:uiPriority w:val="69"/>
    <w:rsid w:val="001E3C59"/>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character" w:customStyle="1" w:styleId="Heading1Char">
    <w:name w:val="Heading 1 Char"/>
    <w:basedOn w:val="DefaultParagraphFont"/>
    <w:link w:val="Heading1"/>
    <w:uiPriority w:val="9"/>
    <w:rsid w:val="00704BB7"/>
    <w:rPr>
      <w:rFonts w:asciiTheme="majorHAnsi" w:eastAsiaTheme="majorEastAsia" w:hAnsiTheme="majorHAnsi" w:cstheme="majorBidi"/>
      <w:b/>
      <w:color w:val="1481AB" w:themeColor="accent1" w:themeShade="BF"/>
      <w:sz w:val="40"/>
      <w:szCs w:val="40"/>
    </w:rPr>
  </w:style>
  <w:style w:type="paragraph" w:styleId="Title">
    <w:name w:val="Title"/>
    <w:basedOn w:val="Normal"/>
    <w:next w:val="Normal"/>
    <w:link w:val="TitleChar"/>
    <w:uiPriority w:val="10"/>
    <w:qFormat/>
    <w:rsid w:val="00C54C48"/>
    <w:pPr>
      <w:pBdr>
        <w:top w:val="single" w:sz="6" w:space="8" w:color="27CED7" w:themeColor="accent3"/>
        <w:bottom w:val="single" w:sz="6" w:space="8" w:color="27CED7" w:themeColor="accent3"/>
      </w:pBdr>
      <w:spacing w:after="400" w:line="240" w:lineRule="auto"/>
      <w:contextualSpacing/>
      <w:jc w:val="center"/>
    </w:pPr>
    <w:rPr>
      <w:rFonts w:asciiTheme="majorHAnsi" w:eastAsiaTheme="majorEastAsia" w:hAnsiTheme="majorHAnsi" w:cstheme="majorBidi"/>
      <w:caps/>
      <w:color w:val="1485A4" w:themeColor="text2"/>
      <w:spacing w:val="30"/>
      <w:sz w:val="72"/>
      <w:szCs w:val="72"/>
    </w:rPr>
  </w:style>
  <w:style w:type="character" w:customStyle="1" w:styleId="TitleChar">
    <w:name w:val="Title Char"/>
    <w:basedOn w:val="DefaultParagraphFont"/>
    <w:link w:val="Title"/>
    <w:uiPriority w:val="10"/>
    <w:rsid w:val="00C54C48"/>
    <w:rPr>
      <w:rFonts w:asciiTheme="majorHAnsi" w:eastAsiaTheme="majorEastAsia" w:hAnsiTheme="majorHAnsi" w:cstheme="majorBidi"/>
      <w:caps/>
      <w:color w:val="1485A4" w:themeColor="text2"/>
      <w:spacing w:val="30"/>
      <w:sz w:val="72"/>
      <w:szCs w:val="72"/>
    </w:rPr>
  </w:style>
  <w:style w:type="paragraph" w:styleId="NoSpacing">
    <w:name w:val="No Spacing"/>
    <w:uiPriority w:val="1"/>
    <w:qFormat/>
    <w:rsid w:val="00C54C48"/>
    <w:pPr>
      <w:spacing w:after="0" w:line="240" w:lineRule="auto"/>
    </w:pPr>
  </w:style>
  <w:style w:type="paragraph" w:styleId="Header">
    <w:name w:val="header"/>
    <w:basedOn w:val="Normal"/>
    <w:link w:val="HeaderChar"/>
    <w:uiPriority w:val="99"/>
    <w:unhideWhenUsed/>
    <w:rsid w:val="009B58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5836"/>
    <w:rPr>
      <w:sz w:val="22"/>
      <w:szCs w:val="22"/>
    </w:rPr>
  </w:style>
  <w:style w:type="paragraph" w:styleId="Footer">
    <w:name w:val="footer"/>
    <w:basedOn w:val="Normal"/>
    <w:link w:val="FooterChar"/>
    <w:uiPriority w:val="99"/>
    <w:unhideWhenUsed/>
    <w:rsid w:val="009B58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5836"/>
    <w:rPr>
      <w:sz w:val="22"/>
      <w:szCs w:val="22"/>
    </w:rPr>
  </w:style>
  <w:style w:type="character" w:styleId="PageNumber">
    <w:name w:val="page number"/>
    <w:basedOn w:val="DefaultParagraphFont"/>
    <w:uiPriority w:val="99"/>
    <w:semiHidden/>
    <w:unhideWhenUsed/>
    <w:rsid w:val="009B5836"/>
  </w:style>
  <w:style w:type="character" w:styleId="SubtleEmphasis">
    <w:name w:val="Subtle Emphasis"/>
    <w:basedOn w:val="DefaultParagraphFont"/>
    <w:uiPriority w:val="19"/>
    <w:qFormat/>
    <w:rsid w:val="00C54C48"/>
    <w:rPr>
      <w:i/>
      <w:iCs/>
      <w:color w:val="595959" w:themeColor="text1" w:themeTint="A6"/>
    </w:rPr>
  </w:style>
  <w:style w:type="character" w:styleId="Emphasis">
    <w:name w:val="Emphasis"/>
    <w:basedOn w:val="DefaultParagraphFont"/>
    <w:uiPriority w:val="20"/>
    <w:qFormat/>
    <w:rsid w:val="00704BB7"/>
    <w:rPr>
      <w:rFonts w:asciiTheme="minorHAnsi" w:hAnsiTheme="minorHAnsi"/>
      <w:i/>
      <w:iCs/>
      <w:color w:val="000000" w:themeColor="text1"/>
      <w:sz w:val="32"/>
    </w:rPr>
  </w:style>
  <w:style w:type="character" w:customStyle="1" w:styleId="Heading2Char">
    <w:name w:val="Heading 2 Char"/>
    <w:basedOn w:val="DefaultParagraphFont"/>
    <w:link w:val="Heading2"/>
    <w:uiPriority w:val="9"/>
    <w:rsid w:val="00704BB7"/>
    <w:rPr>
      <w:rFonts w:asciiTheme="majorHAnsi" w:eastAsiaTheme="majorEastAsia" w:hAnsiTheme="majorHAnsi" w:cstheme="majorBidi"/>
      <w:sz w:val="36"/>
      <w:szCs w:val="32"/>
      <w:u w:val="single"/>
    </w:rPr>
  </w:style>
  <w:style w:type="paragraph" w:styleId="ListParagraph">
    <w:name w:val="List Paragraph"/>
    <w:basedOn w:val="Normal"/>
    <w:uiPriority w:val="34"/>
    <w:qFormat/>
    <w:rsid w:val="00F0677D"/>
    <w:pPr>
      <w:ind w:left="720"/>
      <w:contextualSpacing/>
    </w:pPr>
  </w:style>
  <w:style w:type="character" w:customStyle="1" w:styleId="Heading3Char">
    <w:name w:val="Heading 3 Char"/>
    <w:basedOn w:val="DefaultParagraphFont"/>
    <w:link w:val="Heading3"/>
    <w:uiPriority w:val="9"/>
    <w:rsid w:val="00704BB7"/>
    <w:rPr>
      <w:rFonts w:asciiTheme="majorHAnsi" w:eastAsiaTheme="majorEastAsia" w:hAnsiTheme="majorHAnsi" w:cstheme="majorBidi"/>
      <w:sz w:val="36"/>
      <w:szCs w:val="32"/>
    </w:rPr>
  </w:style>
  <w:style w:type="table" w:styleId="GridTable4-Accent1">
    <w:name w:val="Grid Table 4 Accent 1"/>
    <w:basedOn w:val="TableNormal"/>
    <w:uiPriority w:val="49"/>
    <w:rsid w:val="00F7314F"/>
    <w:tblPr>
      <w:tblStyleRowBandSize w:val="1"/>
      <w:tblStyleColBandSize w:val="1"/>
      <w:tblBorders>
        <w:top w:val="single" w:sz="4" w:space="0" w:color="76CDEE" w:themeColor="accent1" w:themeTint="99"/>
        <w:left w:val="single" w:sz="4" w:space="0" w:color="76CDEE" w:themeColor="accent1" w:themeTint="99"/>
        <w:bottom w:val="single" w:sz="4" w:space="0" w:color="76CDEE" w:themeColor="accent1" w:themeTint="99"/>
        <w:right w:val="single" w:sz="4" w:space="0" w:color="76CDEE" w:themeColor="accent1" w:themeTint="99"/>
        <w:insideH w:val="single" w:sz="4" w:space="0" w:color="76CDEE" w:themeColor="accent1" w:themeTint="99"/>
        <w:insideV w:val="single" w:sz="4" w:space="0" w:color="76CDEE" w:themeColor="accent1" w:themeTint="99"/>
      </w:tblBorders>
    </w:tblPr>
    <w:tblStylePr w:type="firstRow">
      <w:rPr>
        <w:b/>
        <w:bCs/>
        <w:color w:val="FFFFFF" w:themeColor="background1"/>
      </w:rPr>
      <w:tblPr/>
      <w:tcPr>
        <w:tcBorders>
          <w:top w:val="single" w:sz="4" w:space="0" w:color="1CADE4" w:themeColor="accent1"/>
          <w:left w:val="single" w:sz="4" w:space="0" w:color="1CADE4" w:themeColor="accent1"/>
          <w:bottom w:val="single" w:sz="4" w:space="0" w:color="1CADE4" w:themeColor="accent1"/>
          <w:right w:val="single" w:sz="4" w:space="0" w:color="1CADE4" w:themeColor="accent1"/>
          <w:insideH w:val="nil"/>
          <w:insideV w:val="nil"/>
        </w:tcBorders>
        <w:shd w:val="clear" w:color="auto" w:fill="1CADE4" w:themeFill="accent1"/>
      </w:tcPr>
    </w:tblStylePr>
    <w:tblStylePr w:type="lastRow">
      <w:rPr>
        <w:b/>
        <w:bCs/>
      </w:rPr>
      <w:tblPr/>
      <w:tcPr>
        <w:tcBorders>
          <w:top w:val="double" w:sz="4" w:space="0" w:color="1CADE4" w:themeColor="accent1"/>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table" w:styleId="TableGrid">
    <w:name w:val="Table Grid"/>
    <w:basedOn w:val="TableNormal"/>
    <w:uiPriority w:val="59"/>
    <w:rsid w:val="00785E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C7D82"/>
    <w:rPr>
      <w:color w:val="F49100" w:themeColor="hyperlink"/>
      <w:u w:val="single"/>
    </w:rPr>
  </w:style>
  <w:style w:type="character" w:styleId="UnresolvedMention">
    <w:name w:val="Unresolved Mention"/>
    <w:basedOn w:val="DefaultParagraphFont"/>
    <w:uiPriority w:val="99"/>
    <w:semiHidden/>
    <w:unhideWhenUsed/>
    <w:rsid w:val="004C7D82"/>
    <w:rPr>
      <w:color w:val="605E5C"/>
      <w:shd w:val="clear" w:color="auto" w:fill="E1DFDD"/>
    </w:rPr>
  </w:style>
  <w:style w:type="table" w:styleId="GridTable1Light-Accent6">
    <w:name w:val="Grid Table 1 Light Accent 6"/>
    <w:basedOn w:val="TableNormal"/>
    <w:uiPriority w:val="46"/>
    <w:rsid w:val="00C54C48"/>
    <w:tblPr>
      <w:tblStyleRowBandSize w:val="1"/>
      <w:tblStyleColBandSize w:val="1"/>
      <w:tblBorders>
        <w:top w:val="single" w:sz="4" w:space="0" w:color="C0DAD8" w:themeColor="accent6" w:themeTint="66"/>
        <w:left w:val="single" w:sz="4" w:space="0" w:color="C0DAD8" w:themeColor="accent6" w:themeTint="66"/>
        <w:bottom w:val="single" w:sz="4" w:space="0" w:color="C0DAD8" w:themeColor="accent6" w:themeTint="66"/>
        <w:right w:val="single" w:sz="4" w:space="0" w:color="C0DAD8" w:themeColor="accent6" w:themeTint="66"/>
        <w:insideH w:val="single" w:sz="4" w:space="0" w:color="C0DAD8" w:themeColor="accent6" w:themeTint="66"/>
        <w:insideV w:val="single" w:sz="4" w:space="0" w:color="C0DAD8" w:themeColor="accent6" w:themeTint="66"/>
      </w:tblBorders>
    </w:tblPr>
    <w:tblStylePr w:type="firstRow">
      <w:rPr>
        <w:b/>
        <w:bCs/>
      </w:rPr>
      <w:tblPr/>
      <w:tcPr>
        <w:tcBorders>
          <w:bottom w:val="single" w:sz="12" w:space="0" w:color="A0C7C5" w:themeColor="accent6" w:themeTint="99"/>
        </w:tcBorders>
      </w:tcPr>
    </w:tblStylePr>
    <w:tblStylePr w:type="lastRow">
      <w:rPr>
        <w:b/>
        <w:bCs/>
      </w:rPr>
      <w:tblPr/>
      <w:tcPr>
        <w:tcBorders>
          <w:top w:val="double" w:sz="2" w:space="0" w:color="A0C7C5" w:themeColor="accent6" w:themeTint="99"/>
        </w:tcBorders>
      </w:tcPr>
    </w:tblStylePr>
    <w:tblStylePr w:type="firstCol">
      <w:rPr>
        <w:b/>
        <w:bCs/>
      </w:rPr>
    </w:tblStylePr>
    <w:tblStylePr w:type="lastCol">
      <w:rPr>
        <w:b/>
        <w:bCs/>
      </w:rPr>
    </w:tblStylePr>
  </w:style>
  <w:style w:type="table" w:styleId="GridTable3">
    <w:name w:val="Grid Table 3"/>
    <w:basedOn w:val="TableNormal"/>
    <w:uiPriority w:val="48"/>
    <w:rsid w:val="00C54C48"/>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ListTable1Light">
    <w:name w:val="List Table 1 Light"/>
    <w:basedOn w:val="TableNormal"/>
    <w:uiPriority w:val="46"/>
    <w:rsid w:val="00C54C48"/>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3">
    <w:name w:val="Plain Table 3"/>
    <w:basedOn w:val="TableNormal"/>
    <w:uiPriority w:val="43"/>
    <w:rsid w:val="00C54C48"/>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ListTable6Colorful-Accent1">
    <w:name w:val="List Table 6 Colorful Accent 1"/>
    <w:basedOn w:val="TableNormal"/>
    <w:uiPriority w:val="51"/>
    <w:rsid w:val="00C54C48"/>
    <w:rPr>
      <w:color w:val="1481AB" w:themeColor="accent1" w:themeShade="BF"/>
    </w:rPr>
    <w:tblPr>
      <w:tblStyleRowBandSize w:val="1"/>
      <w:tblStyleColBandSize w:val="1"/>
      <w:tblBorders>
        <w:top w:val="single" w:sz="4" w:space="0" w:color="1CADE4" w:themeColor="accent1"/>
        <w:bottom w:val="single" w:sz="4" w:space="0" w:color="1CADE4" w:themeColor="accent1"/>
      </w:tblBorders>
    </w:tblPr>
    <w:tblStylePr w:type="firstRow">
      <w:rPr>
        <w:b/>
        <w:bCs/>
      </w:rPr>
      <w:tblPr/>
      <w:tcPr>
        <w:tcBorders>
          <w:bottom w:val="single" w:sz="4" w:space="0" w:color="1CADE4" w:themeColor="accent1"/>
        </w:tcBorders>
      </w:tcPr>
    </w:tblStylePr>
    <w:tblStylePr w:type="lastRow">
      <w:rPr>
        <w:b/>
        <w:bCs/>
      </w:rPr>
      <w:tblPr/>
      <w:tcPr>
        <w:tcBorders>
          <w:top w:val="double" w:sz="4" w:space="0" w:color="1CADE4" w:themeColor="accent1"/>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character" w:customStyle="1" w:styleId="Heading4Char">
    <w:name w:val="Heading 4 Char"/>
    <w:basedOn w:val="DefaultParagraphFont"/>
    <w:link w:val="Heading4"/>
    <w:uiPriority w:val="9"/>
    <w:rsid w:val="00704BB7"/>
    <w:rPr>
      <w:rFonts w:asciiTheme="majorHAnsi" w:eastAsiaTheme="majorEastAsia" w:hAnsiTheme="majorHAnsi" w:cstheme="majorBidi"/>
      <w:i/>
      <w:iCs/>
      <w:sz w:val="32"/>
      <w:szCs w:val="30"/>
    </w:rPr>
  </w:style>
  <w:style w:type="character" w:customStyle="1" w:styleId="Heading5Char">
    <w:name w:val="Heading 5 Char"/>
    <w:basedOn w:val="DefaultParagraphFont"/>
    <w:link w:val="Heading5"/>
    <w:uiPriority w:val="9"/>
    <w:rsid w:val="006F0482"/>
    <w:rPr>
      <w:rFonts w:asciiTheme="majorHAnsi" w:eastAsiaTheme="majorEastAsia" w:hAnsiTheme="majorHAnsi" w:cstheme="majorBidi"/>
      <w:b/>
      <w:sz w:val="28"/>
      <w:szCs w:val="28"/>
    </w:rPr>
  </w:style>
  <w:style w:type="character" w:customStyle="1" w:styleId="Heading6Char">
    <w:name w:val="Heading 6 Char"/>
    <w:basedOn w:val="DefaultParagraphFont"/>
    <w:link w:val="Heading6"/>
    <w:uiPriority w:val="9"/>
    <w:rsid w:val="006F0482"/>
    <w:rPr>
      <w:rFonts w:asciiTheme="majorHAnsi" w:eastAsiaTheme="majorEastAsia" w:hAnsiTheme="majorHAnsi" w:cstheme="majorBidi"/>
      <w:i/>
      <w:iCs/>
      <w:sz w:val="26"/>
      <w:szCs w:val="26"/>
      <w:u w:val="single"/>
    </w:rPr>
  </w:style>
  <w:style w:type="character" w:customStyle="1" w:styleId="Heading7Char">
    <w:name w:val="Heading 7 Char"/>
    <w:basedOn w:val="DefaultParagraphFont"/>
    <w:link w:val="Heading7"/>
    <w:uiPriority w:val="9"/>
    <w:rsid w:val="00C54C48"/>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C54C48"/>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C54C48"/>
    <w:rPr>
      <w:b/>
      <w:bCs/>
      <w:i/>
      <w:iCs/>
    </w:rPr>
  </w:style>
  <w:style w:type="paragraph" w:styleId="Caption">
    <w:name w:val="caption"/>
    <w:basedOn w:val="Normal"/>
    <w:next w:val="Normal"/>
    <w:uiPriority w:val="35"/>
    <w:semiHidden/>
    <w:unhideWhenUsed/>
    <w:qFormat/>
    <w:rsid w:val="00C54C48"/>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C54C48"/>
    <w:pPr>
      <w:numPr>
        <w:ilvl w:val="1"/>
      </w:numPr>
      <w:jc w:val="center"/>
    </w:pPr>
    <w:rPr>
      <w:color w:val="1485A4" w:themeColor="text2"/>
      <w:sz w:val="28"/>
      <w:szCs w:val="28"/>
    </w:rPr>
  </w:style>
  <w:style w:type="character" w:customStyle="1" w:styleId="SubtitleChar">
    <w:name w:val="Subtitle Char"/>
    <w:basedOn w:val="DefaultParagraphFont"/>
    <w:link w:val="Subtitle"/>
    <w:uiPriority w:val="11"/>
    <w:rsid w:val="00C54C48"/>
    <w:rPr>
      <w:color w:val="1485A4" w:themeColor="text2"/>
      <w:sz w:val="28"/>
      <w:szCs w:val="28"/>
    </w:rPr>
  </w:style>
  <w:style w:type="character" w:styleId="Strong">
    <w:name w:val="Strong"/>
    <w:basedOn w:val="DefaultParagraphFont"/>
    <w:uiPriority w:val="22"/>
    <w:qFormat/>
    <w:rsid w:val="00C54C48"/>
    <w:rPr>
      <w:b/>
      <w:bCs/>
    </w:rPr>
  </w:style>
  <w:style w:type="paragraph" w:styleId="Quote">
    <w:name w:val="Quote"/>
    <w:basedOn w:val="Normal"/>
    <w:next w:val="Normal"/>
    <w:link w:val="QuoteChar"/>
    <w:uiPriority w:val="29"/>
    <w:qFormat/>
    <w:rsid w:val="00C54C48"/>
    <w:pPr>
      <w:spacing w:before="160"/>
      <w:ind w:left="720" w:right="720"/>
      <w:jc w:val="center"/>
    </w:pPr>
    <w:rPr>
      <w:i/>
      <w:iCs/>
      <w:color w:val="1D99A0" w:themeColor="accent3" w:themeShade="BF"/>
      <w:sz w:val="24"/>
      <w:szCs w:val="24"/>
    </w:rPr>
  </w:style>
  <w:style w:type="character" w:customStyle="1" w:styleId="QuoteChar">
    <w:name w:val="Quote Char"/>
    <w:basedOn w:val="DefaultParagraphFont"/>
    <w:link w:val="Quote"/>
    <w:uiPriority w:val="29"/>
    <w:rsid w:val="00C54C48"/>
    <w:rPr>
      <w:i/>
      <w:iCs/>
      <w:color w:val="1D99A0" w:themeColor="accent3" w:themeShade="BF"/>
      <w:sz w:val="24"/>
      <w:szCs w:val="24"/>
    </w:rPr>
  </w:style>
  <w:style w:type="paragraph" w:styleId="IntenseQuote">
    <w:name w:val="Intense Quote"/>
    <w:basedOn w:val="Normal"/>
    <w:next w:val="Normal"/>
    <w:link w:val="IntenseQuoteChar"/>
    <w:uiPriority w:val="30"/>
    <w:qFormat/>
    <w:rsid w:val="00C54C48"/>
    <w:pPr>
      <w:spacing w:before="160" w:line="276" w:lineRule="auto"/>
      <w:ind w:left="936" w:right="936"/>
      <w:jc w:val="center"/>
    </w:pPr>
    <w:rPr>
      <w:rFonts w:asciiTheme="majorHAnsi" w:eastAsiaTheme="majorEastAsia" w:hAnsiTheme="majorHAnsi" w:cstheme="majorBidi"/>
      <w:caps/>
      <w:color w:val="1481AB" w:themeColor="accent1" w:themeShade="BF"/>
      <w:sz w:val="28"/>
      <w:szCs w:val="28"/>
    </w:rPr>
  </w:style>
  <w:style w:type="character" w:customStyle="1" w:styleId="IntenseQuoteChar">
    <w:name w:val="Intense Quote Char"/>
    <w:basedOn w:val="DefaultParagraphFont"/>
    <w:link w:val="IntenseQuote"/>
    <w:uiPriority w:val="30"/>
    <w:rsid w:val="00C54C48"/>
    <w:rPr>
      <w:rFonts w:asciiTheme="majorHAnsi" w:eastAsiaTheme="majorEastAsia" w:hAnsiTheme="majorHAnsi" w:cstheme="majorBidi"/>
      <w:caps/>
      <w:color w:val="1481AB" w:themeColor="accent1" w:themeShade="BF"/>
      <w:sz w:val="28"/>
      <w:szCs w:val="28"/>
    </w:rPr>
  </w:style>
  <w:style w:type="character" w:styleId="IntenseEmphasis">
    <w:name w:val="Intense Emphasis"/>
    <w:basedOn w:val="DefaultParagraphFont"/>
    <w:uiPriority w:val="21"/>
    <w:qFormat/>
    <w:rsid w:val="00C54C48"/>
    <w:rPr>
      <w:b/>
      <w:bCs/>
      <w:i/>
      <w:iCs/>
      <w:color w:val="auto"/>
    </w:rPr>
  </w:style>
  <w:style w:type="character" w:styleId="SubtleReference">
    <w:name w:val="Subtle Reference"/>
    <w:basedOn w:val="DefaultParagraphFont"/>
    <w:uiPriority w:val="31"/>
    <w:qFormat/>
    <w:rsid w:val="00C54C48"/>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C54C48"/>
    <w:rPr>
      <w:b/>
      <w:bCs/>
      <w:caps w:val="0"/>
      <w:smallCaps/>
      <w:color w:val="auto"/>
      <w:spacing w:val="0"/>
      <w:u w:val="single"/>
    </w:rPr>
  </w:style>
  <w:style w:type="character" w:styleId="BookTitle">
    <w:name w:val="Book Title"/>
    <w:basedOn w:val="DefaultParagraphFont"/>
    <w:uiPriority w:val="33"/>
    <w:qFormat/>
    <w:rsid w:val="00C54C48"/>
    <w:rPr>
      <w:b/>
      <w:bCs/>
      <w:caps w:val="0"/>
      <w:smallCaps/>
      <w:spacing w:val="0"/>
    </w:rPr>
  </w:style>
  <w:style w:type="paragraph" w:styleId="TOCHeading">
    <w:name w:val="TOC Heading"/>
    <w:basedOn w:val="Heading1"/>
    <w:next w:val="Normal"/>
    <w:uiPriority w:val="39"/>
    <w:semiHidden/>
    <w:unhideWhenUsed/>
    <w:qFormat/>
    <w:rsid w:val="00C54C48"/>
    <w:pPr>
      <w:outlineLvl w:val="9"/>
    </w:pPr>
  </w:style>
</w:styles>
</file>

<file path=word/_rels/document.xml.rels>&#65279;<?xml version="1.0" encoding="utf-8"?><Relationships xmlns="http://schemas.openxmlformats.org/package/2006/relationships"><Relationship Type="http://schemas.openxmlformats.org/officeDocument/2006/relationships/styles" Target="/word/styles.xml" Id="Ra65d879813bc40b2" /><Relationship Type="http://schemas.openxmlformats.org/officeDocument/2006/relationships/header" Target="/word/header1.xml" Id="Rad69e949416846b2" /><Relationship Type="http://schemas.openxmlformats.org/officeDocument/2006/relationships/footer" Target="/word/footer1.xml" Id="R8e72a3f62c954fd2" /></Relationships>
</file>

<file path=word/_rels/header1.xml.rels>&#65279;<?xml version="1.0" encoding="utf-8"?><Relationships xmlns="http://schemas.openxmlformats.org/package/2006/relationships"><Relationship Type="http://schemas.openxmlformats.org/officeDocument/2006/relationships/image" Target="/media/image.bin" Id="rId999" /></Relationships>
</file>