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15337ac4d04c4f" /></Relationships>
</file>

<file path=word/document.xml><?xml version="1.0" encoding="utf-8"?>
<w:document xmlns:w="http://schemas.openxmlformats.org/wordprocessingml/2006/main">
  <w:body>
    <w:footerReference xmlns:r="http://schemas.openxmlformats.org/officeDocument/2006/relationships" r:id="R712aafd5457f4318"/>
    <w:headerReference xmlns:r="http://schemas.openxmlformats.org/officeDocument/2006/relationships" r:id="R7e4ce718bd764894"/>
    <w:p>
      <w:pPr>
        <w:pStyle w:val="Heading2"/>
        <w:jc w:val="center"/>
      </w:pPr>
      <w:r>
        <w:t xml:space="preserve">Base: tF{d,t,b}</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tF{d,t,b}</w:t>
            </w:r>
          </w:p>
          <w:tcPr>
            <w:tcW w:w="70" w:type="pct"/>
          </w:tcPr>
        </w:tc>
      </w:tr>
      <w:tr>
        <w:tc>
          <w:p>
            <w:r>
              <w:t>Id:</w:t>
            </w:r>
          </w:p>
          <w:tcPr>
            <w:tcW w:w="30" w:type="pct"/>
          </w:tcPr>
        </w:tc>
        <w:tc>
          <w:p>
            <w:r>
              <w:t>41cf2071-68c3-4808-b217-ccdf99cb0543</w:t>
            </w:r>
          </w:p>
          <w:tcPr>
            <w:tcW w:w="70" w:type="pct"/>
          </w:tcPr>
        </w:tc>
      </w:tr>
      <w:tr>
        <w:tc>
          <w:p>
            <w:r>
              <w:t>Visual:</w:t>
            </w:r>
          </w:p>
          <w:tcPr>
            <w:tcW w:w="30" w:type="pct"/>
          </w:tcPr>
        </w:tc>
        <w:tc>
          <w:p>
            <w:r>
              <w:t>&amp;tau;&lt;sub&gt;F&lt;/sub&gt;{&lt;i&gt;d,t,b&lt;/i&gt;}</w:t>
            </w:r>
          </w:p>
          <w:tcPr>
            <w:tcW w:w="70" w:type="pct"/>
          </w:tcPr>
        </w:tc>
      </w:tr>
      <w:tr>
        <w:tc>
          <w:p>
            <w:r>
              <w:t>Tooling:</w:t>
            </w:r>
          </w:p>
          <w:tcPr>
            <w:tcW w:w="30" w:type="pct"/>
          </w:tcPr>
        </w:tc>
        <w:tc>
          <w:p>
            <w:r>
              <w:t>tF{d,t,b}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Fungible where the total supply is set at creation using the Quantity property of the Base token.  It is fractional by setting the Decimals property on the subdividable behavior. A token instance can be burned.</w:t>
      </w:r>
    </w:p>
    <w:p>
      <w:pPr>
        <w:pStyle w:val="Heading2"/>
        <w:jc w:val="left"/>
      </w:pPr>
      <w:r>
        <w:t>Example</w:t>
      </w:r>
    </w:p>
    <w:p>
      <w:pPr>
        <w:pStyle w:val="Normal"/>
        <w:jc w:val="left"/>
      </w:pPr>
      <w:r>
        <w:t>Typically used to represent an Initial Coin offering with a fixed supply.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FractionalFungible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tF{d,t,b}</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3004174eb83430d" /><Relationship Type="http://schemas.openxmlformats.org/officeDocument/2006/relationships/header" Target="/word/header1.xml" Id="R7e4ce718bd764894" /><Relationship Type="http://schemas.openxmlformats.org/officeDocument/2006/relationships/footer" Target="/word/footer1.xml" Id="R712aafd5457f431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