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dfb9bd7fc64bc8" /></Relationships>
</file>

<file path=word/document.xml><?xml version="1.0" encoding="utf-8"?>
<w:document xmlns:w="http://schemas.openxmlformats.org/wordprocessingml/2006/main">
  <w:body>
    <w:footerReference xmlns:r="http://schemas.openxmlformats.org/officeDocument/2006/relationships" r:id="R3a7b6a986e9f444e"/>
    <w:headerReference xmlns:r="http://schemas.openxmlformats.org/officeDocument/2006/relationships" r:id="Rf98cd866087a4ed2"/>
    <w:p>
      <w:pPr>
        <w:pStyle w:val="Title"/>
        <w:jc w:val="center"/>
      </w:pPr>
      <w:r>
        <w:t xml:space="preserve">Bond</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John Whelan</w:t>
                </w:r>
              </w:p>
            </w:tc>
            <w:tc>
              <w:p>
                <w:r>
                  <w:t>Santander Corporate &amp; Investment Bank</w:t>
                </w:r>
              </w:p>
            </w:tc>
          </w:tr>
        </w:tbl>
      </w:r>
    </w:p>
    <w:p>
      <w:pPr>
        <w:pStyle w:val="Heading3"/>
        <w:jc w:val="center"/>
      </w:pPr>
      <w:r>
        <w:t>Taxonomy Formula: tF{~d,t,c}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value is referenced and the token represents it and can be owned or used digitally via its token.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Fixed Supply Whole Fungible where the total supply is set at creation using the Quantity property of the Base token.  It is fractional by setting the Decimals property on the subdividable behavior. A token instance can be burned.</w:t>
      </w:r>
    </w:p>
    <w:p>
      <w:pPr>
        <w:pStyle w:val="Heading3"/>
        <w:jc w:val="left"/>
      </w:pPr>
      <w:r>
        <w:t>Example</w:t>
      </w:r>
    </w:p>
    <w:p>
      <w:pPr>
        <w:pStyle w:val="Normal"/>
        <w:jc w:val="left"/>
      </w:pPr>
      <w:r>
        <w:t>Fixed denomination, fungible, transferable off-chain security.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Bond</w:t>
                </w:r>
              </w:p>
            </w:tc>
            <w:tc>
              <w:p>
                <w:r>
                  <w:t>Fixed denomination, fungible, transferable off-chain security.</w:t>
                </w:r>
              </w:p>
            </w:tc>
          </w:tr>
        </w:tbl>
      </w:r>
    </w:p>
    <w:p>
      <w:pPr>
        <w:pStyle w:val="Heading3"/>
        <w:jc w:val="left"/>
      </w:pPr>
      <w:r>
        <w:t>Comments</w:t>
      </w:r>
    </w:p>
    <w:p>
      <w:pPr>
        <w:pStyle w:val="Normal"/>
        <w:jc w:val="left"/>
      </w:pPr>
      <w:r>
        <w:t>Note that the quantity for the base token will be the only tokens created. The first implementation of this token issued 100 tokens.</w:t>
      </w:r>
    </w:p>
    <w:p>
      <w:pPr>
        <w:pStyle w:val="Heading1"/>
        <w:jc w:val="left"/>
      </w:pPr>
      <w:r>
        <w:t>Bond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Transferable</w:t>
      </w:r>
    </w:p>
    <w:p>
      <w:pPr>
        <w:pStyle w:val="Heading1"/>
        <w:jc w:val="center"/>
      </w:pPr>
      <w:r>
        <w:t>Bond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Banco Santander, first end-to-end blockchain bond.</w:t>
                </w:r>
              </w:p>
            </w:tc>
            <w:tc>
              <w:p>
                <w:r>
                  <w:t>EthereumSolidity</w:t>
                </w:r>
              </w:p>
            </w:tc>
            <w:tc>
              <w:p>
                <w:r>
                  <w:t>https://www.santander.com/csgs/Satellite/CFWCSancomQP01/en_GB/Corporate/Press-room/2019/09/12/Santander-launches-the-first-end-to-end-blockchain-bond.html</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100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 to see if the account has been whitelisted, KYC, by the custodian.</w:t>
      </w:r>
    </w:p>
    <w:p>
      <w:pPr>
        <w:pStyle w:val="Heading5"/>
        <w:jc w:val="left"/>
      </w:pPr>
      <w:r>
        <w:t>Request Message:</w:t>
      </w:r>
    </w:p>
    <w:p>
      <w:pPr>
        <w:pStyle w:val="Normal"/>
        <w:jc w:val="left"/>
      </w:pPr>
      <w:r>
        <w:t>CheckTransferAllowedRequest</w:t>
      </w:r>
    </w:p>
    <w:p>
      <w:pPr>
        <w:pStyle w:val="Normal"/>
        <w:jc w:val="left"/>
      </w:pPr>
      <w:r>
        <w:t>Description: Checking the whitelist.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Bond - f58bb0b08d30e4a311274ac737d5301f3b461d4551f6dab9013d2c968774bf62</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60fae7994d24a12" /><Relationship Type="http://schemas.openxmlformats.org/officeDocument/2006/relationships/numbering" Target="/word/numbering.xml" Id="NumberingDefinitionsPart001" /><Relationship Type="http://schemas.openxmlformats.org/officeDocument/2006/relationships/header" Target="/word/header1.xml" Id="Rf98cd866087a4ed2" /><Relationship Type="http://schemas.openxmlformats.org/officeDocument/2006/relationships/footer" Target="/word/footer1.xml" Id="R3a7b6a986e9f444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