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c12c1acb4c34615" /></Relationships>
</file>

<file path=word/document.xml><?xml version="1.0" encoding="utf-8"?>
<w:document xmlns:w="http://schemas.openxmlformats.org/wordprocessingml/2006/main">
  <w:body>
    <w:footerReference xmlns:r="http://schemas.openxmlformats.org/officeDocument/2006/relationships" r:id="R1dd62867145c44ed"/>
    <w:headerReference xmlns:r="http://schemas.openxmlformats.org/officeDocument/2006/relationships" r:id="Rdde836687d4a4899"/>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r>
            <w:tc>
              <w:p>
                <w:r>
                  <w:t>Jason Pancis</w:t>
                </w:r>
              </w:p>
            </w:tc>
            <w:tc>
              <w:p>
                <w:r>
                  <w:t>Envision Blockchain</w:t>
                </w:r>
              </w:p>
            </w:tc>
          </w:tr>
        </w:tbl>
      </w:r>
    </w:p>
    <w:p>
      <w:pPr>
        <w:pStyle w:val="Heading3"/>
        <w:jc w:val="center"/>
      </w:pPr>
      <w:r>
        <w:t>Taxonomy Formula: tF’{d,t,m,r}+phEGO</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a reference token which represents a specified volume of metric tons of green house gas (GHG) emissions. This token is fractional or divisible up to 8 decimal places. It is a unique token so that it may be issued in quantities of a fraction or numbers larger than 1. Meaning, if in the production of an item that a supplier creates generates 1.242 tons of carbon a token can be created with the same amount. This token also has the Carbon Emission Generator Object property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emissions within a supply chain as it allow for CETs to follow items through the supply chain between parties. This allows for carbon tracing for commodities and an enables accounting for total carbon emissions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body>
</w:document>
</file>

<file path=word/footer1.xml><?xml version="1.0" encoding="utf-8"?>
<w:ftr xmlns:w="http://schemas.openxmlformats.org/wordprocessingml/2006/main">
  <w:p>
    <w:pPr>
      <w:pStyle w:val="Footer"/>
    </w:pPr>
    <w:r>
      <w:t>CET - 56368dff935dfdc5bd365f6984c802674c394eed6d99b3c0a668321e9cb8f1ca</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a11ba514148412b" /><Relationship Type="http://schemas.openxmlformats.org/officeDocument/2006/relationships/numbering" Target="/word/numbering.xml" Id="NumberingDefinitionsPart001" /><Relationship Type="http://schemas.openxmlformats.org/officeDocument/2006/relationships/header" Target="/word/header1.xml" Id="Rdde836687d4a4899" /><Relationship Type="http://schemas.openxmlformats.org/officeDocument/2006/relationships/footer" Target="/word/footer1.xml" Id="R1dd62867145c44ed"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