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61210dd1164328" /></Relationships>
</file>

<file path=word/document.xml><?xml version="1.0" encoding="utf-8"?>
<w:document xmlns:w="http://schemas.openxmlformats.org/wordprocessingml/2006/main">
  <w:body>
    <w:footerReference xmlns:r="http://schemas.openxmlformats.org/officeDocument/2006/relationships" r:id="Rf0121204899243f2"/>
    <w:headerReference xmlns:r="http://schemas.openxmlformats.org/officeDocument/2006/relationships" r:id="R8cf2bfd31b974d45"/>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tF’{d,t,m,r}+phEGO</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represents representing a specified volume of metric tons of green house gas (GHG) emissions. This token is fractional or dividable up to 8 decimal places. It is a unique token so that it may be issued in quantities of a fraction or numbers larger than 1. Meaning, if in the production of an item that a supplier creates generates 1.242 tons of carbon a token can be created with the same amount. This token also has the Carbon Emission Generator Object property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within a supply chain as it allow for CETs to follow items through the supply chain between parties. This allows for carbon tracing for commodities and total carbon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body>
</w:document>
</file>

<file path=word/footer1.xml><?xml version="1.0" encoding="utf-8"?>
<w:ftr xmlns:w="http://schemas.openxmlformats.org/wordprocessingml/2006/main">
  <w:p>
    <w:pPr>
      <w:pStyle w:val="Footer"/>
    </w:pPr>
    <w:r>
      <w:t>CET - a142f406d242c34fbd283a2660b017ada336d288ee73f1c42148f1583c12ebc9</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e266eeb7a7a4633" /><Relationship Type="http://schemas.openxmlformats.org/officeDocument/2006/relationships/numbering" Target="/word/numbering.xml" Id="NumberingDefinitionsPart001" /><Relationship Type="http://schemas.openxmlformats.org/officeDocument/2006/relationships/header" Target="/word/header1.xml" Id="R8cf2bfd31b974d45" /><Relationship Type="http://schemas.openxmlformats.org/officeDocument/2006/relationships/footer" Target="/word/footer1.xml" Id="Rf0121204899243f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