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jpeg"/>
  <Override PartName="/word/styles.xml" ContentType="application/vnd.openxmlformats-officedocument.wordprocessingml.styles+xml"/>
  <Override PartName="/word/numbering.xml" ContentType="application/vnd.openxmlformats-officedocument.wordprocessingml.numbering+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3a1caeddaba24ed0" /></Relationships>
</file>

<file path=word/document.xml><?xml version="1.0" encoding="utf-8"?>
<w:document xmlns:w="http://schemas.openxmlformats.org/wordprocessingml/2006/main">
  <w:body>
    <w:footerReference xmlns:r="http://schemas.openxmlformats.org/officeDocument/2006/relationships" r:id="Rbd68b4a7094d4739"/>
    <w:headerReference xmlns:r="http://schemas.openxmlformats.org/officeDocument/2006/relationships" r:id="R6fb2ce9aeea64cf3"/>
    <w:p>
      <w:pPr>
        <w:pStyle w:val="Title"/>
        <w:jc w:val="center"/>
      </w:pPr>
      <w:r>
        <w:t xml:space="preserve">Document</w:t>
      </w:r>
    </w:p>
    <w:p>
      <w:pPr>
        <w:pStyle w:val="Heading3"/>
        <w:jc w:val="center"/>
      </w:pPr>
      <w:r>
        <w:t>Taxonomy Formula: [tN{~d,t,s,e,b}+phFile]</w:t>
      </w:r>
    </w:p>
    <w:p>
      <w:pPr>
        <w:pStyle w:val="Heading1"/>
        <w:jc w:val="center"/>
      </w:pPr>
      <w:r>
        <w:t>Token Specification Summary</w:t>
      </w:r>
    </w:p>
    <w:p>
      <w:pPr>
        <w:pStyle w:val="Heading2"/>
        <w:jc w:val="left"/>
      </w:pPr>
      <w:r>
        <w:t>Token Classification</w:t>
      </w:r>
    </w:p>
    <w:p>
      <w:pPr>
        <w:pStyle w:val="Normal"/>
        <w:jc w:val="left"/>
      </w:pPr>
      <w:r>
        <w:tbl>
          <w:tblPr>
            <w:tblStyle w:val="GridTable4-Accent1"/>
          </w:tblPr>
          <w:tr>
            <w:tc>
              <w:p>
                <w:r>
                  <w:t>Template Type:</w:t>
                </w:r>
              </w:p>
              <w:tcPr>
                <w:tcW w:w="20" w:type="pct"/>
              </w:tcPr>
            </w:tc>
            <w:tc>
              <w:p>
                <w:r>
                  <w:t>SingleToken</w:t>
                </w:r>
              </w:p>
              <w:tcPr>
                <w:tcW w:w="15" w:type="pct"/>
              </w:tcPr>
            </w:tc>
            <w:tc>
              <w:p>
                <w:r>
                  <w:t>This token has no sub or child tokens.</w:t>
                </w:r>
              </w:p>
              <w:tcPr>
                <w:tcW w:w="65" w:type="pct"/>
              </w:tcPr>
            </w:tc>
          </w:tr>
          <w:tr>
            <w:tc>
              <w:p>
                <w:r>
                  <w:t>Token Type:</w:t>
                </w:r>
              </w:p>
              <w:tcPr>
                <w:tcW w:w="20" w:type="pct"/>
              </w:tcPr>
            </w:tc>
            <w:tc>
              <w:p>
                <w:r>
                  <w:t>NonFungible</w:t>
                </w:r>
              </w:p>
              <w:tcPr>
                <w:tcW w:w="15" w:type="pct"/>
              </w:tcPr>
            </w:tc>
            <w:tc>
              <w:p>
                <w:r>
                  <w:t>This token is not interchangeable with other tokens of the same type as they have different values.</w:t>
                </w:r>
              </w:p>
              <w:tcPr>
                <w:tcW w:w="65" w:type="pct"/>
              </w:tcPr>
            </w:tc>
          </w:tr>
          <w:tr>
            <w:tc>
              <w:p>
                <w:r>
                  <w:t>Token Unit:</w:t>
                </w:r>
              </w:p>
              <w:tcPr>
                <w:tcW w:w="20" w:type="pct"/>
              </w:tcPr>
            </w:tc>
            <w:tc>
              <w:p>
                <w:r>
                  <w:t>Singleton</w:t>
                </w:r>
              </w:p>
              <w:tcPr>
                <w:tcW w:w="15" w:type="pct"/>
              </w:tcPr>
            </w:tc>
            <w:tc>
              <w:p>
                <w:r>
                  <w:t>There is only one instance of this token and it cannot be subdivided.</w:t>
                </w:r>
              </w:p>
              <w:tcPr>
                <w:tcW w:w="65" w:type="pct"/>
              </w:tcPr>
            </w:tc>
          </w:tr>
          <w:tr>
            <w:tc>
              <w:p>
                <w:r>
                  <w:t>Value Type:</w:t>
                </w:r>
              </w:p>
              <w:tcPr>
                <w:tcW w:w="20" w:type="pct"/>
              </w:tcPr>
            </w:tc>
            <w:tc>
              <w:p>
                <w:r>
                  <w:t>Intrinsic</w:t>
                </w:r>
              </w:p>
              <w:tcPr>
                <w:tcW w:w="15" w:type="pct"/>
              </w:tcPr>
            </w:tc>
            <w:tc>
              <w:p>
                <w:r>
                  <w:t>This token is purely a digital token represents value directly, it represents no external physical form and cannot be a receipt or title for a material item or property.</w:t>
                </w:r>
              </w:p>
              <w:tcPr>
                <w:tcW w:w="65" w:type="pct"/>
              </w:tcPr>
            </w:tc>
          </w:tr>
          <w:tr>
            <w:tc>
              <w:p>
                <w:r>
                  <w:t>Representation Type:</w:t>
                </w:r>
              </w:p>
              <w:tcPr>
                <w:tcW w:w="20" w:type="pct"/>
              </w:tcPr>
            </w:tc>
            <w:tc>
              <w:p>
                <w:r>
                  <w:t>Common</w:t>
                </w:r>
              </w:p>
              <w:tcPr>
                <w:tcW w:w="15" w:type="pct"/>
              </w:tcPr>
            </w:tc>
            <w:tc>
              <w:p>
                <w:r>
                  <w:t>This token is simply represented as a balance or quantity attributed to an owner address where all the balances are recorded on the same balance sheet, like a bank account. All instances can easily share common properties and locating them is simple.</w:t>
                </w:r>
              </w:p>
              <w:tcPr>
                <w:tcW w:w="65" w:type="pct"/>
              </w:tcPr>
            </w:tc>
          </w:tr>
        </w:tbl>
      </w:r>
    </w:p>
    <w:p>
      <w:pPr>
        <w:pStyle w:val="Quote"/>
        <w:jc w:val="left"/>
      </w:pPr>
      <w:r>
        <w:t>Used to represent a document that may be a scanned or PDF printed document. It records the document hash to check for tampering, a file path to fetch the file from storage as well as the ability to be encumbered. Implements the File property-set.</w:t>
      </w:r>
    </w:p>
    <w:p>
      <w:pPr>
        <w:pStyle w:val="Heading3"/>
        <w:jc w:val="left"/>
      </w:pPr>
      <w:r>
        <w:t>Example</w:t>
      </w:r>
    </w:p>
    <w:p>
      <w:pPr>
        <w:pStyle w:val="Normal"/>
        <w:jc w:val="left"/>
      </w:pPr>
      <w:r>
        <w:t>For example: you may choose to create an invoice token from an invoice document.  You can then allow another token or contract representing a loan or proof of financing to encumber the document establishing a link between the two.</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Scanned Document</w:t>
                </w:r>
              </w:p>
            </w:tc>
            <w:tc>
              <w:p>
                <w:r>
                  <w:t>A scanned copy of a certificate, like a diploma or industry certification</w:t>
                </w:r>
              </w:p>
            </w:tc>
          </w:tr>
        </w:tbl>
      </w:r>
    </w:p>
    <w:p>
      <w:pPr>
        <w:pStyle w:val="Heading1"/>
        <w:jc w:val="left"/>
      </w:pPr>
      <w:r>
        <w:t>Document is:</w:t>
      </w:r>
    </w:p>
    <w:p>
      <w:pPr>
        <w:numPr>
          <w:ilvl w:val="0"/>
          <w:numId w:val="1"/>
        </w:numPr>
        <w:spacing w:after="0"/>
        <w:ind w:left="720" w:hanging="360"/>
        <w:rPr>
          <w:rFonts w:ascii="Symbol" w:hAnsi="Symbol"/>
        </w:rPr>
      </w:pPr>
      <w:r>
        <w:t>Singleton</w:t>
      </w:r>
    </w:p>
    <w:p>
      <w:pPr>
        <w:numPr>
          <w:ilvl w:val="0"/>
          <w:numId w:val="1"/>
        </w:numPr>
        <w:spacing w:after="0"/>
        <w:ind w:left="720" w:hanging="360"/>
        <w:rPr>
          <w:rFonts w:ascii="Symbol" w:hAnsi="Symbol"/>
        </w:rPr>
      </w:pPr>
      <w:r>
        <w:t>Non-Subdividable</w:t>
      </w:r>
    </w:p>
    <w:p>
      <w:pPr>
        <w:numPr>
          <w:ilvl w:val="0"/>
          <w:numId w:val="1"/>
        </w:numPr>
        <w:spacing w:after="0"/>
        <w:ind w:left="720" w:hanging="360"/>
        <w:rPr>
          <w:rFonts w:ascii="Symbol" w:hAnsi="Symbol"/>
        </w:rPr>
      </w:pPr>
      <w:r>
        <w:t>Transferable</w:t>
      </w:r>
    </w:p>
    <w:p>
      <w:pPr>
        <w:numPr>
          <w:ilvl w:val="0"/>
          <w:numId w:val="1"/>
        </w:numPr>
        <w:spacing w:after="0"/>
        <w:ind w:left="720" w:hanging="360"/>
        <w:rPr>
          <w:rFonts w:ascii="Symbol" w:hAnsi="Symbol"/>
        </w:rPr>
      </w:pPr>
      <w:r>
        <w:t>Burnable</w:t>
      </w:r>
    </w:p>
    <w:p>
      <w:pPr>
        <w:numPr>
          <w:ilvl w:val="0"/>
          <w:numId w:val="1"/>
        </w:numPr>
        <w:spacing w:after="0"/>
        <w:ind w:left="720" w:hanging="360"/>
        <w:rPr>
          <w:rFonts w:ascii="Symbol" w:hAnsi="Symbol"/>
        </w:rPr>
      </w:pPr>
      <w:r>
        <w:t>Encumberable</w:t>
      </w:r>
    </w:p>
    <w:p>
      <w:pPr>
        <w:pStyle w:val="Heading1"/>
        <w:jc w:val="center"/>
      </w:pPr>
      <w:r>
        <w:t>Document Details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Base</w:t>
            </w:r>
          </w:p>
          <w:tcPr>
            <w:tcW w:w="70" w:type="pct"/>
          </w:tcPr>
        </w:tc>
      </w:tr>
      <w:tr>
        <w:tc>
          <w:p>
            <w:r>
              <w:t>Name:</w:t>
            </w:r>
          </w:p>
          <w:tcPr>
            <w:tcW w:w="30" w:type="pct"/>
          </w:tcPr>
        </w:tc>
        <w:tc>
          <w:p>
            <w:r>
              <w:t>Singleton</w:t>
            </w:r>
          </w:p>
          <w:tcPr>
            <w:tcW w:w="70" w:type="pct"/>
          </w:tcPr>
        </w:tc>
      </w:tr>
      <w:tr>
        <w:tc>
          <w:p>
            <w:r>
              <w:t>Id:</w:t>
            </w:r>
          </w:p>
          <w:tcPr>
            <w:tcW w:w="30" w:type="pct"/>
          </w:tcPr>
        </w:tc>
        <w:tc>
          <w:p>
            <w:r>
              <w:t>53101d87-3c93-4d8b-ab39-1e629406d062</w:t>
            </w:r>
          </w:p>
          <w:tcPr>
            <w:tcW w:w="70" w:type="pct"/>
          </w:tcPr>
        </w:tc>
      </w:tr>
      <w:tr>
        <w:tc>
          <w:p>
            <w:r>
              <w:t>Visual:</w:t>
            </w:r>
          </w:p>
          <w:tcPr>
            <w:tcW w:w="30" w:type="pct"/>
          </w:tcPr>
        </w:tc>
        <w:tc>
          <w:p>
            <w:r>
              <w:t>&amp;tau&lt;sub&gt;N&lt;/sub&gt;{&lt;i&gt;s&lt;/i&gt;}</w:t>
            </w:r>
          </w:p>
          <w:tcPr>
            <w:tcW w:w="70" w:type="pct"/>
          </w:tcPr>
        </w:tc>
      </w:tr>
      <w:tr>
        <w:tc>
          <w:p>
            <w:r>
              <w:t>Tooling:</w:t>
            </w:r>
          </w:p>
          <w:tcPr>
            <w:tcW w:w="30" w:type="pct"/>
          </w:tcPr>
        </w:tc>
        <w:tc>
          <w:p>
            <w:r>
              <w:t>tN{s}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CryptoKitties, Art, Reserved Seat for an event.</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Property Title</w:t>
                </w:r>
              </w:p>
            </w:tc>
            <w:tc>
              <w:p>
                <w:r>
                  <w:t>The physical property title, land for example, have the identical look and feel from the paper, colors and seal. The difference between them are the values like property address, plot numbers, etc. These values make the title unique. There are some properties on a class of titles that are the same, like the county or jurisdiction the property is in. For titles that have some shared values and unique values, it may make more sense to define them in the same class.</w:t>
                </w:r>
              </w:p>
            </w:tc>
          </w:tr>
          <w:tr>
            <w:tc>
              <w:p>
                <w:r>
                  <w:t>Art</w:t>
                </w:r>
              </w:p>
            </w:tc>
            <w:tc>
              <w:p>
                <w:r>
                  <w:t>The valuable painting or other unique piece of art may not share any property values with other paintings, unless the artist is extremely prolific in generating tens of thousands of pieces of art, it would make sense to define each piece of art as its own class. Meaning there would be only a single piece of art represented by the token class. If the art cannot be sub-divided, meaning there can be no fractional owners, this token class can be a singleton if the quantity in the class is set to 1. A singleton has only one instance in the class, essentially meaning the class is the instance, and not be sub-dividable and no new tokens can be minted in the class.</w:t>
                </w:r>
              </w:p>
            </w:tc>
          </w:tr>
        </w:tbl>
      </w:r>
    </w:p>
    <w:p>
      <w:pPr>
        <w:pStyle w:val="Heading2"/>
        <w:jc w:val="left"/>
      </w:pPr>
      <w:r>
        <w:t>Comments</w:t>
      </w:r>
    </w:p>
    <w:p>
      <w:pPr>
        <w:pStyle w:val="Normal"/>
        <w:jc w:val="left"/>
      </w:pPr>
      <w:r>
        <w:t>Non-fungible tokens require additional thought about how these tokens may or may not be grouped together in the same class.</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w:t>
                </w:r>
              </w:p>
            </w:tc>
            <w:tc>
              <w:p>
                <w:r>
                  <w:t>Base Token Definition</w:t>
                </w:r>
              </w:p>
            </w:tc>
          </w:tr>
          <w:tr>
            <w:tc>
              <w:p>
                <w:r>
                  <w:t>Behavior</w:t>
                </w:r>
              </w:p>
            </w:tc>
            <w:tc>
              <w:p>
                <w:r>
                  <w:t>~d</w:t>
                </w:r>
              </w:p>
            </w:tc>
            <w:tc>
              <w:p>
                <w:r>
                  <w:t>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bl>
      </w:r>
    </w:p>
    <w:p>
      <w:pPr>
        <w:pStyle w:val="Heading1"/>
        <w:jc w:val="center"/>
      </w:pPr>
      <w:r>
        <w:t>Base Details</w:t>
      </w:r>
    </w:p>
    <w:tbl>
      <w:tblPr>
        <w:tblStyle w:val="GridTable4-Accent1"/>
        <w:tblBorders>
          <w:top w:val="none" w:sz="12"/>
          <w:bottom w:val="none" w:sz="12"/>
          <w:left w:val="none" w:sz="12"/>
          <w:right w:val="none" w:sz="12"/>
          <w:insideH w:val="none" w:sz="12"/>
          <w:insideV w:val="none" w:sz="12"/>
        </w:tblBorders>
      </w:tblPr>
      <w:tr>
        <w:tc>
          <w:p>
            <w:r>
              <w:t>Token Name:</w:t>
            </w:r>
          </w:p>
          <w:tcPr>
            <w:tcW w:w="30" w:type="pct"/>
          </w:tcPr>
        </w:tc>
        <w:tc>
          <w:p>
            <w:r>
              <w:t/>
            </w:r>
          </w:p>
          <w:tcPr>
            <w:tcW w:w="70" w:type="pct"/>
          </w:tcPr>
        </w:tc>
      </w:tr>
      <w:tr>
        <w:tc>
          <w:p>
            <w:r>
              <w:t>Token Type:</w:t>
            </w:r>
          </w:p>
          <w:tcPr>
            <w:tcW w:w="30" w:type="pct"/>
          </w:tcPr>
        </w:tc>
        <w:tc>
          <w:p>
            <w:r>
              <w:t>NonFungible</w:t>
            </w:r>
          </w:p>
          <w:tcPr>
            <w:tcW w:w="70" w:type="pct"/>
          </w:tcPr>
        </w:tc>
      </w:tr>
      <w:tr>
        <w:tc>
          <w:p>
            <w:r>
              <w:t>Representation Type:</w:t>
            </w:r>
          </w:p>
          <w:tcPr>
            <w:tcW w:w="30" w:type="pct"/>
          </w:tcPr>
        </w:tc>
        <w:tc>
          <w:p>
            <w:r>
              <w:t>Common</w:t>
            </w:r>
          </w:p>
          <w:tcPr>
            <w:tcW w:w="70" w:type="pct"/>
          </w:tcPr>
        </w:tc>
      </w:tr>
      <w:tr>
        <w:tc>
          <w:p>
            <w:r>
              <w:t>Value Type:</w:t>
            </w:r>
          </w:p>
          <w:tcPr>
            <w:tcW w:w="30" w:type="pct"/>
          </w:tcPr>
        </w:tc>
        <w:tc>
          <w:p>
            <w:r>
              <w:t>Intrinsic</w:t>
            </w:r>
          </w:p>
          <w:tcPr>
            <w:tcW w:w="70" w:type="pct"/>
          </w:tcPr>
        </w:tc>
      </w:tr>
      <w:tr>
        <w:tc>
          <w:p>
            <w:r>
              <w:t>Token Unit:</w:t>
            </w:r>
          </w:p>
          <w:tcPr>
            <w:tcW w:w="30" w:type="pct"/>
          </w:tcPr>
        </w:tc>
        <w:tc>
          <w:p>
            <w:r>
              <w:t>Singleton</w:t>
            </w:r>
          </w:p>
          <w:tcPr>
            <w:tcW w:w="70" w:type="pct"/>
          </w:tcPr>
        </w:tc>
      </w:tr>
      <w:tr>
        <w:tc>
          <w:p>
            <w:r>
              <w:t>Symbol:</w:t>
            </w:r>
          </w:p>
          <w:tcPr>
            <w:tcW w:w="30" w:type="pct"/>
          </w:tcPr>
        </w:tc>
        <w:tc>
          <w:p>
            <w:r>
              <w:t/>
            </w:r>
          </w:p>
          <w:tcPr>
            <w:tcW w:w="70" w:type="pct"/>
          </w:tcPr>
        </w:tc>
      </w:tr>
      <w:tr>
        <w:tc>
          <w:p>
            <w:r>
              <w:t>Owner:</w:t>
            </w:r>
          </w:p>
          <w:tcPr>
            <w:tcW w:w="30" w:type="pct"/>
          </w:tcPr>
        </w:tc>
        <w:tc>
          <w:p>
            <w:r>
              <w:t/>
            </w:r>
          </w:p>
          <w:tcPr>
            <w:tcW w:w="70" w:type="pct"/>
          </w:tcPr>
        </w:tc>
      </w:tr>
      <w:tr>
        <w:tc>
          <w:p>
            <w:r>
              <w:t>Quantity:</w:t>
            </w:r>
          </w:p>
          <w:tcPr>
            <w:tcW w:w="30" w:type="pct"/>
          </w:tcPr>
        </w:tc>
        <w:tc>
          <w:p>
            <w:r>
              <w:t>1</w:t>
            </w:r>
          </w:p>
          <w:tcPr>
            <w:tcW w:w="70" w:type="pct"/>
          </w:tcPr>
        </w:tc>
      </w:tr>
      <w:tr>
        <w:tc>
          <w:p>
            <w:r>
              <w:t>Decimals:</w:t>
            </w:r>
          </w:p>
          <w:tcPr>
            <w:tcW w:w="30" w:type="pct"/>
          </w:tcPr>
        </w:tc>
        <w:tc>
          <w:p>
            <w:r>
              <w:t>0</w:t>
            </w:r>
          </w:p>
          <w:tcPr>
            <w:tcW w:w="70" w:type="pct"/>
          </w:tcPr>
        </w:tc>
      </w:tr>
      <w:tr>
        <w:tc>
          <w:p>
            <w:r>
              <w:t>Constructor Name:</w:t>
            </w:r>
          </w:p>
          <w:tcPr>
            <w:tcW w:w="30" w:type="pct"/>
          </w:tcPr>
        </w:tc>
        <w:tc>
          <w:p>
            <w:r>
              <w:t>Constructor</w:t>
            </w:r>
          </w:p>
          <w:tcPr>
            <w:tcW w:w="70" w:type="pct"/>
          </w:tcPr>
        </w:tc>
      </w:tr>
    </w:tbl>
    <w:p>
      <w:pPr>
        <w:pStyle w:val="Heading2"/>
        <w:jc w:val="left"/>
      </w:pPr>
      <w:r>
        <w:t>Behaviors</w:t>
      </w:r>
    </w:p>
    <w:p>
      <w:pPr>
        <w:pStyle w:val="Heading2"/>
        <w:jc w:val="center"/>
      </w:pPr>
      <w:r>
        <w:t xml:space="preserve">Singleton</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Singleton</w:t>
            </w:r>
          </w:p>
          <w:tcPr>
            <w:tcW w:w="70" w:type="pct"/>
          </w:tcPr>
        </w:tc>
      </w:tr>
      <w:tr>
        <w:tc>
          <w:p>
            <w:r>
              <w:t>Id:</w:t>
            </w:r>
          </w:p>
          <w:tcPr>
            <w:tcW w:w="30" w:type="pct"/>
          </w:tcPr>
        </w:tc>
        <w:tc>
          <w:p>
            <w:r>
              <w:t>c1189d7a-e142-4504-bf26-44c35b76c9d6</w:t>
            </w:r>
          </w:p>
          <w:tcPr>
            <w:tcW w:w="70" w:type="pct"/>
          </w:tcPr>
        </w:tc>
      </w:tr>
      <w:tr>
        <w:tc>
          <w:p>
            <w:r>
              <w:t>Visual:</w:t>
            </w:r>
          </w:p>
          <w:tcPr>
            <w:tcW w:w="30" w:type="pct"/>
          </w:tcPr>
        </w:tc>
        <w:tc>
          <w:p>
            <w:r>
              <w:t>&lt;i&gt;s&lt;/i&gt;</w:t>
            </w:r>
          </w:p>
          <w:tcPr>
            <w:tcW w:w="70" w:type="pct"/>
          </w:tcPr>
        </w:tc>
      </w:tr>
      <w:tr>
        <w:tc>
          <w:p>
            <w:r>
              <w:t>Tooling:</w:t>
            </w:r>
          </w:p>
          <w:tcPr>
            <w:tcW w:w="30" w:type="pct"/>
          </w:tcPr>
        </w:tc>
        <w:tc>
          <w:p>
            <w:r>
              <w:t>s</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r>
            <w:tc>
              <w:p>
                <w:r>
                  <w:t>Base</w:t>
                </w:r>
              </w:p>
            </w:tc>
            <w:tc>
              <w:p>
                <w:r>
                  <w:t>tN</w:t>
                </w:r>
              </w:p>
            </w:tc>
            <w:tc>
              <w:p>
                <w:r>
                  <w:t>Singleton must be have a non-fungible base.</w:t>
                </w:r>
              </w:p>
            </w:tc>
          </w:tr>
          <w:tr>
            <w:tc>
              <w:p>
                <w:r>
                  <w:t>Behavior</w:t>
                </w:r>
              </w:p>
            </w:tc>
            <w:tc>
              <w:p>
                <w:r>
                  <w:t>~d</w:t>
                </w:r>
              </w:p>
            </w:tc>
            <w:tc>
              <w:p>
                <w:r>
                  <w:t>Singleton requires non-sub-dividable.</w:t>
                </w:r>
              </w:p>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r>
            <w:tc>
              <w:p>
                <w:r>
                  <w:t>Behavior</w:t>
                </w:r>
              </w:p>
            </w:tc>
            <w:tc>
              <w:p>
                <w:r>
                  <w:t>m</w:t>
                </w:r>
              </w:p>
            </w:tc>
            <w:tc>
              <w:p>
                <w:r>
                  <w:t>f9224e90-3cab-45bf-b5dc-0175121e2ead</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singleton.proto</w:t>
                </w:r>
              </w:p>
            </w:tc>
            <w:tc>
              <w:p>
                <w:r>
                  <w:t/>
                </w:r>
              </w:p>
            </w:tc>
          </w:tr>
          <w:tr>
            <w:tc>
              <w:p>
                <w:r>
                  <w:t>Uml</w:t>
                </w:r>
              </w:p>
            </w:tc>
            <w:tc>
              <w:p>
                <w:r>
                  <w:t>singleton.md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Singleton</w:t>
      </w:r>
    </w:p>
    <w:p>
      <w:pPr>
        <w:pStyle w:val="Heading3"/>
        <w:jc w:val="left"/>
      </w:pPr>
      <w:r>
        <w:t>Taxonomy Symbol: s</w:t>
      </w:r>
    </w:p>
    <w:p>
      <w:pPr>
        <w:pStyle w:val="Quote"/>
        <w:jc w:val="left"/>
      </w:pPr>
      <w:r>
        <w:t>A restriction on the token in that there can only be 1 whole token in the class and is not subdividable. This behavior is only available to non-fungible base types.  By definition, a Singleton cannot be mintable.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singleton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Singleton responds to these Invocations</w:t>
      </w:r>
    </w:p>
    <w:p>
      <w:pPr>
        <w:pStyle w:val="Heading3"/>
        <w:jc w:val="left"/>
      </w:pPr>
      <w:r>
        <w:t>Properties</w:t>
      </w:r>
    </w:p>
    <w:p>
      <w:pPr>
        <w:pStyle w:val="Heading2"/>
        <w:jc w:val="center"/>
      </w:pPr>
      <w:r>
        <w:t xml:space="preserve">Non-Subdividable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Non-Subdividable</w:t>
            </w:r>
          </w:p>
          <w:tcPr>
            <w:tcW w:w="70" w:type="pct"/>
          </w:tcPr>
        </w:tc>
      </w:tr>
      <w:tr>
        <w:tc>
          <w:p>
            <w:r>
              <w:t>Id:</w:t>
            </w:r>
          </w:p>
          <w:tcPr>
            <w:tcW w:w="30" w:type="pct"/>
          </w:tcPr>
        </w:tc>
        <w:tc>
          <w:p>
            <w:r>
              <w:t>d5807a8e-879b-4885-95fa-f09ba2a22172</w:t>
            </w:r>
          </w:p>
          <w:tcPr>
            <w:tcW w:w="70" w:type="pct"/>
          </w:tcPr>
        </w:tc>
      </w:tr>
      <w:tr>
        <w:tc>
          <w:p>
            <w:r>
              <w:t>Visual:</w:t>
            </w:r>
          </w:p>
          <w:tcPr>
            <w:tcW w:w="30" w:type="pct"/>
          </w:tcPr>
        </w:tc>
        <w:tc>
          <w:p>
            <w:r>
              <w:t>&lt;i&gt;~d&lt;/i&gt;</w:t>
            </w:r>
          </w:p>
          <w:tcPr>
            <w:tcW w:w="70" w:type="pct"/>
          </w:tcPr>
        </w:tc>
      </w:tr>
      <w:tr>
        <w:tc>
          <w:p>
            <w:r>
              <w:t>Tooling:</w:t>
            </w:r>
          </w:p>
          <w:tcPr>
            <w:tcW w:w="30" w:type="pct"/>
          </w:tcPr>
        </w:tc>
        <w:tc>
          <w:p>
            <w:r>
              <w:t>~d</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2"/>
        <w:jc w:val="left"/>
      </w:pPr>
      <w:r>
        <w:t>Example</w:t>
      </w:r>
    </w:p>
    <w:p>
      <w:pPr>
        <w:pStyle w:val="Normal"/>
        <w:jc w:val="left"/>
      </w:pPr>
      <w:r>
        <w:t>Non-subdividable is common for items where subdivision does not make sense, like a property title, inventory item or invoice.</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d</w:t>
                </w:r>
              </w:p>
            </w:tc>
            <w:tc>
              <w:p>
                <w:r>
                  <w:t>6e3501dc-5800-4c71-b59e-ad11418a998c</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non-subdividable.proto</w:t>
                </w:r>
              </w:p>
            </w:tc>
            <w:tc>
              <w:p>
                <w:r>
                  <w:t/>
                </w:r>
              </w:p>
            </w:tc>
          </w:tr>
          <w:tr>
            <w:tc>
              <w:p>
                <w:r>
                  <w:t>Uml</w:t>
                </w:r>
              </w:p>
            </w:tc>
            <w:tc>
              <w:p>
                <w:r>
                  <w:t>non-subdividable.md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Non-Subdividable</w:t>
      </w:r>
    </w:p>
    <w:p>
      <w:pPr>
        <w:pStyle w:val="Heading3"/>
        <w:jc w:val="left"/>
      </w:pPr>
      <w:r>
        <w:t>Taxonomy Symbol: ~d</w:t>
      </w:r>
    </w:p>
    <w:p>
      <w:pPr>
        <w:pStyle w:val="Quote"/>
        <w:jc w:val="left"/>
      </w:pPr>
      <w:r>
        <w:t>An ability or restriction on the token where it cannot be subdivided from a single whole token into fractions. Sets the base token Decimals property to 0 which will make the token non-sub-dividable and a whole token is the smallest ownable unit of the token.</w:t>
      </w:r>
    </w:p>
    <w:p>
      <w:pPr>
        <w:pStyle w:val="Heading3"/>
        <w:jc w:val="left"/>
      </w:pPr>
      <w:r>
        <w:t>Example</w:t>
      </w:r>
    </w:p>
    <w:p>
      <w:pPr>
        <w:pStyle w:val="Normal"/>
        <w:jc w:val="left"/>
      </w:pPr>
      <w:r>
        <w:t>Non-subdividable is common for items where subdivision does not make sense, like a property title, inventory item or invoice.</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Non-Fractional</w:t>
                </w:r>
              </w:p>
            </w:tc>
            <w:tc>
              <w:p>
                <w:r>
                  <w:t>It is not possible to own a fraction of this token.</w:t>
                </w:r>
              </w:p>
            </w:tc>
          </w:tr>
          <w:tr>
            <w:tc>
              <w:p>
                <w:r>
                  <w:t>Barrel of Oil</w:t>
                </w:r>
              </w:p>
            </w:tc>
            <w:tc>
              <w:p>
                <w:r>
                  <w:t>Barrels of Oil don't make sense to subdivide.</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Non-Subdividable responds to these Invocations</w:t>
      </w:r>
    </w:p>
    <w:p>
      <w:pPr>
        <w:pStyle w:val="Heading3"/>
        <w:jc w:val="left"/>
      </w:pPr>
      <w:r>
        <w:t>Properties</w:t>
      </w:r>
    </w:p>
    <w:p>
      <w:pPr>
        <w:pStyle w:val="Heading4"/>
        <w:jc w:val="left"/>
      </w:pPr>
      <w:r>
        <w:t>Name: Decimals</w:t>
      </w:r>
    </w:p>
    <w:p>
      <w:pPr>
        <w:pStyle w:val="Normal"/>
        <w:jc w:val="left"/>
      </w:pPr>
      <w:r>
        <w:t>Value Description: Set to Zero, not allowing any subdivision</w:t>
      </w:r>
    </w:p>
    <w:p>
      <w:pPr>
        <w:pStyle w:val="Normal"/>
        <w:jc w:val="left"/>
      </w:pPr>
      <w:r>
        <w:t>Template Value: 0</w:t>
      </w:r>
    </w:p>
    <w:p>
      <w:pPr>
        <w:pStyle w:val="Heading3"/>
        <w:jc w:val="left"/>
      </w:pPr>
      <w:r>
        <w:t>Invocations</w:t>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4"/>
        <w:jc w:val="left"/>
      </w:pPr>
      <w:r>
        <w:t>GetDecimals</w:t>
      </w:r>
    </w:p>
    <w:p>
      <w:pPr>
        <w:pStyle w:val="Normal"/>
        <w:jc w:val="left"/>
      </w:pPr>
      <w:r>
        <w:t>Id: 2ca7fbb2-ce98-4dda-a6ae-e4ac2527bb33</w:t>
      </w:r>
    </w:p>
    <w:p>
      <w:pPr>
        <w:pStyle w:val="Normal"/>
        <w:jc w:val="left"/>
      </w:pPr>
      <w:r>
        <w:t>Description: Should return 0</w:t>
      </w:r>
    </w:p>
    <w:p>
      <w:pPr>
        <w:pStyle w:val="Heading5"/>
        <w:jc w:val="left"/>
      </w:pPr>
      <w:r>
        <w:t>Request</w:t>
      </w:r>
    </w:p>
    <w:p>
      <w:pPr>
        <w:pStyle w:val="Normal"/>
        <w:jc w:val="left"/>
      </w:pPr>
      <w:r>
        <w:t>Control Message: GetDecimalsRequest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GetDecimalsResponse</w:t>
      </w:r>
    </w:p>
    <w:p>
      <w:pPr>
        <w:pStyle w:val="Normal"/>
        <w:jc w:val="left"/>
      </w:pPr>
      <w:r>
        <w:t>Description: Return 0</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Decimals</w:t>
                </w:r>
              </w:p>
            </w:tc>
            <w:tc>
              <w:p>
                <w:r>
                  <w:t>0</w:t>
                </w:r>
              </w:p>
            </w:tc>
          </w:tr>
        </w:tbl>
      </w:r>
    </w:p>
    <w:p>
      <w:pPr>
        <w:pStyle w:val="Heading3"/>
        <w:jc w:val="left"/>
      </w:pPr>
      <w:r>
        <w:t>Properties</w:t>
      </w:r>
    </w:p>
    <w:p>
      <w:pPr>
        <w:pStyle w:val="Heading2"/>
        <w:jc w:val="center"/>
      </w:pPr>
      <w:r>
        <w:t xml:space="preserve">Transferable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Transferable</w:t>
            </w:r>
          </w:p>
          <w:tcPr>
            <w:tcW w:w="70" w:type="pct"/>
          </w:tcPr>
        </w:tc>
      </w:tr>
      <w:tr>
        <w:tc>
          <w:p>
            <w:r>
              <w:t>Id:</w:t>
            </w:r>
          </w:p>
          <w:tcPr>
            <w:tcW w:w="30" w:type="pct"/>
          </w:tcPr>
        </w:tc>
        <w:tc>
          <w:p>
            <w:r>
              <w:t>af119e58-6d84-4ca6-9656-75e8d312f038</w:t>
            </w:r>
          </w:p>
          <w:tcPr>
            <w:tcW w:w="70" w:type="pct"/>
          </w:tcPr>
        </w:tc>
      </w:tr>
      <w:tr>
        <w:tc>
          <w:p>
            <w:r>
              <w:t>Visual:</w:t>
            </w:r>
          </w:p>
          <w:tcPr>
            <w:tcW w:w="30" w:type="pct"/>
          </w:tcPr>
        </w:tc>
        <w:tc>
          <w:p>
            <w:r>
              <w:t>&lt;i&gt;t&lt;/i&gt;</w:t>
            </w:r>
          </w:p>
          <w:tcPr>
            <w:tcW w:w="70" w:type="pct"/>
          </w:tcPr>
        </w:tc>
      </w:tr>
      <w:tr>
        <w:tc>
          <w:p>
            <w:r>
              <w:t>Tooling:</w:t>
            </w:r>
          </w:p>
          <w:tcPr>
            <w:tcW w:w="30" w:type="pct"/>
          </w:tcPr>
        </w:tc>
        <w:tc>
          <w:p>
            <w:r>
              <w:t>t</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2"/>
        <w:jc w:val="left"/>
      </w:pPr>
      <w:r>
        <w:t>Example</w:t>
      </w:r>
    </w:p>
    <w:p>
      <w:pPr>
        <w:pStyle w:val="Normal"/>
        <w:jc w:val="left"/>
      </w:pPr>
      <w:r>
        <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r>
            <w:tc>
              <w:p>
                <w:r>
                  <w:t>Behavior</w:t>
                </w:r>
              </w:p>
            </w:tc>
            <w:tc>
              <w:p>
                <w:r>
                  <w:t>~t</w:t>
                </w:r>
              </w:p>
            </w:tc>
            <w:tc>
              <w:p>
                <w:r>
                  <w:t>a4fa4ca8-6afd-452b-91f5-7103b6fee5e5</w:t>
                </w:r>
              </w:p>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If the token is Delegable, TransferFrom should be enabled.</w:t>
                </w:r>
              </w:p>
            </w:tc>
            <w:tc>
              <w:p>
                <w:r>
                  <w:t>g</w:t>
                </w:r>
              </w:p>
            </w:tc>
            <w:tc>
              <w:p>
                <w:r>
                  <w:t>[ ]</w:t>
                </w:r>
              </w:p>
            </w:tc>
          </w:tr>
          <w:tr>
            <w:tc>
              <w:p>
                <w:r>
                  <w:t>If Compliance is present, a CheckTransferAllowed request has to be made and verified before a Transfer request or a TransferFrom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transferable.proto</w:t>
                </w:r>
              </w:p>
            </w:tc>
            <w:tc>
              <w:p>
                <w:r>
                  <w:t/>
                </w:r>
              </w:p>
            </w:tc>
          </w:tr>
          <w:tr>
            <w:tc>
              <w:p>
                <w:r>
                  <w:t>Uml</w:t>
                </w:r>
              </w:p>
            </w:tc>
            <w:tc>
              <w:p>
                <w:r>
                  <w:t>transferable.md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Transferable</w:t>
      </w:r>
    </w:p>
    <w:p>
      <w:pPr>
        <w:pStyle w:val="Heading3"/>
        <w:jc w:val="left"/>
      </w:pPr>
      <w:r>
        <w:t>Taxonomy Symbol: t</w:t>
      </w:r>
    </w:p>
    <w:p>
      <w:pPr>
        <w:pStyle w:val="Quote"/>
        <w:jc w:val="left"/>
      </w:pPr>
      <w:r>
        <w:t>Every token instance has an owner. The Transferable behavior provides the owner the ability to transfer the ownership to another party or account. This behavior is often inferred by other behaviors that might exist like Redeem, Sell, etc. This behavior is Delegable. If the token definition is Delegable, TransferFrom will be available.</w:t>
      </w:r>
    </w:p>
    <w:p>
      <w:pPr>
        <w:pStyle w:val="Heading3"/>
        <w:jc w:val="left"/>
      </w:pPr>
      <w:r>
        <w:t>Example</w:t>
      </w:r>
    </w:p>
    <w:p>
      <w:pPr>
        <w:pStyle w:val="Normal"/>
        <w:jc w:val="left"/>
      </w:pPr>
      <w:r>
        <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Analogy 1</w:t>
                </w:r>
              </w:p>
            </w:tc>
            <w:tc>
              <w:p>
                <w:r>
                  <w:t>transferable analogy 1 description</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Transferable responds to these Invocations</w:t>
      </w:r>
    </w:p>
    <w:p>
      <w:pPr>
        <w:pStyle w:val="Heading4"/>
        <w:jc w:val="left"/>
      </w:pPr>
      <w:r>
        <w:t>Transfer</w:t>
      </w:r>
    </w:p>
    <w:p>
      <w:pPr>
        <w:pStyle w:val="Normal"/>
        <w:jc w:val="left"/>
      </w:pPr>
      <w:r>
        <w:t>Id: 5d4b8f10-7857-4a2f-9b8c-d61e367a6bcc</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request.</w:t>
                </w:r>
              </w:p>
            </w:tc>
          </w:tr>
        </w:tbl>
      </w:r>
    </w:p>
    <w:p>
      <w:pPr>
        <w:pStyle w:val="Normal"/>
        <w:jc w:val="center"/>
      </w:pPr>
      <w:r>
        <w:t/>
      </w:r>
    </w:p>
    <w:p>
      <w:pPr>
        <w:pStyle w:val="Heading4"/>
        <w:jc w:val="left"/>
      </w:pPr>
      <w:r>
        <w:t>TransferFrom</w:t>
      </w:r>
    </w:p>
    <w:p>
      <w:pPr>
        <w:pStyle w:val="Normal"/>
        <w:jc w:val="left"/>
      </w:pPr>
      <w:r>
        <w:t>Id: 516b4e2f-4a14-4c4f-a6f2-1419d4af35c6</w:t>
      </w:r>
    </w:p>
    <w:p>
      <w:pPr>
        <w:pStyle w:val="Normal"/>
        <w:jc w:val="left"/>
      </w:pPr>
      <w:r>
        <w:t>Description: &gt;A transfer request will invoke a transfer from the owner of the token to the party or account provided in the To field of the request. For fungible or subdividable non-fungible tokens, this request may also include value in the Amount field of the request to transfer more than one token of the class in a single request.</w:t>
      </w:r>
    </w:p>
    <w:p>
      <w:pPr>
        <w:pStyle w:val="Heading5"/>
        <w:jc w:val="left"/>
      </w:pPr>
      <w:r>
        <w:t>Request Message:</w:t>
      </w:r>
    </w:p>
    <w:p>
      <w:pPr>
        <w:pStyle w:val="Normal"/>
        <w:jc w:val="left"/>
      </w:pPr>
      <w:r>
        <w:t>TransferFromRequest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to transfer ownership from.</w:t>
                </w:r>
              </w:p>
            </w:tc>
          </w:tr>
          <w:tr>
            <w:tc>
              <w:p>
                <w:r>
                  <w:t>To</w:t>
                </w:r>
              </w:p>
            </w:tc>
            <w:tc>
              <w:p>
                <w:r>
                  <w:t>AccountId to transfer ownership to.</w:t>
                </w:r>
              </w:p>
            </w:tc>
          </w:tr>
          <w:tr>
            <w:tc>
              <w:p>
                <w:r>
                  <w:t>Quantity</w:t>
                </w:r>
              </w:p>
            </w:tc>
            <w:tc>
              <w:p>
                <w:r>
                  <w:t>Number of tokens to transfer.</w:t>
                </w:r>
              </w:p>
            </w:tc>
          </w:tr>
        </w:tbl>
      </w:r>
    </w:p>
    <w:p>
      <w:pPr>
        <w:pStyle w:val="Heading5"/>
        <w:jc w:val="left"/>
      </w:pPr>
      <w:r>
        <w:t>Response Message</w:t>
      </w:r>
    </w:p>
    <w:p>
      <w:pPr>
        <w:pStyle w:val="Normal"/>
        <w:jc w:val="left"/>
      </w:pPr>
      <w:r>
        <w:t>TransferFromResponse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owner based on the outcome of the transfer from request.</w:t>
                </w:r>
              </w:p>
            </w:tc>
          </w:tr>
        </w:tbl>
      </w:r>
    </w:p>
    <w:p>
      <w:pPr>
        <w:pStyle w:val="Normal"/>
        <w:jc w:val="center"/>
      </w:pPr>
      <w:r>
        <w:t/>
      </w:r>
    </w:p>
    <w:p>
      <w:pPr>
        <w:pStyle w:val="Heading3"/>
        <w:jc w:val="left"/>
      </w:pPr>
      <w:r>
        <w:t>Properties</w:t>
      </w:r>
    </w:p>
    <w:p>
      <w:pPr>
        <w:pStyle w:val="Heading2"/>
        <w:jc w:val="center"/>
      </w:pPr>
      <w:r>
        <w:t xml:space="preserve">Burnable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Burnable</w:t>
            </w:r>
          </w:p>
          <w:tcPr>
            <w:tcW w:w="70" w:type="pct"/>
          </w:tcPr>
        </w:tc>
      </w:tr>
      <w:tr>
        <w:tc>
          <w:p>
            <w:r>
              <w:t>Id:</w:t>
            </w:r>
          </w:p>
          <w:tcPr>
            <w:tcW w:w="30" w:type="pct"/>
          </w:tcPr>
        </w:tc>
        <w:tc>
          <w:p>
            <w:r>
              <w:t>803297a1-c0f9-4898-9d44-29c9d41cca97</w:t>
            </w:r>
          </w:p>
          <w:tcPr>
            <w:tcW w:w="70" w:type="pct"/>
          </w:tcPr>
        </w:tc>
      </w:tr>
      <w:tr>
        <w:tc>
          <w:p>
            <w:r>
              <w:t>Visual:</w:t>
            </w:r>
          </w:p>
          <w:tcPr>
            <w:tcW w:w="30" w:type="pct"/>
          </w:tcPr>
        </w:tc>
        <w:tc>
          <w:p>
            <w:r>
              <w:t>&lt;i&gt;b&lt;/i&gt;</w:t>
            </w:r>
          </w:p>
          <w:tcPr>
            <w:tcW w:w="70" w:type="pct"/>
          </w:tcPr>
        </w:tc>
      </w:tr>
      <w:tr>
        <w:tc>
          <w:p>
            <w:r>
              <w:t>Tooling:</w:t>
            </w:r>
          </w:p>
          <w:tcPr>
            <w:tcW w:w="30" w:type="pct"/>
          </w:tcPr>
        </w:tc>
        <w:tc>
          <w:p>
            <w:r>
              <w:t>b</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2"/>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r>
            <w:tc>
              <w:p>
                <w:r>
                  <w:t>Delegable or not, will determine if the BurnFrom Control will be available in the implementation.</w:t>
                </w:r>
              </w:p>
            </w:tc>
            <w:tc>
              <w:p>
                <w:r>
                  <w:t>g</w:t>
                </w:r>
              </w:p>
            </w:tc>
            <w:tc>
              <w:p>
                <w:r>
                  <w:t>[ ]</w:t>
                </w:r>
              </w:p>
            </w:tc>
          </w:tr>
          <w:tr>
            <w:tc>
              <w:p>
                <w:r>
                  <w:t>If Compliance is present, a CheckBurnAllowed request has to be made and verified before a Burn request or a BurnFrom request.</w:t>
                </w:r>
              </w:p>
            </w:tc>
            <w:tc>
              <w:p>
                <w:r>
                  <w:t>c</w:t>
                </w:r>
              </w:p>
            </w:tc>
            <w:tc>
              <w:p>
                <w:r>
                  <w:t>[ ]</w:t>
                </w:r>
              </w:p>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burnable.proto</w:t>
                </w:r>
              </w:p>
            </w:tc>
            <w:tc>
              <w:p>
                <w:r>
                  <w:t/>
                </w:r>
              </w:p>
            </w:tc>
          </w:tr>
          <w:tr>
            <w:tc>
              <w:p>
                <w:r>
                  <w:t>Uml</w:t>
                </w:r>
              </w:p>
            </w:tc>
            <w:tc>
              <w:p>
                <w:r>
                  <w:t>burnable.md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Open Zeppelin</w:t>
                </w:r>
              </w:p>
            </w:tc>
            <w:tc>
              <w:p>
                <w:r>
                  <w:t>EthereumSolidity</w:t>
                </w:r>
              </w:p>
            </w:tc>
            <w:tc>
              <w:p>
                <w:r>
                  <w:t>https://github.com/OpenZeppelin/openzeppelin-contracts/blob/master/contracts/token/ERC20/ERC20Burnable.sol</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Burnable</w:t>
      </w:r>
    </w:p>
    <w:p>
      <w:pPr>
        <w:pStyle w:val="Heading3"/>
        <w:jc w:val="left"/>
      </w:pPr>
      <w:r>
        <w:t>Taxonomy Symbol: b</w:t>
      </w:r>
    </w:p>
    <w:p>
      <w:pPr>
        <w:pStyle w:val="Quote"/>
        <w:jc w:val="left"/>
      </w:pPr>
      <w:r>
        <w:t>A token class that implements this behavior will support the burning or decommissioning of token instances of the class. This does not delete a token, but rather places it in a permanent non-use state.  Burning is a one way operation and cannot be reversed. This behavior is Delegable. If the token definition is Delegable, BurnFrom will be available.</w:t>
      </w:r>
    </w:p>
    <w:p>
      <w:pPr>
        <w:pStyle w:val="Heading3"/>
        <w:jc w:val="left"/>
      </w:pPr>
      <w:r>
        <w:t>Example</w:t>
      </w:r>
    </w:p>
    <w:p>
      <w:pPr>
        <w:pStyle w:val="Normal"/>
        <w:jc w:val="left"/>
      </w:pPr>
      <w:r>
        <w:t>When a token is used in a certain way, you may want to remove it from circulation or from being used again. Since the ledger doesn't allow for deletions, burning a token essentially 'deletes' the token from being used, but not from history.</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Oil Barrels</w:t>
                </w:r>
              </w:p>
            </w:tc>
            <w:tc>
              <w:p>
                <w:r>
                  <w:t>If you mint a new token for each barrel of oil created, you may transfer ownership several times until the barrel is refined. The refining process should burn the barrel of oil to remove it from circulation.</w:t>
                </w:r>
              </w:p>
            </w:tc>
          </w:tr>
          <w:tr>
            <w:tc>
              <w:p>
                <w:r>
                  <w:t>Redeem</w:t>
                </w:r>
              </w:p>
            </w:tc>
            <w:tc>
              <w:p>
                <w:r>
                  <w:t>A token that is a coupon or single use ticket, should be burned when it is redeemed.</w:t>
                </w:r>
              </w:p>
            </w:tc>
          </w:tr>
        </w:tbl>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Burnable responds to these Invocations</w:t>
      </w:r>
    </w:p>
    <w:p>
      <w:pPr>
        <w:pStyle w:val="Heading4"/>
        <w:jc w:val="left"/>
      </w:pPr>
      <w:r>
        <w:t>Burn</w:t>
      </w:r>
    </w:p>
    <w:p>
      <w:pPr>
        <w:pStyle w:val="Normal"/>
        <w:jc w:val="left"/>
      </w:pPr>
      <w:r>
        <w:t>Id: f063dcaa-49f9-4c49-bf0f-2766301e1033</w:t>
      </w:r>
    </w:p>
    <w:p>
      <w:pPr>
        <w:pStyle w:val="Normal"/>
        <w:jc w:val="left"/>
      </w:pPr>
      <w:r>
        <w:t>Description: A request to burn a token instance(s) in the class by the owner of the token instance(s).  Optional Quantity field in the request.</w:t>
      </w:r>
    </w:p>
    <w:p>
      <w:pPr>
        <w:pStyle w:val="Heading5"/>
        <w:jc w:val="left"/>
      </w:pPr>
      <w:r>
        <w:t>Request Message:</w:t>
      </w:r>
    </w:p>
    <w:p>
      <w:pPr>
        <w:pStyle w:val="Normal"/>
        <w:jc w:val="left"/>
      </w:pPr>
      <w:r>
        <w:t>BurnRequest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request</w:t>
                </w:r>
              </w:p>
            </w:tc>
          </w:tr>
        </w:tbl>
      </w:r>
    </w:p>
    <w:p>
      <w:pPr>
        <w:pStyle w:val="Normal"/>
        <w:jc w:val="center"/>
      </w:pPr>
      <w:r>
        <w:t/>
      </w:r>
    </w:p>
    <w:p>
      <w:pPr>
        <w:pStyle w:val="Heading4"/>
        <w:jc w:val="left"/>
      </w:pPr>
      <w:r>
        <w:t>BurnFrom</w:t>
      </w:r>
    </w:p>
    <w:p>
      <w:pPr>
        <w:pStyle w:val="Normal"/>
        <w:jc w:val="left"/>
      </w:pPr>
      <w:r>
        <w:t>Id: 49b53152-3360-426f-9e0a-24a0b4e7c881</w:t>
      </w:r>
    </w:p>
    <w:p>
      <w:pPr>
        <w:pStyle w:val="Normal"/>
        <w:jc w:val="left"/>
      </w:pPr>
      <w:r>
        <w:t>Description: Requires Delegable. A request to burn token instance(s) in the class by a party or account that has allowance to do so.  Requires a From and Quantity fields in the request.</w:t>
      </w:r>
    </w:p>
    <w:p>
      <w:pPr>
        <w:pStyle w:val="Heading5"/>
        <w:jc w:val="left"/>
      </w:pPr>
      <w:r>
        <w:t>Request Message:</w:t>
      </w:r>
    </w:p>
    <w:p>
      <w:pPr>
        <w:pStyle w:val="Normal"/>
        <w:jc w:val="left"/>
      </w:pPr>
      <w:r>
        <w:t>BurnFromRequest</w:t>
      </w:r>
    </w:p>
    <w:p>
      <w:pPr>
        <w:pStyle w:val="Normal"/>
        <w:jc w:val="left"/>
      </w:pPr>
      <w:r>
        <w:t>Description: The request to Burn or Retire tokens.</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From</w:t>
                </w:r>
              </w:p>
            </w:tc>
            <w:tc>
              <w:p>
                <w:r>
                  <w:t>AccountId from which tokens are burnt</w:t>
                </w:r>
              </w:p>
            </w:tc>
          </w:tr>
          <w:tr>
            <w:tc>
              <w:p>
                <w:r>
                  <w:t>Quantity</w:t>
                </w:r>
              </w:p>
            </w:tc>
            <w:tc>
              <w:p>
                <w:r>
                  <w:t>The number of tokens to burn, might not apply to the implementation.</w:t>
                </w:r>
              </w:p>
            </w:tc>
          </w:tr>
        </w:tbl>
      </w:r>
    </w:p>
    <w:p>
      <w:pPr>
        <w:pStyle w:val="Heading5"/>
        <w:jc w:val="left"/>
      </w:pPr>
      <w:r>
        <w:t>Response Message</w:t>
      </w:r>
    </w:p>
    <w:p>
      <w:pPr>
        <w:pStyle w:val="Normal"/>
        <w:jc w:val="left"/>
      </w:pPr>
      <w:r>
        <w:t>BurnFromResponse</w:t>
      </w:r>
    </w:p>
    <w:p>
      <w:pPr>
        <w:pStyle w:val="Normal"/>
        <w:jc w:val="left"/>
      </w:pPr>
      <w:r>
        <w:t>Description: The response from the request to burn.</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error may be returned to the invoker based on the outcome of the burn from request</w:t>
                </w:r>
              </w:p>
            </w:tc>
          </w:tr>
        </w:tbl>
      </w:r>
    </w:p>
    <w:p>
      <w:pPr>
        <w:pStyle w:val="Normal"/>
        <w:jc w:val="center"/>
      </w:pPr>
      <w:r>
        <w:t/>
      </w:r>
    </w:p>
    <w:p>
      <w:pPr>
        <w:pStyle w:val="Heading3"/>
        <w:jc w:val="left"/>
      </w:pPr>
      <w:r>
        <w:t>Properties</w:t>
      </w:r>
    </w:p>
    <w:p>
      <w:pPr>
        <w:pStyle w:val="Heading2"/>
        <w:jc w:val="center"/>
      </w:pPr>
      <w:r>
        <w:t xml:space="preserve">Encumberable</w:t>
      </w:r>
    </w:p>
    <w:tbl>
      <w:tblPr>
        <w:tblStyle w:val="GridTable4-Accent1"/>
        <w:tblBorders>
          <w:top w:val="none" w:sz="12"/>
          <w:bottom w:val="none" w:sz="12"/>
          <w:left w:val="none" w:sz="12"/>
          <w:right w:val="none" w:sz="12"/>
          <w:insideH w:val="none" w:sz="12"/>
          <w:insideV w:val="none" w:sz="12"/>
        </w:tblBorders>
      </w:tblPr>
      <w:tr>
        <w:tc>
          <w:p>
            <w:r>
              <w:t>Type:</w:t>
            </w:r>
          </w:p>
          <w:tcPr>
            <w:tcW w:w="30" w:type="pct"/>
          </w:tcPr>
        </w:tc>
        <w:tc>
          <w:p>
            <w:r>
              <w:t>Behavior</w:t>
            </w:r>
          </w:p>
          <w:tcPr>
            <w:tcW w:w="70" w:type="pct"/>
          </w:tcPr>
        </w:tc>
      </w:tr>
      <w:tr>
        <w:tc>
          <w:p>
            <w:r>
              <w:t>Name:</w:t>
            </w:r>
          </w:p>
          <w:tcPr>
            <w:tcW w:w="30" w:type="pct"/>
          </w:tcPr>
        </w:tc>
        <w:tc>
          <w:p>
            <w:r>
              <w:t>Encumberable</w:t>
            </w:r>
          </w:p>
          <w:tcPr>
            <w:tcW w:w="70" w:type="pct"/>
          </w:tcPr>
        </w:tc>
      </w:tr>
      <w:tr>
        <w:tc>
          <w:p>
            <w:r>
              <w:t>Id:</w:t>
            </w:r>
          </w:p>
          <w:tcPr>
            <w:tcW w:w="30" w:type="pct"/>
          </w:tcPr>
        </w:tc>
        <w:tc>
          <w:p>
            <w:r>
              <w:t>dc8d5961-59e8-4a10-8b38-d9e99394d251</w:t>
            </w:r>
          </w:p>
          <w:tcPr>
            <w:tcW w:w="70" w:type="pct"/>
          </w:tcPr>
        </w:tc>
      </w:tr>
      <w:tr>
        <w:tc>
          <w:p>
            <w:r>
              <w:t>Visual:</w:t>
            </w:r>
          </w:p>
          <w:tcPr>
            <w:tcW w:w="30" w:type="pct"/>
          </w:tcPr>
        </w:tc>
        <w:tc>
          <w:p>
            <w:r>
              <w:t>&lt;i&gt;e&lt;/i&gt;</w:t>
            </w:r>
          </w:p>
          <w:tcPr>
            <w:tcW w:w="70" w:type="pct"/>
          </w:tcPr>
        </w:tc>
      </w:tr>
      <w:tr>
        <w:tc>
          <w:p>
            <w:r>
              <w:t>Tooling:</w:t>
            </w:r>
          </w:p>
          <w:tcPr>
            <w:tcW w:w="30" w:type="pct"/>
          </w:tcPr>
        </w:tc>
        <w:tc>
          <w:p>
            <w:r>
              <w:t>e</w:t>
            </w:r>
          </w:p>
          <w:tcPr>
            <w:tcW w:w="70" w:type="pct"/>
          </w:tcPr>
        </w:tc>
      </w:tr>
      <w:tr>
        <w:tc>
          <w:p>
            <w:r>
              <w:t>Version:</w:t>
            </w:r>
          </w:p>
          <w:tcPr>
            <w:tcW w:w="30" w:type="pct"/>
          </w:tcPr>
        </w:tc>
        <w:tc>
          <w:p>
            <w:r>
              <w:t>1.0</w:t>
            </w:r>
          </w:p>
          <w:tcPr>
            <w:tcW w:w="70" w:type="pct"/>
          </w:tcPr>
        </w:tc>
      </w:tr>
    </w:tbl>
    <w:p>
      <w:pPr>
        <w:pStyle w:val="Heading2"/>
        <w:jc w:val="left"/>
      </w:pPr>
      <w:r>
        <w:t>Definition</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2"/>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2"/>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2"/>
        <w:jc w:val="left"/>
      </w:pPr>
      <w:r>
        <w:t>Comments</w:t>
      </w:r>
    </w:p>
    <w:p>
      <w:pPr>
        <w:pStyle w:val="Normal"/>
        <w:jc w:val="left"/>
      </w:pPr>
      <w:r>
        <w:t>The token definition should have a Encumbered property or structure that may allow only one encumber or allow multiple.</w:t>
      </w:r>
    </w:p>
    <w:p>
      <w:pPr>
        <w:pStyle w:val="Heading2"/>
        <w:jc w:val="left"/>
      </w:pPr>
      <w:r>
        <w:t>Dependencies</w:t>
      </w:r>
    </w:p>
    <w:p>
      <w:pPr>
        <w:pStyle w:val="Normal"/>
        <w:jc w:val="left"/>
      </w:pPr>
      <w:r>
        <w:tbl>
          <w:tblPr>
            <w:tblStyle w:val="GridTable4-Accent1"/>
          </w:tblPr>
          <w:tr>
            <w:tc>
              <w:p>
                <w:r>
                  <w:t>Artifact Type</w:t>
                </w:r>
              </w:p>
              <w:tcPr>
                <w:tcW w:w="35" w:type="pct"/>
              </w:tcPr>
            </w:tc>
            <w:tc>
              <w:p>
                <w:r>
                  <w:t>Symbol</w:t>
                </w:r>
              </w:p>
              <w:tcPr>
                <w:tcW w:w="10" w:type="pct"/>
              </w:tcPr>
            </w:tc>
            <w:tc>
              <w:p>
                <w:r>
                  <w:t>Description</w:t>
                </w:r>
              </w:p>
              <w:tcPr>
                <w:tcW w:w="55" w:type="pct"/>
              </w:tcPr>
            </w:tc>
          </w:tr>
        </w:tbl>
      </w:r>
    </w:p>
    <w:p>
      <w:pPr>
        <w:pStyle w:val="Heading2"/>
        <w:jc w:val="left"/>
      </w:pPr>
      <w:r>
        <w:t>Incompatible With</w:t>
      </w:r>
    </w:p>
    <w:p>
      <w:pPr>
        <w:pStyle w:val="Normal"/>
        <w:jc w:val="left"/>
      </w:pPr>
      <w:r>
        <w:tbl>
          <w:tblPr>
            <w:tblStyle w:val="GridTable4-Accent1"/>
          </w:tblPr>
          <w:tr>
            <w:tc>
              <w:p>
                <w:r>
                  <w:t>Artifact Type</w:t>
                </w:r>
              </w:p>
              <w:tcPr>
                <w:tcW w:w="45" w:type="pct"/>
              </w:tcPr>
            </w:tc>
            <w:tc>
              <w:p>
                <w:r>
                  <w:t>Symbol</w:t>
                </w:r>
              </w:p>
              <w:tcPr>
                <w:tcW w:w="10" w:type="pct"/>
              </w:tcPr>
            </w:tc>
            <w:tc>
              <w:p>
                <w:r>
                  <w:t>Id</w:t>
                </w:r>
              </w:p>
              <w:tcPr>
                <w:tcW w:w="45" w:type="pct"/>
              </w:tcPr>
            </w:tc>
          </w:tr>
        </w:tbl>
      </w:r>
    </w:p>
    <w:p>
      <w:pPr>
        <w:pStyle w:val="Heading2"/>
        <w:jc w:val="left"/>
      </w:pPr>
      <w:r>
        <w:t>Influenced By</w:t>
      </w:r>
    </w:p>
    <w:p>
      <w:pPr>
        <w:pStyle w:val="Normal"/>
        <w:jc w:val="left"/>
      </w:pPr>
      <w:r>
        <w:tbl>
          <w:tblPr>
            <w:tblStyle w:val="GridTable4-Accent1"/>
          </w:tblPr>
          <w:tr>
            <w:tc>
              <w:p>
                <w:r>
                  <w:t>Description</w:t>
                </w:r>
              </w:p>
              <w:tcPr>
                <w:tcW w:w="75" w:type="pct"/>
              </w:tcPr>
            </w:tc>
            <w:tc>
              <w:p>
                <w:r>
                  <w:t>Symbol</w:t>
                </w:r>
              </w:p>
              <w:tcPr>
                <w:tcW w:w="10" w:type="pct"/>
              </w:tcPr>
            </w:tc>
            <w:tc>
              <w:p>
                <w:r>
                  <w:t>Applies To</w:t>
                </w:r>
              </w:p>
              <w:tcPr>
                <w:tcW w:w="15" w:type="pct"/>
              </w:tcPr>
            </w:tc>
          </w:tr>
        </w:tbl>
      </w:r>
    </w:p>
    <w:p>
      <w:pPr>
        <w:pStyle w:val="Heading2"/>
        <w:jc w:val="left"/>
      </w:pPr>
      <w:r>
        <w:t>Artifact Files</w:t>
      </w:r>
    </w:p>
    <w:p>
      <w:pPr>
        <w:pStyle w:val="Normal"/>
        <w:jc w:val="left"/>
      </w:pPr>
      <w:r>
        <w:tbl>
          <w:tblPr>
            <w:tblStyle w:val="GridTable4-Accent1"/>
          </w:tblPr>
          <w:tr>
            <w:tc>
              <w:p>
                <w:r>
                  <w:t>Content Type</w:t>
                </w:r>
              </w:p>
              <w:tcPr>
                <w:tcW w:w="10" w:type="pct"/>
              </w:tcPr>
            </w:tc>
            <w:tc>
              <w:p>
                <w:r>
                  <w:t>File Name</w:t>
                </w:r>
              </w:p>
              <w:tcPr>
                <w:tcW w:w="25" w:type="pct"/>
              </w:tcPr>
            </w:tc>
            <w:tc>
              <w:p>
                <w:r>
                  <w:t>File Content</w:t>
                </w:r>
              </w:p>
              <w:tcPr>
                <w:tcW w:w="65" w:type="pct"/>
              </w:tcPr>
            </w:tc>
          </w:tr>
          <w:tr>
            <w:tc>
              <w:p>
                <w:r>
                  <w:t>Control</w:t>
                </w:r>
              </w:p>
            </w:tc>
            <w:tc>
              <w:p>
                <w:r>
                  <w:t>encumberable.proto</w:t>
                </w:r>
              </w:p>
            </w:tc>
            <w:tc>
              <w:p>
                <w:r>
                  <w:t/>
                </w:r>
              </w:p>
            </w:tc>
          </w:tr>
          <w:tr>
            <w:tc>
              <w:p>
                <w:r>
                  <w:t>Uml</w:t>
                </w:r>
              </w:p>
            </w:tc>
            <w:tc>
              <w:p>
                <w:r>
                  <w:t>encumberable.md</w:t>
                </w:r>
              </w:p>
            </w:tc>
            <w:tc>
              <w:p>
                <w:r>
                  <w:t/>
                </w:r>
              </w:p>
            </w:tc>
          </w:tr>
        </w:tbl>
      </w:r>
    </w:p>
    <w:p>
      <w:pPr>
        <w:pStyle w:val="Heading2"/>
        <w:jc w:val="left"/>
      </w:pPr>
      <w:r>
        <w:t>Code Map</w:t>
      </w:r>
    </w:p>
    <w:p>
      <w:pPr>
        <w:pStyle w:val="Normal"/>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SourceCode</w:t>
                </w:r>
              </w:p>
            </w:tc>
            <w:tc>
              <w:p>
                <w:r>
                  <w:t>Code 1</w:t>
                </w:r>
              </w:p>
            </w:tc>
            <w:tc>
              <w:p>
                <w:r>
                  <w:t>Daml</w:t>
                </w:r>
              </w:p>
            </w:tc>
            <w:tc>
              <w:p>
                <w:r>
                  <w:t/>
                </w:r>
              </w:p>
            </w:tc>
          </w:tr>
        </w:tbl>
      </w:r>
    </w:p>
    <w:p>
      <w:pPr>
        <w:pStyle w:val="Heading2"/>
        <w:jc w:val="left"/>
      </w:pPr>
      <w:r>
        <w:t>Implementation Map</w:t>
      </w:r>
    </w:p>
    <w:p>
      <w:pPr>
        <w:pStyle w:val="Normal"/>
        <w:jc w:val="left"/>
      </w:pPr>
      <w:r>
        <w:tbl>
          <w:tblPr>
            <w:tblStyle w:val="GridTable4-Accent1"/>
          </w:tblPr>
          <w:tr>
            <w:tc>
              <w:p>
                <w:r>
                  <w:t>Map Type</w:t>
                </w:r>
              </w:p>
              <w:tcPr>
                <w:tcW w:w="15" w:type="pct"/>
              </w:tcPr>
            </w:tc>
            <w:tc>
              <w:p>
                <w:r>
                  <w:t>Name</w:t>
                </w:r>
              </w:p>
              <w:tcPr>
                <w:tcW w:w="15" w:type="pct"/>
              </w:tcPr>
            </w:tc>
            <w:tc>
              <w:p>
                <w:r>
                  <w:t>Platform</w:t>
                </w:r>
              </w:p>
              <w:tcPr>
                <w:tcW w:w="15" w:type="pct"/>
              </w:tcPr>
            </w:tc>
            <w:tc>
              <w:p>
                <w:r>
                  <w:t>Location</w:t>
                </w:r>
              </w:p>
              <w:tcPr>
                <w:tcW w:w="55" w:type="pct"/>
              </w:tcPr>
            </w:tc>
          </w:tr>
          <w:tr>
            <w:tc>
              <w:p>
                <w:r>
                  <w:t>Implementation</w:t>
                </w:r>
              </w:p>
            </w:tc>
            <w:tc>
              <w:p>
                <w:r>
                  <w:t>Implementation 1</w:t>
                </w:r>
              </w:p>
            </w:tc>
            <w:tc>
              <w:p>
                <w:r>
                  <w:t>ChaincodeGo</w:t>
                </w:r>
              </w:p>
            </w:tc>
            <w:tc>
              <w:p>
                <w:r>
                  <w:t/>
                </w:r>
              </w:p>
            </w:tc>
          </w:tr>
        </w:tbl>
      </w:r>
    </w:p>
    <w:p>
      <w:pPr>
        <w:pStyle w:val="Heading2"/>
        <w:jc w:val="left"/>
      </w:pPr>
      <w:r>
        <w:t>Resource Map</w:t>
      </w:r>
    </w:p>
    <w:p>
      <w:pPr>
        <w:pStyle w:val="Normal"/>
        <w:jc w:val="left"/>
      </w:pPr>
      <w:r>
        <w:tbl>
          <w:tblPr>
            <w:tblStyle w:val="GridTable4-Accent1"/>
          </w:tblPr>
          <w:tr>
            <w:tc>
              <w:p>
                <w:r>
                  <w:t>Map Type</w:t>
                </w:r>
              </w:p>
              <w:tcPr>
                <w:tcW w:w="15" w:type="pct"/>
              </w:tcPr>
            </w:tc>
            <w:tc>
              <w:p>
                <w:r>
                  <w:t>Name</w:t>
                </w:r>
              </w:p>
              <w:tcPr>
                <w:tcW w:w="15" w:type="pct"/>
              </w:tcPr>
            </w:tc>
            <w:tc>
              <w:p>
                <w:r>
                  <w:t>Location</w:t>
                </w:r>
              </w:p>
              <w:tcPr>
                <w:tcW w:w="20" w:type="pct"/>
              </w:tcPr>
            </w:tc>
            <w:tc>
              <w:p>
                <w:r>
                  <w:t>Description</w:t>
                </w:r>
              </w:p>
              <w:tcPr>
                <w:tcW w:w="50" w:type="pct"/>
              </w:tcPr>
            </w:tc>
          </w:tr>
          <w:tr>
            <w:tc>
              <w:p>
                <w:r>
                  <w:t>Resource</w:t>
                </w:r>
              </w:p>
            </w:tc>
            <w:tc>
              <w:p>
                <w:r>
                  <w:t>Regulation Reference 1</w:t>
                </w:r>
              </w:p>
            </w:tc>
            <w:tc>
              <w:p>
                <w:r>
                  <w:t/>
                </w:r>
              </w:p>
            </w:tc>
            <w:tc>
              <w:p>
                <w:r>
                  <w:t/>
                </w:r>
              </w:p>
            </w:tc>
          </w:tr>
        </w:tbl>
      </w:r>
    </w:p>
    <w:p>
      <w:pPr>
        <w:pStyle w:val="Heading2"/>
        <w:jc w:val="left"/>
      </w:pPr>
      <w:r>
        <w:t>Specification Behavior</w:t>
      </w:r>
    </w:p>
    <w:p>
      <w:pPr>
        <w:pStyle w:val="Heading1"/>
        <w:jc w:val="center"/>
      </w:pPr>
      <w:r>
        <w:t xml:space="preserve">Encumberable</w:t>
      </w:r>
    </w:p>
    <w:p>
      <w:pPr>
        <w:pStyle w:val="Heading3"/>
        <w:jc w:val="left"/>
      </w:pPr>
      <w:r>
        <w:t>Taxonomy Symbol: e</w:t>
      </w:r>
    </w:p>
    <w:p>
      <w:pPr>
        <w:pStyle w:val="Quote"/>
        <w:jc w:val="left"/>
      </w:pPr>
      <w:r>
        <w:t>A token class that implements this behavior will have restrictions preventing certain behaviors like transferable, burnable, etc. from working while it is encumbered. The encumbering party should make a request to encumber, the owner should be notified about the request, and accept the request, which will finalize the encumbrance and send the EncumberResponse message to the requestor.</w:t>
      </w:r>
    </w:p>
    <w:p>
      <w:pPr>
        <w:pStyle w:val="Heading3"/>
        <w:jc w:val="left"/>
      </w:pPr>
      <w:r>
        <w:t>Example</w:t>
      </w:r>
    </w:p>
    <w:p>
      <w:pPr>
        <w:pStyle w:val="Normal"/>
        <w:jc w:val="left"/>
      </w:pPr>
      <w:r>
        <w:t>For example, a property title's owner may have obtained a loan from a bank to purchase the property. The loan represents a contract between the owner of the property and the bank, this loan encumbers the property title preventing the owner from being able to sell the property, transferable, to another party until the loan is paid off. Paying off the loan will remove the encumber, which will allow transferable to be invoked.</w:t>
      </w:r>
    </w:p>
    <w:p>
      <w:pPr>
        <w:pStyle w:val="Heading3"/>
        <w:jc w:val="left"/>
      </w:pPr>
      <w:r>
        <w:t>Analogies</w:t>
      </w:r>
    </w:p>
    <w:p>
      <w:pPr>
        <w:pStyle w:val="Normal"/>
        <w:jc w:val="left"/>
      </w:pPr>
      <w:r>
        <w:tbl>
          <w:tblPr>
            <w:tblStyle w:val="GridTable4-Accent1"/>
          </w:tblPr>
          <w:tr>
            <w:tc>
              <w:p>
                <w:r>
                  <w:t>Name</w:t>
                </w:r>
              </w:p>
              <w:tcPr>
                <w:tcW w:w="25" w:type="pct"/>
              </w:tcPr>
            </w:tc>
            <w:tc>
              <w:p>
                <w:r>
                  <w:t>Description</w:t>
                </w:r>
              </w:p>
              <w:tcPr>
                <w:tcW w:w="75" w:type="pct"/>
              </w:tcPr>
            </w:tc>
          </w:tr>
          <w:tr>
            <w:tc>
              <w:p>
                <w:r>
                  <w:t>Loan</w:t>
                </w:r>
              </w:p>
            </w:tc>
            <w:tc>
              <w:p>
                <w:r>
                  <w:t>A token can represent an asset that the owner took out a loan to obtain. If so, the token will need to be encumbered by the loan contract preventing the owner from selling the asset until the loan is repaid.</w:t>
                </w:r>
              </w:p>
            </w:tc>
          </w:tr>
        </w:tbl>
      </w:r>
    </w:p>
    <w:p>
      <w:pPr>
        <w:pStyle w:val="Heading3"/>
        <w:jc w:val="left"/>
      </w:pPr>
      <w:r>
        <w:t>Comments</w:t>
      </w:r>
    </w:p>
    <w:p>
      <w:pPr>
        <w:pStyle w:val="Normal"/>
        <w:jc w:val="left"/>
      </w:pPr>
      <w:r>
        <w:t>The token definition should have a Encumbered property or structure that may allow only one encumber or allow multiple.</w:t>
      </w:r>
    </w:p>
    <w:tbl>
      <w:tblPr>
        <w:tblStyle w:val="GridTable4-Accent1"/>
        <w:tblBorders>
          <w:top w:val="none" w:sz="12"/>
          <w:bottom w:val="none" w:sz="12"/>
          <w:left w:val="none" w:sz="12"/>
          <w:right w:val="none" w:sz="12"/>
          <w:insideH w:val="none" w:sz="12"/>
          <w:insideV w:val="none" w:sz="12"/>
        </w:tblBorders>
      </w:tblPr>
      <w:tr>
        <w:tc>
          <w:p>
            <w:r>
              <w:t>Is External:</w:t>
            </w:r>
          </w:p>
          <w:tcPr>
            <w:tcW w:w="30" w:type="pct"/>
          </w:tcPr>
        </w:tc>
        <w:tc>
          <w:p>
            <w:r>
              <w:t>True</w:t>
            </w:r>
          </w:p>
          <w:tcPr>
            <w:tcW w:w="70" w:type="pct"/>
          </w:tcPr>
        </w:tc>
      </w:tr>
      <w:tr>
        <w:tc>
          <w:p>
            <w:r>
              <w:t>Constructor:</w:t>
            </w:r>
          </w:p>
          <w:tcPr>
            <w:tcW w:w="30" w:type="pct"/>
          </w:tcPr>
        </w:tc>
        <w:tc>
          <w:p>
            <w:r>
              <w:t/>
            </w:r>
          </w:p>
          <w:tcPr>
            <w:tcW w:w="70" w:type="pct"/>
          </w:tcPr>
        </w:tc>
      </w:tr>
    </w:tbl>
    <w:p>
      <w:pPr>
        <w:pStyle w:val="Heading2"/>
        <w:jc w:val="left"/>
      </w:pPr>
      <w:r>
        <w:t>Encumberable responds to these Invocations</w:t>
      </w:r>
    </w:p>
    <w:p>
      <w:pPr>
        <w:pStyle w:val="Heading4"/>
        <w:jc w:val="left"/>
      </w:pPr>
      <w:r>
        <w:t>EncumberRequest</w:t>
      </w:r>
    </w:p>
    <w:p>
      <w:pPr>
        <w:pStyle w:val="Normal"/>
        <w:jc w:val="left"/>
      </w:pPr>
      <w:r>
        <w:t>Id: bdc69e47-8320-4f54-8a03-0f54c376e113</w:t>
      </w:r>
    </w:p>
    <w:p>
      <w:pPr>
        <w:pStyle w:val="Normal"/>
        <w:jc w:val="left"/>
      </w:pPr>
      <w:r>
        <w:t>Description: A Request by a party or account, perhaps a contract or another token, to encumber the token.</w:t>
      </w:r>
    </w:p>
    <w:p>
      <w:pPr>
        <w:pStyle w:val="Heading5"/>
        <w:jc w:val="left"/>
      </w:pPr>
      <w:r>
        <w:t>Request Message:</w:t>
      </w:r>
    </w:p>
    <w:p>
      <w:pPr>
        <w:pStyle w:val="Normal"/>
        <w:jc w:val="left"/>
      </w:pPr>
      <w:r>
        <w: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r>
            <w:tc>
              <w:p>
                <w:r>
                  <w:t>Name of Encumber</w:t>
                </w:r>
              </w:p>
            </w:tc>
            <w:tc>
              <w:p>
                <w:r>
                  <w:t>Name of the institution requesting the encumber.</w:t>
                </w:r>
              </w:p>
            </w:tc>
          </w:tr>
          <w:tr>
            <w:tc>
              <w:p>
                <w:r>
                  <w:t>Identifier</w:t>
                </w:r>
              </w:p>
            </w:tc>
            <w:tc>
              <w:p>
                <w:r>
                  <w:t>A public key or address for the requestor.</w:t>
                </w:r>
              </w:p>
            </w:tc>
          </w:tr>
          <w:tr>
            <w:tc>
              <w:p>
                <w:r>
                  <w:t>Signature</w:t>
                </w:r>
              </w:p>
            </w:tc>
            <w:tc>
              <w:p>
                <w:r>
                  <w:t>A digital signature or attestation, optional.</w:t>
                </w:r>
              </w:p>
            </w:tc>
          </w:tr>
        </w:tbl>
      </w:r>
    </w:p>
    <w:p>
      <w:pPr>
        <w:pStyle w:val="Heading5"/>
        <w:jc w:val="left"/>
      </w:pPr>
      <w:r>
        <w:t>Response Message</w:t>
      </w:r>
    </w:p>
    <w:p>
      <w:pPr>
        <w:pStyle w:val="Normal"/>
        <w:jc w:val="left"/>
      </w:pPr>
      <w:r>
        <w: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from the token for the encumber request.</w:t>
                </w:r>
              </w:p>
            </w:tc>
          </w:tr>
        </w:tbl>
      </w:r>
    </w:p>
    <w:p>
      <w:pPr>
        <w:pStyle w:val="Normal"/>
        <w:jc w:val="center"/>
      </w:pPr>
      <w:r>
        <w:t/>
      </w:r>
    </w:p>
    <w:p>
      <w:pPr>
        <w:pStyle w:val="Heading4"/>
        <w:jc w:val="left"/>
      </w:pPr>
      <w:r>
        <w:t>AcceptEncumberRequest</w:t>
      </w:r>
    </w:p>
    <w:p>
      <w:pPr>
        <w:pStyle w:val="Normal"/>
        <w:jc w:val="left"/>
      </w:pPr>
      <w:r>
        <w:t>Id: efd8bb57-4904-481e-976d-8a20a33df602</w:t>
      </w:r>
    </w:p>
    <w:p>
      <w:pPr>
        <w:pStyle w:val="Normal"/>
        <w:jc w:val="left"/>
      </w:pPr>
      <w:r>
        <w:t>Description: A Request by a party or account, perhaps a contract or another token, to encumber the token.  Once accepted, the token should add a new entry into the Encumbrances property.</w:t>
      </w:r>
    </w:p>
    <w:p>
      <w:pPr>
        <w:pStyle w:val="Heading5"/>
        <w:jc w:val="left"/>
      </w:pPr>
      <w:r>
        <w:t>Request Message:</w:t>
      </w:r>
    </w:p>
    <w:p>
      <w:pPr>
        <w:pStyle w:val="Normal"/>
        <w:jc w:val="left"/>
      </w:pPr>
      <w:r>
        <w:t>AcceptEncumberRequest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AcceptEncumberResponse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response returned to the owner of their acceptance.</w:t>
                </w:r>
              </w:p>
            </w:tc>
          </w:tr>
        </w:tbl>
      </w:r>
    </w:p>
    <w:p>
      <w:pPr>
        <w:pStyle w:val="Normal"/>
        <w:jc w:val="center"/>
      </w:pPr>
      <w:r>
        <w:t/>
      </w:r>
    </w:p>
    <w:p>
      <w:pPr>
        <w:pStyle w:val="Heading4"/>
        <w:jc w:val="left"/>
      </w:pPr>
      <w:r>
        <w:t>RemoveEncumberRequest</w:t>
      </w:r>
    </w:p>
    <w:p>
      <w:pPr>
        <w:pStyle w:val="Normal"/>
        <w:jc w:val="left"/>
      </w:pPr>
      <w:r>
        <w:t>Id: 4532c466-bb6d-482a-b2cc-5285ba1f8259</w:t>
      </w:r>
    </w:p>
    <w:p>
      <w:pPr>
        <w:pStyle w:val="Normal"/>
        <w:jc w:val="left"/>
      </w:pPr>
      <w:r>
        <w:t>Description: A Request by encumbrancer, perhaps a contract or another token, to remove their encumber or lien from the token.  Which should remove any restrictions from behaviors if there are no more encumbers.  Only the owner of the encumber can remove their encumber.</w:t>
      </w:r>
    </w:p>
    <w:p>
      <w:pPr>
        <w:pStyle w:val="Heading5"/>
        <w:jc w:val="left"/>
      </w:pPr>
      <w:r>
        <w:t>Request Message:</w:t>
      </w:r>
    </w:p>
    <w:p>
      <w:pPr>
        <w:pStyle w:val="Normal"/>
        <w:jc w:val="left"/>
      </w:pPr>
      <w:r>
        <w:t>RemoveEncumberRequest</w:t>
      </w:r>
    </w:p>
    <w:p>
      <w:pPr>
        <w:pStyle w:val="Normal"/>
        <w:jc w:val="left"/>
      </w:pPr>
      <w:r>
        <w:t>Description: The request</w:t>
      </w:r>
    </w:p>
    <w:p>
      <w:pPr>
        <w:pStyle w:val="Heading6"/>
        <w:jc w:val="left"/>
      </w:pPr>
      <w:r>
        <w:t>Request 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 Message</w:t>
      </w:r>
    </w:p>
    <w:p>
      <w:pPr>
        <w:pStyle w:val="Normal"/>
        <w:jc w:val="left"/>
      </w:pPr>
      <w:r>
        <w:t>RemoveEncumberResponse</w:t>
      </w:r>
    </w:p>
    <w:p>
      <w:pPr>
        <w:pStyle w:val="Normal"/>
        <w:jc w:val="left"/>
      </w:pPr>
      <w:r>
        <w:t>Description: The response</w:t>
      </w:r>
    </w:p>
    <w:p>
      <w:pPr>
        <w:pStyle w:val="Heading6"/>
        <w:jc w:val="left"/>
      </w:pPr>
      <w:r>
        <w:t>Response Parameters</w:t>
      </w:r>
    </w:p>
    <w:p>
      <w:pPr>
        <w:pStyle w:val="Normal"/>
        <w:jc w:val="left"/>
      </w:pPr>
      <w:r>
        <w:tbl>
          <w:tblPr>
            <w:tblStyle w:val="GridTable4-Accent1"/>
          </w:tblPr>
          <w:tr>
            <w:tc>
              <w:p>
                <w:r>
                  <w:t>Name</w:t>
                </w:r>
              </w:p>
              <w:tcPr>
                <w:tcW w:w="35" w:type="pct"/>
              </w:tcPr>
            </w:tc>
            <w:tc>
              <w:p>
                <w:r>
                  <w:t>Value</w:t>
                </w:r>
              </w:p>
              <w:tcPr>
                <w:tcW w:w="65" w:type="pct"/>
              </w:tcPr>
            </w:tc>
          </w:tr>
          <w:tr>
            <w:tc>
              <w:p>
                <w:r>
                  <w:t>Confirmation</w:t>
                </w:r>
              </w:p>
            </w:tc>
            <w:tc>
              <w:p>
                <w:r>
                  <w:t>A confirmation receipt or denial be returned to the RemoveEncumber requestor.</w:t>
                </w:r>
              </w:p>
            </w:tc>
          </w:tr>
        </w:tbl>
      </w:r>
    </w:p>
    <w:p>
      <w:pPr>
        <w:pStyle w:val="Normal"/>
        <w:jc w:val="center"/>
      </w:pPr>
      <w:r>
        <w:t/>
      </w:r>
    </w:p>
    <w:p>
      <w:pPr>
        <w:pStyle w:val="Heading3"/>
        <w:jc w:val="left"/>
      </w:pPr>
      <w:r>
        <w:t>Properties</w:t>
      </w:r>
    </w:p>
    <w:p>
      <w:pPr>
        <w:pStyle w:val="Heading4"/>
        <w:jc w:val="left"/>
      </w:pPr>
      <w:r>
        <w:t>Name: Encumbrances</w:t>
      </w:r>
    </w:p>
    <w:p>
      <w:pPr>
        <w:pStyle w:val="Normal"/>
        <w:jc w:val="left"/>
      </w:pPr>
      <w:r>
        <w:t>Value Description: List of Encumbered</w:t>
      </w:r>
    </w:p>
    <w:p>
      <w:pPr>
        <w:pStyle w:val="Normal"/>
        <w:jc w:val="left"/>
      </w:pPr>
      <w:r>
        <w:t>Template Value: </w:t>
      </w:r>
    </w:p>
    <w:p>
      <w:pPr>
        <w:pStyle w:val="Heading3"/>
        <w:jc w:val="left"/>
      </w:pPr>
      <w:r>
        <w:t>Invocations</w:t>
      </w:r>
    </w:p>
    <w:p>
      <w:pPr>
        <w:pStyle w:val="Heading4"/>
        <w:jc w:val="left"/>
      </w:pPr>
      <w:r>
        <w:t>GetEncumbrancesRequest</w:t>
      </w:r>
    </w:p>
    <w:p>
      <w:pPr>
        <w:pStyle w:val="Normal"/>
        <w:jc w:val="left"/>
      </w:pPr>
      <w:r>
        <w:t>Id: 9e39bf6a-74dc-4ca1-a709-5db247aaa31b</w:t>
      </w:r>
    </w:p>
    <w:p>
      <w:pPr>
        <w:pStyle w:val="Normal"/>
        <w:jc w:val="left"/>
      </w:pPr>
      <w:r>
        <w:t>Description: The property value.</w:t>
      </w:r>
    </w:p>
    <w:p>
      <w:pPr>
        <w:pStyle w:val="Heading5"/>
        <w:jc w:val="left"/>
      </w:pPr>
      <w:r>
        <w:t>Request</w:t>
      </w:r>
    </w:p>
    <w:p>
      <w:pPr>
        <w:pStyle w:val="Normal"/>
        <w:jc w:val="left"/>
      </w:pPr>
      <w:r>
        <w:t>Control Message: GetEncumbrancesRequest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GetEncumbrancesResponse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Encumbrances</w:t>
                </w:r>
              </w:p>
            </w:tc>
            <w:tc>
              <w:p>
                <w:r>
                  <w:t>List of Encumbered</w:t>
                </w:r>
              </w:p>
            </w:tc>
          </w:tr>
        </w:tbl>
      </w:r>
    </w:p>
    <w:p>
      <w:pPr>
        <w:pStyle w:val="Heading3"/>
        <w:jc w:val="left"/>
      </w:pPr>
      <w:r>
        <w:t>Properties</w:t>
      </w:r>
    </w:p>
    <w:p>
      <w:pPr>
        <w:pStyle w:val="Heading4"/>
        <w:jc w:val="left"/>
      </w:pPr>
      <w:r>
        <w:t>Name: Encumbered</w:t>
      </w:r>
    </w:p>
    <w:p>
      <w:pPr>
        <w:pStyle w:val="Normal"/>
        <w:jc w:val="left"/>
      </w:pPr>
      <w:r>
        <w:t>Value Description: True or False</w:t>
      </w:r>
    </w:p>
    <w:p>
      <w:pPr>
        <w:pStyle w:val="Normal"/>
        <w:jc w:val="left"/>
      </w:pPr>
      <w:r>
        <w:t>Template Value: </w:t>
      </w:r>
    </w:p>
    <w:p>
      <w:pPr>
        <w:pStyle w:val="Heading3"/>
        <w:jc w:val="left"/>
      </w:pPr>
      <w:r>
        <w:t>Invocations</w:t>
      </w:r>
    </w:p>
    <w:p>
      <w:pPr>
        <w:pStyle w:val="Heading4"/>
        <w:jc w:val="left"/>
      </w:pPr>
      <w:r>
        <w:t>GetEncumberedRequest</w:t>
      </w:r>
    </w:p>
    <w:p>
      <w:pPr>
        <w:pStyle w:val="Normal"/>
        <w:jc w:val="left"/>
      </w:pPr>
      <w:r>
        <w:t>Id: f35cdfee-d2f4-4a01-bf9b-33774b5df241</w:t>
      </w:r>
    </w:p>
    <w:p>
      <w:pPr>
        <w:pStyle w:val="Normal"/>
        <w:jc w:val="left"/>
      </w:pPr>
      <w:r>
        <w:t>Description: The property value.</w:t>
      </w:r>
    </w:p>
    <w:p>
      <w:pPr>
        <w:pStyle w:val="Heading5"/>
        <w:jc w:val="left"/>
      </w:pPr>
      <w:r>
        <w:t>Request</w:t>
      </w:r>
    </w:p>
    <w:p>
      <w:pPr>
        <w:pStyle w:val="Normal"/>
        <w:jc w:val="left"/>
      </w:pPr>
      <w:r>
        <w:t>Control Message: GetEncumberedRequest</w:t>
      </w:r>
    </w:p>
    <w:p>
      <w:pPr>
        <w:pStyle w:val="Normal"/>
        <w:jc w:val="left"/>
      </w:pPr>
      <w:r>
        <w:t>Description: </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bl>
      </w:r>
    </w:p>
    <w:p>
      <w:pPr>
        <w:pStyle w:val="Heading5"/>
        <w:jc w:val="left"/>
      </w:pPr>
      <w:r>
        <w:t>Response</w:t>
      </w:r>
    </w:p>
    <w:p>
      <w:pPr>
        <w:pStyle w:val="Normal"/>
        <w:jc w:val="left"/>
      </w:pPr>
      <w:r>
        <w:t>Control Message: GetEncumberedResponse</w:t>
      </w:r>
    </w:p>
    <w:p>
      <w:pPr>
        <w:pStyle w:val="Normal"/>
        <w:jc w:val="left"/>
      </w:pPr>
      <w:r>
        <w:t>Description: Return value</w:t>
      </w:r>
    </w:p>
    <w:p>
      <w:pPr>
        <w:pStyle w:val="Heading6"/>
        <w:jc w:val="left"/>
      </w:pPr>
      <w:r>
        <w:t>Parameters</w:t>
      </w:r>
    </w:p>
    <w:p>
      <w:pPr>
        <w:pStyle w:val="Normal"/>
        <w:jc w:val="left"/>
      </w:pPr>
      <w:r>
        <w:tbl>
          <w:tblPr>
            <w:tblStyle w:val="GridTable4-Accent1"/>
          </w:tblPr>
          <w:tr>
            <w:tc>
              <w:p>
                <w:r>
                  <w:t>Name</w:t>
                </w:r>
              </w:p>
              <w:tcPr>
                <w:tcW w:w="35" w:type="pct"/>
              </w:tcPr>
            </w:tc>
            <w:tc>
              <w:p>
                <w:r>
                  <w:t>Value</w:t>
                </w:r>
              </w:p>
              <w:tcPr>
                <w:tcW w:w="65" w:type="pct"/>
              </w:tcPr>
            </w:tc>
          </w:tr>
          <w:tr>
            <w:tc>
              <w:p>
                <w:r>
                  <w:t>Encumbered</w:t>
                </w:r>
              </w:p>
            </w:tc>
            <w:tc>
              <w:p>
                <w:r>
                  <w:t>True or False</w:t>
                </w:r>
              </w:p>
            </w:tc>
          </w:tr>
        </w:tbl>
      </w:r>
    </w:p>
    <w:p>
      <w:pPr>
        <w:pStyle w:val="Heading3"/>
        <w:jc w:val="left"/>
      </w:pPr>
      <w:r>
        <w:t>Properties</w:t>
      </w:r>
    </w:p>
  </w:body>
</w:document>
</file>

<file path=word/footer1.xml><?xml version="1.0" encoding="utf-8"?>
<w:ftr xmlns:w="http://schemas.openxmlformats.org/wordprocessingml/2006/main">
  <w:p>
    <w:pPr>
      <w:pStyle w:val="Footer"/>
    </w:pPr>
    <w:r>
      <w:t>Document - c6e8898d4b5d040d7df15c541a3aea08039985ddadd9a404c0b0c042bebb140e</w:t>
      <w:fldSimple w:instr="PAGE"/>
    </w:r>
  </w:p>
</w:ftr>
</file>

<file path=word/header1.xml><?xml version="1.0" encoding="utf-8"?>
<w:hdr xmlns:w="http://schemas.openxmlformats.org/wordprocessingml/2006/main">
  <w:p>
    <w:r>
      <w:pict>
        <v:shape xmlns:o="urn:schemas-microsoft-com:office:office" xmlns:v="urn:schemas-microsoft-com:vml" id="WordPictureWatermark75517470" style="position:absolute;left:0;text-align:left;margin-left:0;margin-top:0;width:456.15pt;height:456.15pt;z-index:-251656192;mso-position-horizontal:center;mso-position-horizontal-relative:margin;mso-position-vertical:center;mso-position-vertical-relative:margin" o:spid="_x0000_s2051" o:allowincell="false" type="#_x0000_t75">
          <v:imagedata xmlns:r="http://schemas.openxmlformats.org/officeDocument/2006/relationships" gain="19661f" blacklevel="22938f" o:title="水印" r:id="rId999"/>
        </v:shape>
      </w:pict>
    </w:r>
  </w:p>
</w:hdr>
</file>

<file path=word/numbering.xml><?xml version="1.0" encoding="utf-8"?>
<w:numbering xmlns:w="http://schemas.openxmlformats.org/wordprocessingml/2006/main">
  <w:abstractNum w:abstractNumId="1">
    <w:lvl w:ilvl="0">
      <w:numFmt w:val="bullet"/>
      <w:lvlText w:val="·"/>
    </w:lvl>
  </w:abstractNum>
  <w:num w:numId="1">
    <w:abstractNumId w:val="1"/>
  </w:num>
</w:numbering>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54C48"/>
  </w:style>
  <w:style w:type="paragraph" w:styleId="Heading1">
    <w:name w:val="heading 1"/>
    <w:basedOn w:val="Normal"/>
    <w:next w:val="Normal"/>
    <w:link w:val="Heading1Char"/>
    <w:uiPriority w:val="9"/>
    <w:qFormat/>
    <w:rsid w:val="00704BB7"/>
    <w:pPr>
      <w:keepNext/>
      <w:keepLines/>
      <w:spacing w:before="320" w:after="80" w:line="240" w:lineRule="auto"/>
      <w:jc w:val="center"/>
      <w:outlineLvl w:val="0"/>
    </w:pPr>
    <w:rPr>
      <w:rFonts w:asciiTheme="majorHAnsi" w:eastAsiaTheme="majorEastAsia" w:hAnsiTheme="majorHAnsi" w:cstheme="majorBidi"/>
      <w:b/>
      <w:color w:val="1481AB" w:themeColor="accent1" w:themeShade="BF"/>
      <w:sz w:val="40"/>
      <w:szCs w:val="40"/>
    </w:rPr>
  </w:style>
  <w:style w:type="paragraph" w:styleId="Heading2">
    <w:name w:val="heading 2"/>
    <w:basedOn w:val="Normal"/>
    <w:next w:val="Normal"/>
    <w:link w:val="Heading2Char"/>
    <w:uiPriority w:val="9"/>
    <w:unhideWhenUsed/>
    <w:qFormat/>
    <w:rsid w:val="00704BB7"/>
    <w:pPr>
      <w:keepNext/>
      <w:keepLines/>
      <w:spacing w:before="160" w:after="40" w:line="240" w:lineRule="auto"/>
      <w:jc w:val="center"/>
      <w:outlineLvl w:val="1"/>
    </w:pPr>
    <w:rPr>
      <w:rFonts w:asciiTheme="majorHAnsi" w:eastAsiaTheme="majorEastAsia" w:hAnsiTheme="majorHAnsi" w:cstheme="majorBidi"/>
      <w:sz w:val="36"/>
      <w:szCs w:val="32"/>
      <w:u w:val="single"/>
    </w:rPr>
  </w:style>
  <w:style w:type="paragraph" w:styleId="Heading3">
    <w:name w:val="heading 3"/>
    <w:basedOn w:val="Normal"/>
    <w:next w:val="Normal"/>
    <w:link w:val="Heading3Char"/>
    <w:uiPriority w:val="9"/>
    <w:unhideWhenUsed/>
    <w:qFormat/>
    <w:rsid w:val="00704BB7"/>
    <w:pPr>
      <w:keepNext/>
      <w:keepLines/>
      <w:spacing w:before="160" w:after="0" w:line="240" w:lineRule="auto"/>
      <w:outlineLvl w:val="2"/>
    </w:pPr>
    <w:rPr>
      <w:rFonts w:asciiTheme="majorHAnsi" w:eastAsiaTheme="majorEastAsia" w:hAnsiTheme="majorHAnsi" w:cstheme="majorBidi"/>
      <w:sz w:val="36"/>
      <w:szCs w:val="32"/>
    </w:rPr>
  </w:style>
  <w:style w:type="paragraph" w:styleId="Heading4">
    <w:name w:val="heading 4"/>
    <w:basedOn w:val="Normal"/>
    <w:next w:val="Normal"/>
    <w:link w:val="Heading4Char"/>
    <w:uiPriority w:val="9"/>
    <w:unhideWhenUsed/>
    <w:qFormat/>
    <w:rsid w:val="00704BB7"/>
    <w:pPr>
      <w:keepNext/>
      <w:keepLines/>
      <w:spacing w:before="80" w:after="0"/>
      <w:outlineLvl w:val="3"/>
    </w:pPr>
    <w:rPr>
      <w:rFonts w:asciiTheme="majorHAnsi" w:eastAsiaTheme="majorEastAsia" w:hAnsiTheme="majorHAnsi" w:cstheme="majorBidi"/>
      <w:i/>
      <w:iCs/>
      <w:sz w:val="32"/>
      <w:szCs w:val="30"/>
    </w:rPr>
  </w:style>
  <w:style w:type="paragraph" w:styleId="Heading5">
    <w:name w:val="heading 5"/>
    <w:basedOn w:val="Normal"/>
    <w:next w:val="Normal"/>
    <w:link w:val="Heading5Char"/>
    <w:uiPriority w:val="9"/>
    <w:unhideWhenUsed/>
    <w:qFormat/>
    <w:rsid w:val="006F0482"/>
    <w:pPr>
      <w:keepNext/>
      <w:keepLines/>
      <w:spacing w:before="40" w:after="0"/>
      <w:outlineLvl w:val="4"/>
    </w:pPr>
    <w:rPr>
      <w:rFonts w:asciiTheme="majorHAnsi" w:eastAsiaTheme="majorEastAsia" w:hAnsiTheme="majorHAnsi" w:cstheme="majorBidi"/>
      <w:b/>
      <w:sz w:val="28"/>
      <w:szCs w:val="28"/>
    </w:rPr>
  </w:style>
  <w:style w:type="paragraph" w:styleId="Heading6">
    <w:name w:val="heading 6"/>
    <w:basedOn w:val="Normal"/>
    <w:next w:val="Normal"/>
    <w:link w:val="Heading6Char"/>
    <w:uiPriority w:val="9"/>
    <w:unhideWhenUsed/>
    <w:qFormat/>
    <w:rsid w:val="006F0482"/>
    <w:pPr>
      <w:keepNext/>
      <w:keepLines/>
      <w:spacing w:before="40" w:after="0"/>
      <w:outlineLvl w:val="5"/>
    </w:pPr>
    <w:rPr>
      <w:rFonts w:asciiTheme="majorHAnsi" w:eastAsiaTheme="majorEastAsia" w:hAnsiTheme="majorHAnsi" w:cstheme="majorBidi"/>
      <w:i/>
      <w:iCs/>
      <w:sz w:val="26"/>
      <w:szCs w:val="26"/>
      <w:u w:val="single"/>
    </w:rPr>
  </w:style>
  <w:style w:type="paragraph" w:styleId="Heading7">
    <w:name w:val="heading 7"/>
    <w:basedOn w:val="Normal"/>
    <w:next w:val="Normal"/>
    <w:link w:val="Heading7Char"/>
    <w:uiPriority w:val="9"/>
    <w:unhideWhenUsed/>
    <w:qFormat/>
    <w:rsid w:val="00C54C48"/>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C54C48"/>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C54C48"/>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defaultparagraphfont0">
    <w:name w:val="defaultparagraphfont"/>
    <w:basedOn w:val="DefaultParagraphFont"/>
    <w:rsid w:val="008B5C93"/>
  </w:style>
  <w:style w:type="paragraph" w:customStyle="1" w:styleId="heading10">
    <w:name w:val="heading1"/>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mediumgrid3-accent1-br-mediumgrid3-accent1-br-mediumgrid3-accent1-br-mediumgrid3-accent1-br-mediumgrid3-accent1-br">
    <w:name w:val="normal-mediumgrid3-accent1-br-mediumgrid3-accent1-br-mediumgrid3-accent1-br-mediumgrid3-accent1-br-mediumgrid3-accent1-br"/>
    <w:basedOn w:val="Normal"/>
    <w:rsid w:val="008B5C93"/>
    <w:pPr>
      <w:spacing w:before="100" w:beforeAutospacing="1" w:after="100" w:afterAutospacing="1" w:line="240" w:lineRule="auto"/>
    </w:pPr>
    <w:rPr>
      <w:rFonts w:ascii="Times New Roman" w:eastAsia="Times New Roman" w:hAnsi="Times New Roman"/>
      <w:sz w:val="24"/>
      <w:szCs w:val="24"/>
    </w:rPr>
  </w:style>
  <w:style w:type="paragraph" w:customStyle="1" w:styleId="normalweb">
    <w:name w:val="normalweb"/>
    <w:basedOn w:val="Normal"/>
    <w:rsid w:val="008B5C93"/>
    <w:pPr>
      <w:spacing w:before="100" w:beforeAutospacing="1" w:after="100" w:afterAutospacing="1" w:line="240" w:lineRule="auto"/>
    </w:pPr>
    <w:rPr>
      <w:rFonts w:ascii="Times New Roman" w:eastAsia="Times New Roman" w:hAnsi="Times New Roman"/>
      <w:sz w:val="24"/>
      <w:szCs w:val="24"/>
    </w:rPr>
  </w:style>
  <w:style w:type="character" w:customStyle="1" w:styleId="Emphasis1">
    <w:name w:val="Emphasis1"/>
    <w:basedOn w:val="DefaultParagraphFont"/>
    <w:rsid w:val="008B5C93"/>
  </w:style>
  <w:style w:type="table" w:styleId="MediumGrid3-Accent1">
    <w:name w:val="Medium Grid 3 Accent 1"/>
    <w:basedOn w:val="TableNormal"/>
    <w:uiPriority w:val="69"/>
    <w:rsid w:val="001E3C5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character" w:customStyle="1" w:styleId="Heading1Char">
    <w:name w:val="Heading 1 Char"/>
    <w:basedOn w:val="DefaultParagraphFont"/>
    <w:link w:val="Heading1"/>
    <w:uiPriority w:val="9"/>
    <w:rsid w:val="00704BB7"/>
    <w:rPr>
      <w:rFonts w:asciiTheme="majorHAnsi" w:eastAsiaTheme="majorEastAsia" w:hAnsiTheme="majorHAnsi" w:cstheme="majorBidi"/>
      <w:b/>
      <w:color w:val="1481AB" w:themeColor="accent1" w:themeShade="BF"/>
      <w:sz w:val="40"/>
      <w:szCs w:val="40"/>
    </w:rPr>
  </w:style>
  <w:style w:type="paragraph" w:styleId="Title">
    <w:name w:val="Title"/>
    <w:basedOn w:val="Normal"/>
    <w:next w:val="Normal"/>
    <w:link w:val="TitleChar"/>
    <w:uiPriority w:val="10"/>
    <w:qFormat/>
    <w:rsid w:val="00C54C48"/>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1485A4" w:themeColor="text2"/>
      <w:spacing w:val="30"/>
      <w:sz w:val="72"/>
      <w:szCs w:val="72"/>
    </w:rPr>
  </w:style>
  <w:style w:type="character" w:customStyle="1" w:styleId="TitleChar">
    <w:name w:val="Title Char"/>
    <w:basedOn w:val="DefaultParagraphFont"/>
    <w:link w:val="Title"/>
    <w:uiPriority w:val="10"/>
    <w:rsid w:val="00C54C48"/>
    <w:rPr>
      <w:rFonts w:asciiTheme="majorHAnsi" w:eastAsiaTheme="majorEastAsia" w:hAnsiTheme="majorHAnsi" w:cstheme="majorBidi"/>
      <w:caps/>
      <w:color w:val="1485A4" w:themeColor="text2"/>
      <w:spacing w:val="30"/>
      <w:sz w:val="72"/>
      <w:szCs w:val="72"/>
    </w:rPr>
  </w:style>
  <w:style w:type="paragraph" w:styleId="NoSpacing">
    <w:name w:val="No Spacing"/>
    <w:uiPriority w:val="1"/>
    <w:qFormat/>
    <w:rsid w:val="00C54C48"/>
    <w:pPr>
      <w:spacing w:after="0" w:line="240" w:lineRule="auto"/>
    </w:pPr>
  </w:style>
  <w:style w:type="paragraph" w:styleId="Header">
    <w:name w:val="header"/>
    <w:basedOn w:val="Normal"/>
    <w:link w:val="HeaderChar"/>
    <w:uiPriority w:val="99"/>
    <w:unhideWhenUsed/>
    <w:rsid w:val="009B58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5836"/>
    <w:rPr>
      <w:sz w:val="22"/>
      <w:szCs w:val="22"/>
    </w:rPr>
  </w:style>
  <w:style w:type="paragraph" w:styleId="Footer">
    <w:name w:val="footer"/>
    <w:basedOn w:val="Normal"/>
    <w:link w:val="FooterChar"/>
    <w:uiPriority w:val="99"/>
    <w:unhideWhenUsed/>
    <w:rsid w:val="009B58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5836"/>
    <w:rPr>
      <w:sz w:val="22"/>
      <w:szCs w:val="22"/>
    </w:rPr>
  </w:style>
  <w:style w:type="character" w:styleId="PageNumber">
    <w:name w:val="page number"/>
    <w:basedOn w:val="DefaultParagraphFont"/>
    <w:uiPriority w:val="99"/>
    <w:semiHidden/>
    <w:unhideWhenUsed/>
    <w:rsid w:val="009B5836"/>
  </w:style>
  <w:style w:type="character" w:styleId="SubtleEmphasis">
    <w:name w:val="Subtle Emphasis"/>
    <w:basedOn w:val="DefaultParagraphFont"/>
    <w:uiPriority w:val="19"/>
    <w:qFormat/>
    <w:rsid w:val="00C54C48"/>
    <w:rPr>
      <w:i/>
      <w:iCs/>
      <w:color w:val="595959" w:themeColor="text1" w:themeTint="A6"/>
    </w:rPr>
  </w:style>
  <w:style w:type="character" w:styleId="Emphasis">
    <w:name w:val="Emphasis"/>
    <w:basedOn w:val="DefaultParagraphFont"/>
    <w:uiPriority w:val="20"/>
    <w:qFormat/>
    <w:rsid w:val="00704BB7"/>
    <w:rPr>
      <w:rFonts w:asciiTheme="minorHAnsi" w:hAnsiTheme="minorHAnsi"/>
      <w:i/>
      <w:iCs/>
      <w:color w:val="000000" w:themeColor="text1"/>
      <w:sz w:val="32"/>
    </w:rPr>
  </w:style>
  <w:style w:type="character" w:customStyle="1" w:styleId="Heading2Char">
    <w:name w:val="Heading 2 Char"/>
    <w:basedOn w:val="DefaultParagraphFont"/>
    <w:link w:val="Heading2"/>
    <w:uiPriority w:val="9"/>
    <w:rsid w:val="00704BB7"/>
    <w:rPr>
      <w:rFonts w:asciiTheme="majorHAnsi" w:eastAsiaTheme="majorEastAsia" w:hAnsiTheme="majorHAnsi" w:cstheme="majorBidi"/>
      <w:sz w:val="36"/>
      <w:szCs w:val="32"/>
      <w:u w:val="single"/>
    </w:rPr>
  </w:style>
  <w:style w:type="paragraph" w:styleId="ListParagraph">
    <w:name w:val="List Paragraph"/>
    <w:basedOn w:val="Normal"/>
    <w:uiPriority w:val="34"/>
    <w:qFormat/>
    <w:rsid w:val="00F0677D"/>
    <w:pPr>
      <w:ind w:left="720"/>
      <w:contextualSpacing/>
    </w:pPr>
  </w:style>
  <w:style w:type="character" w:customStyle="1" w:styleId="Heading3Char">
    <w:name w:val="Heading 3 Char"/>
    <w:basedOn w:val="DefaultParagraphFont"/>
    <w:link w:val="Heading3"/>
    <w:uiPriority w:val="9"/>
    <w:rsid w:val="00704BB7"/>
    <w:rPr>
      <w:rFonts w:asciiTheme="majorHAnsi" w:eastAsiaTheme="majorEastAsia" w:hAnsiTheme="majorHAnsi" w:cstheme="majorBidi"/>
      <w:sz w:val="36"/>
      <w:szCs w:val="32"/>
    </w:rPr>
  </w:style>
  <w:style w:type="table" w:styleId="GridTable4-Accent1">
    <w:name w:val="Grid Table 4 Accent 1"/>
    <w:basedOn w:val="TableNormal"/>
    <w:uiPriority w:val="49"/>
    <w:rsid w:val="00F7314F"/>
    <w:tblPr>
      <w:tblStyleRowBandSize w:val="1"/>
      <w:tblStyleColBandSize w:val="1"/>
      <w:tblBorders>
        <w:top w:val="single" w:sz="4" w:space="0" w:color="76CDEE" w:themeColor="accent1" w:themeTint="99"/>
        <w:left w:val="single" w:sz="4" w:space="0" w:color="76CDEE" w:themeColor="accent1" w:themeTint="99"/>
        <w:bottom w:val="single" w:sz="4" w:space="0" w:color="76CDEE" w:themeColor="accent1" w:themeTint="99"/>
        <w:right w:val="single" w:sz="4" w:space="0" w:color="76CDEE" w:themeColor="accent1" w:themeTint="99"/>
        <w:insideH w:val="single" w:sz="4" w:space="0" w:color="76CDEE" w:themeColor="accent1" w:themeTint="99"/>
        <w:insideV w:val="single" w:sz="4" w:space="0" w:color="76CDEE" w:themeColor="accent1" w:themeTint="99"/>
      </w:tblBorders>
    </w:tblPr>
    <w:tblStylePr w:type="firstRow">
      <w:rPr>
        <w:b/>
        <w:bCs/>
        <w:color w:val="FFFFFF" w:themeColor="background1"/>
      </w:rPr>
      <w:tblPr/>
      <w:tcPr>
        <w:tcBorders>
          <w:top w:val="single" w:sz="4" w:space="0" w:color="1CADE4" w:themeColor="accent1"/>
          <w:left w:val="single" w:sz="4" w:space="0" w:color="1CADE4" w:themeColor="accent1"/>
          <w:bottom w:val="single" w:sz="4" w:space="0" w:color="1CADE4" w:themeColor="accent1"/>
          <w:right w:val="single" w:sz="4" w:space="0" w:color="1CADE4" w:themeColor="accent1"/>
          <w:insideH w:val="nil"/>
          <w:insideV w:val="nil"/>
        </w:tcBorders>
        <w:shd w:val="clear" w:color="auto" w:fill="1CADE4" w:themeFill="accent1"/>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table" w:styleId="TableGrid">
    <w:name w:val="Table Grid"/>
    <w:basedOn w:val="TableNormal"/>
    <w:uiPriority w:val="59"/>
    <w:rsid w:val="00785E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7D82"/>
    <w:rPr>
      <w:color w:val="F49100" w:themeColor="hyperlink"/>
      <w:u w:val="single"/>
    </w:rPr>
  </w:style>
  <w:style w:type="character" w:styleId="UnresolvedMention">
    <w:name w:val="Unresolved Mention"/>
    <w:basedOn w:val="DefaultParagraphFont"/>
    <w:uiPriority w:val="99"/>
    <w:semiHidden/>
    <w:unhideWhenUsed/>
    <w:rsid w:val="004C7D82"/>
    <w:rPr>
      <w:color w:val="605E5C"/>
      <w:shd w:val="clear" w:color="auto" w:fill="E1DFDD"/>
    </w:rPr>
  </w:style>
  <w:style w:type="table" w:styleId="GridTable1Light-Accent6">
    <w:name w:val="Grid Table 1 Light Accent 6"/>
    <w:basedOn w:val="TableNormal"/>
    <w:uiPriority w:val="46"/>
    <w:rsid w:val="00C54C48"/>
    <w:tblPr>
      <w:tblStyleRowBandSize w:val="1"/>
      <w:tblStyleColBandSize w:val="1"/>
      <w:tblBorders>
        <w:top w:val="single" w:sz="4" w:space="0" w:color="C0DAD8" w:themeColor="accent6" w:themeTint="66"/>
        <w:left w:val="single" w:sz="4" w:space="0" w:color="C0DAD8" w:themeColor="accent6" w:themeTint="66"/>
        <w:bottom w:val="single" w:sz="4" w:space="0" w:color="C0DAD8" w:themeColor="accent6" w:themeTint="66"/>
        <w:right w:val="single" w:sz="4" w:space="0" w:color="C0DAD8" w:themeColor="accent6" w:themeTint="66"/>
        <w:insideH w:val="single" w:sz="4" w:space="0" w:color="C0DAD8" w:themeColor="accent6" w:themeTint="66"/>
        <w:insideV w:val="single" w:sz="4" w:space="0" w:color="C0DAD8" w:themeColor="accent6" w:themeTint="66"/>
      </w:tblBorders>
    </w:tblPr>
    <w:tblStylePr w:type="firstRow">
      <w:rPr>
        <w:b/>
        <w:bCs/>
      </w:rPr>
      <w:tblPr/>
      <w:tcPr>
        <w:tcBorders>
          <w:bottom w:val="single" w:sz="12" w:space="0" w:color="A0C7C5" w:themeColor="accent6" w:themeTint="99"/>
        </w:tcBorders>
      </w:tcPr>
    </w:tblStylePr>
    <w:tblStylePr w:type="lastRow">
      <w:rPr>
        <w:b/>
        <w:bCs/>
      </w:rPr>
      <w:tblPr/>
      <w:tcPr>
        <w:tcBorders>
          <w:top w:val="double" w:sz="2" w:space="0" w:color="A0C7C5" w:themeColor="accent6" w:themeTint="99"/>
        </w:tcBorders>
      </w:tcPr>
    </w:tblStylePr>
    <w:tblStylePr w:type="firstCol">
      <w:rPr>
        <w:b/>
        <w:bCs/>
      </w:rPr>
    </w:tblStylePr>
    <w:tblStylePr w:type="lastCol">
      <w:rPr>
        <w:b/>
        <w:bCs/>
      </w:rPr>
    </w:tblStylePr>
  </w:style>
  <w:style w:type="table" w:styleId="GridTable3">
    <w:name w:val="Grid Table 3"/>
    <w:basedOn w:val="TableNormal"/>
    <w:uiPriority w:val="48"/>
    <w:rsid w:val="00C54C4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1Light">
    <w:name w:val="List Table 1 Light"/>
    <w:basedOn w:val="TableNormal"/>
    <w:uiPriority w:val="46"/>
    <w:rsid w:val="00C54C4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3">
    <w:name w:val="Plain Table 3"/>
    <w:basedOn w:val="TableNormal"/>
    <w:uiPriority w:val="43"/>
    <w:rsid w:val="00C54C4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6Colorful-Accent1">
    <w:name w:val="List Table 6 Colorful Accent 1"/>
    <w:basedOn w:val="TableNormal"/>
    <w:uiPriority w:val="51"/>
    <w:rsid w:val="00C54C48"/>
    <w:rPr>
      <w:color w:val="1481AB" w:themeColor="accent1" w:themeShade="BF"/>
    </w:rPr>
    <w:tblPr>
      <w:tblStyleRowBandSize w:val="1"/>
      <w:tblStyleColBandSize w:val="1"/>
      <w:tblBorders>
        <w:top w:val="single" w:sz="4" w:space="0" w:color="1CADE4" w:themeColor="accent1"/>
        <w:bottom w:val="single" w:sz="4" w:space="0" w:color="1CADE4" w:themeColor="accent1"/>
      </w:tblBorders>
    </w:tblPr>
    <w:tblStylePr w:type="firstRow">
      <w:rPr>
        <w:b/>
        <w:bCs/>
      </w:rPr>
      <w:tblPr/>
      <w:tcPr>
        <w:tcBorders>
          <w:bottom w:val="single" w:sz="4" w:space="0" w:color="1CADE4" w:themeColor="accent1"/>
        </w:tcBorders>
      </w:tcPr>
    </w:tblStylePr>
    <w:tblStylePr w:type="lastRow">
      <w:rPr>
        <w:b/>
        <w:bCs/>
      </w:rPr>
      <w:tblPr/>
      <w:tcPr>
        <w:tcBorders>
          <w:top w:val="double" w:sz="4" w:space="0" w:color="1CADE4" w:themeColor="accent1"/>
        </w:tcBorders>
      </w:tcPr>
    </w:tblStylePr>
    <w:tblStylePr w:type="firstCol">
      <w:rPr>
        <w:b/>
        <w:bCs/>
      </w:rPr>
    </w:tblStylePr>
    <w:tblStylePr w:type="lastCol">
      <w:rPr>
        <w:b/>
        <w:bCs/>
      </w:rPr>
    </w:tblStylePr>
    <w:tblStylePr w:type="band1Vert">
      <w:tblPr/>
      <w:tcPr>
        <w:shd w:val="clear" w:color="auto" w:fill="D1EEF9" w:themeFill="accent1" w:themeFillTint="33"/>
      </w:tcPr>
    </w:tblStylePr>
    <w:tblStylePr w:type="band1Horz">
      <w:tblPr/>
      <w:tcPr>
        <w:shd w:val="clear" w:color="auto" w:fill="D1EEF9" w:themeFill="accent1" w:themeFillTint="33"/>
      </w:tcPr>
    </w:tblStylePr>
  </w:style>
  <w:style w:type="character" w:customStyle="1" w:styleId="Heading4Char">
    <w:name w:val="Heading 4 Char"/>
    <w:basedOn w:val="DefaultParagraphFont"/>
    <w:link w:val="Heading4"/>
    <w:uiPriority w:val="9"/>
    <w:rsid w:val="00704BB7"/>
    <w:rPr>
      <w:rFonts w:asciiTheme="majorHAnsi" w:eastAsiaTheme="majorEastAsia" w:hAnsiTheme="majorHAnsi" w:cstheme="majorBidi"/>
      <w:i/>
      <w:iCs/>
      <w:sz w:val="32"/>
      <w:szCs w:val="30"/>
    </w:rPr>
  </w:style>
  <w:style w:type="character" w:customStyle="1" w:styleId="Heading5Char">
    <w:name w:val="Heading 5 Char"/>
    <w:basedOn w:val="DefaultParagraphFont"/>
    <w:link w:val="Heading5"/>
    <w:uiPriority w:val="9"/>
    <w:rsid w:val="006F0482"/>
    <w:rPr>
      <w:rFonts w:asciiTheme="majorHAnsi" w:eastAsiaTheme="majorEastAsia" w:hAnsiTheme="majorHAnsi" w:cstheme="majorBidi"/>
      <w:b/>
      <w:sz w:val="28"/>
      <w:szCs w:val="28"/>
    </w:rPr>
  </w:style>
  <w:style w:type="character" w:customStyle="1" w:styleId="Heading6Char">
    <w:name w:val="Heading 6 Char"/>
    <w:basedOn w:val="DefaultParagraphFont"/>
    <w:link w:val="Heading6"/>
    <w:uiPriority w:val="9"/>
    <w:rsid w:val="006F0482"/>
    <w:rPr>
      <w:rFonts w:asciiTheme="majorHAnsi" w:eastAsiaTheme="majorEastAsia" w:hAnsiTheme="majorHAnsi" w:cstheme="majorBidi"/>
      <w:i/>
      <w:iCs/>
      <w:sz w:val="26"/>
      <w:szCs w:val="26"/>
      <w:u w:val="single"/>
    </w:rPr>
  </w:style>
  <w:style w:type="character" w:customStyle="1" w:styleId="Heading7Char">
    <w:name w:val="Heading 7 Char"/>
    <w:basedOn w:val="DefaultParagraphFont"/>
    <w:link w:val="Heading7"/>
    <w:uiPriority w:val="9"/>
    <w:rsid w:val="00C54C48"/>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C54C48"/>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C54C48"/>
    <w:rPr>
      <w:b/>
      <w:bCs/>
      <w:i/>
      <w:iCs/>
    </w:rPr>
  </w:style>
  <w:style w:type="paragraph" w:styleId="Caption">
    <w:name w:val="caption"/>
    <w:basedOn w:val="Normal"/>
    <w:next w:val="Normal"/>
    <w:uiPriority w:val="35"/>
    <w:semiHidden/>
    <w:unhideWhenUsed/>
    <w:qFormat/>
    <w:rsid w:val="00C54C48"/>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C54C48"/>
    <w:pPr>
      <w:numPr>
        <w:ilvl w:val="1"/>
      </w:numPr>
      <w:jc w:val="center"/>
    </w:pPr>
    <w:rPr>
      <w:color w:val="1485A4" w:themeColor="text2"/>
      <w:sz w:val="28"/>
      <w:szCs w:val="28"/>
    </w:rPr>
  </w:style>
  <w:style w:type="character" w:customStyle="1" w:styleId="SubtitleChar">
    <w:name w:val="Subtitle Char"/>
    <w:basedOn w:val="DefaultParagraphFont"/>
    <w:link w:val="Subtitle"/>
    <w:uiPriority w:val="11"/>
    <w:rsid w:val="00C54C48"/>
    <w:rPr>
      <w:color w:val="1485A4" w:themeColor="text2"/>
      <w:sz w:val="28"/>
      <w:szCs w:val="28"/>
    </w:rPr>
  </w:style>
  <w:style w:type="character" w:styleId="Strong">
    <w:name w:val="Strong"/>
    <w:basedOn w:val="DefaultParagraphFont"/>
    <w:uiPriority w:val="22"/>
    <w:qFormat/>
    <w:rsid w:val="00C54C48"/>
    <w:rPr>
      <w:b/>
      <w:bCs/>
    </w:rPr>
  </w:style>
  <w:style w:type="paragraph" w:styleId="Quote">
    <w:name w:val="Quote"/>
    <w:basedOn w:val="Normal"/>
    <w:next w:val="Normal"/>
    <w:link w:val="QuoteChar"/>
    <w:uiPriority w:val="29"/>
    <w:qFormat/>
    <w:rsid w:val="00C54C48"/>
    <w:pPr>
      <w:spacing w:before="160"/>
      <w:ind w:left="720" w:right="720"/>
      <w:jc w:val="center"/>
    </w:pPr>
    <w:rPr>
      <w:i/>
      <w:iCs/>
      <w:color w:val="1D99A0" w:themeColor="accent3" w:themeShade="BF"/>
      <w:sz w:val="24"/>
      <w:szCs w:val="24"/>
    </w:rPr>
  </w:style>
  <w:style w:type="character" w:customStyle="1" w:styleId="QuoteChar">
    <w:name w:val="Quote Char"/>
    <w:basedOn w:val="DefaultParagraphFont"/>
    <w:link w:val="Quote"/>
    <w:uiPriority w:val="29"/>
    <w:rsid w:val="00C54C48"/>
    <w:rPr>
      <w:i/>
      <w:iCs/>
      <w:color w:val="1D99A0" w:themeColor="accent3" w:themeShade="BF"/>
      <w:sz w:val="24"/>
      <w:szCs w:val="24"/>
    </w:rPr>
  </w:style>
  <w:style w:type="paragraph" w:styleId="IntenseQuote">
    <w:name w:val="Intense Quote"/>
    <w:basedOn w:val="Normal"/>
    <w:next w:val="Normal"/>
    <w:link w:val="IntenseQuoteChar"/>
    <w:uiPriority w:val="30"/>
    <w:qFormat/>
    <w:rsid w:val="00C54C48"/>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IntenseQuoteChar">
    <w:name w:val="Intense Quote Char"/>
    <w:basedOn w:val="DefaultParagraphFont"/>
    <w:link w:val="IntenseQuote"/>
    <w:uiPriority w:val="30"/>
    <w:rsid w:val="00C54C48"/>
    <w:rPr>
      <w:rFonts w:asciiTheme="majorHAnsi" w:eastAsiaTheme="majorEastAsia" w:hAnsiTheme="majorHAnsi" w:cstheme="majorBidi"/>
      <w:caps/>
      <w:color w:val="1481AB" w:themeColor="accent1" w:themeShade="BF"/>
      <w:sz w:val="28"/>
      <w:szCs w:val="28"/>
    </w:rPr>
  </w:style>
  <w:style w:type="character" w:styleId="IntenseEmphasis">
    <w:name w:val="Intense Emphasis"/>
    <w:basedOn w:val="DefaultParagraphFont"/>
    <w:uiPriority w:val="21"/>
    <w:qFormat/>
    <w:rsid w:val="00C54C48"/>
    <w:rPr>
      <w:b/>
      <w:bCs/>
      <w:i/>
      <w:iCs/>
      <w:color w:val="auto"/>
    </w:rPr>
  </w:style>
  <w:style w:type="character" w:styleId="SubtleReference">
    <w:name w:val="Subtle Reference"/>
    <w:basedOn w:val="DefaultParagraphFont"/>
    <w:uiPriority w:val="31"/>
    <w:qFormat/>
    <w:rsid w:val="00C54C4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C54C48"/>
    <w:rPr>
      <w:b/>
      <w:bCs/>
      <w:caps w:val="0"/>
      <w:smallCaps/>
      <w:color w:val="auto"/>
      <w:spacing w:val="0"/>
      <w:u w:val="single"/>
    </w:rPr>
  </w:style>
  <w:style w:type="character" w:styleId="BookTitle">
    <w:name w:val="Book Title"/>
    <w:basedOn w:val="DefaultParagraphFont"/>
    <w:uiPriority w:val="33"/>
    <w:qFormat/>
    <w:rsid w:val="00C54C48"/>
    <w:rPr>
      <w:b/>
      <w:bCs/>
      <w:caps w:val="0"/>
      <w:smallCaps/>
      <w:spacing w:val="0"/>
    </w:rPr>
  </w:style>
  <w:style w:type="paragraph" w:styleId="TOCHeading">
    <w:name w:val="TOC Heading"/>
    <w:basedOn w:val="Heading1"/>
    <w:next w:val="Normal"/>
    <w:uiPriority w:val="39"/>
    <w:semiHidden/>
    <w:unhideWhenUsed/>
    <w:qFormat/>
    <w:rsid w:val="00C54C48"/>
    <w:pPr>
      <w:outlineLvl w:val="9"/>
    </w:pPr>
  </w:style>
</w:styles>
</file>

<file path=word/_rels/document.xml.rels>&#65279;<?xml version="1.0" encoding="utf-8"?><Relationships xmlns="http://schemas.openxmlformats.org/package/2006/relationships"><Relationship Type="http://schemas.openxmlformats.org/officeDocument/2006/relationships/styles" Target="/word/styles.xml" Id="R66a445f8d9b0470a" /><Relationship Type="http://schemas.openxmlformats.org/officeDocument/2006/relationships/numbering" Target="/word/numbering.xml" Id="NumberingDefinitionsPart001" /><Relationship Type="http://schemas.openxmlformats.org/officeDocument/2006/relationships/header" Target="/word/header1.xml" Id="R6fb2ce9aeea64cf3" /><Relationship Type="http://schemas.openxmlformats.org/officeDocument/2006/relationships/footer" Target="/word/footer1.xml" Id="Rbd68b4a7094d4739" /></Relationships>
</file>

<file path=word/_rels/header1.xml.rels>&#65279;<?xml version="1.0" encoding="utf-8"?><Relationships xmlns="http://schemas.openxmlformats.org/package/2006/relationships"><Relationship Type="http://schemas.openxmlformats.org/officeDocument/2006/relationships/image" Target="/media/image.bin" Id="rId999" /></Relationships>
</file>