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0fe8cc2ad074d49" /></Relationships>
</file>

<file path=word/document.xml><?xml version="1.0" encoding="utf-8"?>
<w:document xmlns:w="http://schemas.openxmlformats.org/wordprocessingml/2006/main">
  <w:body>
    <w:footerReference xmlns:r="http://schemas.openxmlformats.org/officeDocument/2006/relationships" r:id="R27dd83b8acb64600"/>
    <w:headerReference xmlns:r="http://schemas.openxmlformats.org/officeDocument/2006/relationships" r:id="Rb17cf40cde7e4616"/>
    <w:p>
      <w:pPr>
        <w:pStyle w:val="Title"/>
        <w:jc w:val="center"/>
      </w:pPr>
      <w:r>
        <w:t xml:space="preserve">EEA-Penalty</w:t>
      </w:r>
    </w:p>
    <w:p>
      <w:pPr>
        <w:pStyle w:val="Heading2"/>
        <w:jc w:val="left"/>
      </w:pPr>
      <w:r>
        <w:t>Contributors</w:t>
      </w:r>
    </w:p>
    <w:p>
      <w:pPr>
        <w:pStyle w:val="Normal"/>
        <w:jc w:val="left"/>
      </w:pPr>
      <w:r>
        <w:tbl>
          <w:tblPr>
            <w:tblStyle w:val="GridTable4-Accent1"/>
          </w:tblPr>
          <w:tr>
            <w:tc>
              <w:p>
                <w:r>
                  <w:t>Name</w:t>
                </w:r>
              </w:p>
              <w:tcPr>
                <w:tcW w:w="15" w:type="pct"/>
              </w:tcPr>
            </w:tc>
            <w:tc>
              <w:p>
                <w:r>
                  <w:t>Organization</w:t>
                </w:r>
              </w:p>
              <w:tcPr>
                <w:tcW w:w="15" w:type="pct"/>
              </w:tcPr>
            </w:tc>
          </w:tr>
          <w:tr>
            <w:tc>
              <w:p>
                <w:r>
                  <w:t>Sanjay Bakshi</w:t>
                </w:r>
              </w:p>
            </w:tc>
            <w:tc>
              <w:p>
                <w:r>
                  <w:t>Intel</w:t>
                </w:r>
              </w:p>
            </w:tc>
          </w:tr>
          <w:tr>
            <w:tc>
              <w:p>
                <w:r>
                  <w:t>Andreas Freund</w:t>
                </w:r>
              </w:p>
            </w:tc>
            <w:tc>
              <w:p>
                <w:r>
                  <w:t>Consensys</w:t>
                </w:r>
              </w:p>
            </w:tc>
          </w:tr>
          <w:tr>
            <w:tc>
              <w:p>
                <w:r>
                  <w:t>Marley Gray</w:t>
                </w:r>
              </w:p>
            </w:tc>
            <w:tc>
              <w:p>
                <w:r>
                  <w:t>Microsoft</w:t>
                </w:r>
              </w:p>
            </w:tc>
          </w:tr>
          <w:tr>
            <w:tc>
              <w:p>
                <w:r>
                  <w:t> Niv Aviram</w:t>
                </w:r>
              </w:p>
            </w:tc>
            <w:tc>
              <w:p>
                <w:r>
                  <w:t>Consensys</w:t>
                </w:r>
              </w:p>
            </w:tc>
          </w:tr>
          <w:tr>
            <w:tc>
              <w:p>
                <w:r>
                  <w:t>Daniel Norkin</w:t>
                </w:r>
              </w:p>
            </w:tc>
            <w:tc>
              <w:p>
                <w:r>
                  <w:t>Envision Blockchain</w:t>
                </w:r>
              </w:p>
            </w:tc>
          </w:tr>
        </w:tbl>
      </w:r>
    </w:p>
    <w:p>
      <w:pPr>
        <w:pStyle w:val="Heading3"/>
        <w:jc w:val="center"/>
      </w:pPr>
      <w:r>
        <w:t>Taxonomy Formula: tF{~d,~t,SC}</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if they are in the same class or series.</w:t>
                </w:r>
              </w:p>
              <w:tcPr>
                <w:tcW w:w="65" w:type="pct"/>
              </w:tcPr>
            </w:tc>
          </w:tr>
          <w:tr>
            <w:tc>
              <w:p>
                <w:r>
                  <w:t>Token Unit:</w:t>
                </w:r>
              </w:p>
              <w:tcPr>
                <w:tcW w:w="20" w:type="pct"/>
              </w:tcPr>
            </w:tc>
            <w:tc>
              <w:p>
                <w:r>
                  <w:t>Whole</w:t>
                </w:r>
              </w:p>
              <w:tcPr>
                <w:tcW w:w="15" w:type="pct"/>
              </w:tcPr>
            </w:tc>
            <w:tc>
              <w:p>
                <w:r>
                  <w:t>There can be many instances of this token, but they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bl>
      </w:r>
    </w:p>
    <w:p>
      <w:pPr>
        <w:pStyle w:val="Quote"/>
        <w:jc w:val="left"/>
      </w:pPr>
      <w:r>
        <w:t>The EEA Penalty token has a zero or negative balance, is non-transferable and burned after redeemed, reducing the organization's Reward token balance 1 to 1. EEA Penalty Tokens must be redeemed before an organization can redeem their EEA Reward Tokens.</w:t>
      </w:r>
    </w:p>
    <w:p>
      <w:pPr>
        <w:pStyle w:val="Heading3"/>
        <w:jc w:val="left"/>
      </w:pPr>
      <w:r>
        <w:t>Example</w:t>
      </w:r>
    </w:p>
    <w:p>
      <w:pPr>
        <w:pStyle w:val="Normal"/>
        <w:jc w:val="left"/>
      </w:pPr>
      <w:r>
        <w:t>Since EEA Tokens are issued initially as potential in a Grant contract based on a set commitment for an organization, the EEA Penalty Token serves as a dis-incentive for members signing up for a commitment and not actually following through.</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Earned Credits</w:t>
                </w:r>
              </w:p>
            </w:tc>
            <w:tc>
              <w:p>
                <w:r>
                  <w:t>A customer can earn a point/token for each mile travelled and then redeem these points/tokens for upgrades or new tickets, but cannot transfer the points to another party.</w:t>
                </w:r>
              </w:p>
            </w:tc>
          </w:tr>
        </w:tbl>
      </w:r>
    </w:p>
    <w:p>
      <w:pPr>
        <w:pStyle w:val="Heading1"/>
        <w:jc w:val="left"/>
      </w:pPr>
      <w:r>
        <w:t>EEA-Penalty is:</w:t>
      </w:r>
    </w:p>
    <w:p>
      <w:pPr>
        <w:numPr>
          <w:ilvl w:val="0"/>
          <w:numId w:val="1"/>
        </w:numPr>
        <w:spacing w:after="0"/>
        <w:ind w:left="720" w:hanging="360"/>
        <w:rPr>
          <w:rFonts w:ascii="Symbol" w:hAnsi="Symbol"/>
        </w:rPr>
      </w:pPr>
      <w:r>
        <w:t>Non-Subdividable</w:t>
      </w:r>
    </w:p>
    <w:p>
      <w:pPr>
        <w:numPr>
          <w:ilvl w:val="0"/>
          <w:numId w:val="1"/>
        </w:numPr>
        <w:spacing w:after="0"/>
        <w:ind w:left="720" w:hanging="360"/>
        <w:rPr>
          <w:rFonts w:ascii="Symbol" w:hAnsi="Symbol"/>
        </w:rPr>
      </w:pPr>
      <w:r>
        <w:t>Non-transferable</w:t>
      </w:r>
    </w:p>
    <w:p>
      <w:pPr>
        <w:numPr>
          <w:ilvl w:val="0"/>
          <w:numId w:val="1"/>
        </w:numPr>
        <w:spacing w:after="0"/>
        <w:ind w:left="720" w:hanging="360"/>
        <w:rPr>
          <w:rFonts w:ascii="Symbol" w:hAnsi="Symbol"/>
        </w:rPr>
      </w:pPr>
      <w:r>
        <w:t>Burnable</w:t>
      </w:r>
    </w:p>
    <w:p>
      <w:pPr>
        <w:numPr>
          <w:ilvl w:val="0"/>
          <w:numId w:val="1"/>
        </w:numPr>
        <w:spacing w:after="0"/>
        <w:ind w:left="720" w:hanging="360"/>
        <w:rPr>
          <w:rFonts w:ascii="Symbol" w:hAnsi="Symbol"/>
        </w:rPr>
      </w:pPr>
      <w:r>
        <w:t>Roles</w:t>
      </w:r>
    </w:p>
    <w:p>
      <w:pPr>
        <w:numPr>
          <w:ilvl w:val="0"/>
          <w:numId w:val="1"/>
        </w:numPr>
        <w:spacing w:after="0"/>
        <w:ind w:left="720" w:hanging="360"/>
        <w:rPr>
          <w:rFonts w:ascii="Symbol" w:hAnsi="Symbol"/>
        </w:rPr>
      </w:pPr>
      <w:r>
        <w:t>Mintable</w:t>
      </w:r>
    </w:p>
    <w:p>
      <w:pPr>
        <w:pStyle w:val="Heading1"/>
        <w:jc w:val="center"/>
      </w:pPr>
      <w:r>
        <w:t>EEA-Penalty Details</w:t>
      </w:r>
    </w:p>
    <w:p>
      <w:pPr>
        <w:pStyle w:val="Heading2"/>
        <w:jc w:val="center"/>
      </w:pPr>
      <w:r>
        <w:t xml:space="preserve">Whole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Whole Fungible tokens have interchangeable value with each other, where any owned sum of them from a class has the same value as another owned sum from the same class. A whole token cannot be sub-divided so it doesn't support the notion of 'making change'.</w:t>
      </w:r>
    </w:p>
    <w:p>
      <w:pPr>
        <w:pStyle w:val="Heading2"/>
        <w:jc w:val="left"/>
      </w:pPr>
      <w:r>
        <w:t>Example</w:t>
      </w:r>
    </w:p>
    <w:p>
      <w:pPr>
        <w:pStyle w:val="Normal"/>
        <w:jc w:val="left"/>
      </w:pPr>
      <w:r>
        <w:t>An inventory item or SKU, where an item is treated as a whole because it makes no sense to own a fraction of a SKU or loyalty 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Loyalty Points</w:t>
                </w:r>
              </w:p>
            </w:tc>
            <w:tc>
              <w:p>
                <w:r>
                  <w:t>Most credit card or retail loyalty point programs deal with whole numbers so that redeeming points is easy to understand for their customers.</w:t>
                </w:r>
              </w:p>
            </w:tc>
          </w:tr>
          <w:tr>
            <w:tc>
              <w:p>
                <w:r>
                  <w:t>General Admission Movie Ticket</w:t>
                </w:r>
              </w:p>
            </w:tc>
            <w:tc>
              <w:p>
                <w:r>
                  <w:t>Purchasing a general admission ticket to a movie only allows for you to have a seat, but the seat that you actually get depends on factors like when you arrive. Your not likely to want to share a seat with another adult.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whole-fungible.proto</w:t>
                </w:r>
              </w:p>
            </w:tc>
            <w:tc>
              <w:p>
                <w:r>
                  <w:t/>
                </w:r>
              </w:p>
            </w:tc>
          </w:tr>
          <w:tr>
            <w:tc>
              <w:p>
                <w:r>
                  <w:t>Uml</w:t>
                </w:r>
              </w:p>
            </w:tc>
            <w:tc>
              <w:p>
                <w:r>
                  <w:t>whole-fungible.md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Solidity Penalty Token</w:t>
                </w:r>
              </w:p>
            </w:tc>
            <w:tc>
              <w:p>
                <w:r>
                  <w:t>EthereumSolidity</w:t>
                </w:r>
              </w:p>
            </w:tc>
            <w:tc>
              <w:p>
                <w:r>
                  <w:t>https://github.com/EntEthAlliance/Trusted-Token/blob/develop/contracts/PenaltyToken.sol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Symbol: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Non-transferable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Non-transferable</w:t>
            </w:r>
          </w:p>
          <w:tcPr>
            <w:tcW w:w="70" w:type="pct"/>
          </w:tcPr>
        </w:tc>
      </w:tr>
      <w:tr>
        <w:tc>
          <w:p>
            <w:r>
              <w:t>Id:</w:t>
            </w:r>
          </w:p>
          <w:tcPr>
            <w:tcW w:w="30" w:type="pct"/>
          </w:tcPr>
        </w:tc>
        <w:tc>
          <w:p>
            <w:r>
              <w:t>a4fa4ca8-6afd-452b-91f5-7103b6fee5e5</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Non-transferable behavior prevents the owner of a token from changing.</w:t>
      </w:r>
    </w:p>
    <w:p>
      <w:pPr>
        <w:pStyle w:val="Heading2"/>
        <w:jc w:val="left"/>
      </w:pPr>
      <w:r>
        <w:t>Example</w:t>
      </w:r>
    </w:p>
    <w:p>
      <w:pPr>
        <w:pStyle w:val="Normal"/>
        <w:jc w:val="left"/>
      </w:pPr>
      <w:r>
        <w:t>A vote token, for a citizen in a public election would be non-transferable.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A diploma from an educational institution is not transferable to another party that can claim to have earned the diploma.</w:t>
                </w:r>
              </w:p>
            </w:tc>
          </w:tr>
          <w:tr>
            <w:tc>
              <w:p>
                <w:r>
                  <w:t>Airline Ticket</w:t>
                </w:r>
              </w:p>
            </w:tc>
            <w:tc>
              <w:p>
                <w:r>
                  <w:t>Due to security restrictions at airports and airlines, tickets can only be used by the person they were issued to.</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af119e58-6d84-4ca6-9656-75e8d312f038</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non-transferable.proto</w:t>
                </w:r>
              </w:p>
            </w:tc>
            <w:tc>
              <w:p>
                <w:r>
                  <w:t/>
                </w:r>
              </w:p>
            </w:tc>
          </w:tr>
          <w:tr>
            <w:tc>
              <w:p>
                <w:r>
                  <w:t>Uml</w:t>
                </w:r>
              </w:p>
            </w:tc>
            <w:tc>
              <w:p>
                <w:r>
                  <w:t>non-transferable.md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Non-transferable</w:t>
      </w:r>
    </w:p>
    <w:p>
      <w:pPr>
        <w:pStyle w:val="Heading3"/>
        <w:jc w:val="left"/>
      </w:pPr>
      <w:r>
        <w:t>Taxonomy Symbol: ~t</w:t>
      </w:r>
    </w:p>
    <w:p>
      <w:pPr>
        <w:pStyle w:val="Quote"/>
        <w:jc w:val="left"/>
      </w:pPr>
      <w:r>
        <w:t>Every token instance has an owner. The Non-transferable behavior prevents the owner of a token from changing.</w:t>
      </w:r>
    </w:p>
    <w:p>
      <w:pPr>
        <w:pStyle w:val="Heading3"/>
        <w:jc w:val="left"/>
      </w:pPr>
      <w:r>
        <w:t>Example</w:t>
      </w:r>
    </w:p>
    <w:p>
      <w:pPr>
        <w:pStyle w:val="Normal"/>
        <w:jc w:val="left"/>
      </w:pPr>
      <w:r>
        <w:t>A vote token, for a citizen in a public election would be non-transferable.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A diploma from an educational institution is not transferable to another party that can claim to have earned the diploma.</w:t>
                </w:r>
              </w:p>
            </w:tc>
          </w:tr>
          <w:tr>
            <w:tc>
              <w:p>
                <w:r>
                  <w:t>Airline Ticket</w:t>
                </w:r>
              </w:p>
            </w:tc>
            <w:tc>
              <w:p>
                <w:r>
                  <w:t>Due to security restrictions at airports and airlines, tickets can only be used by the person they were issued to.</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Non-transferable responds to these Invocations</w:t>
      </w:r>
    </w:p>
    <w:p>
      <w:pPr>
        <w:pStyle w:val="Heading3"/>
        <w:jc w:val="left"/>
      </w:pPr>
      <w:r>
        <w:t>Properties</w:t>
      </w:r>
    </w:p>
    <w:p>
      <w:pPr>
        <w:pStyle w:val="Heading2"/>
        <w:jc w:val="center"/>
      </w:pPr>
      <w:r>
        <w:t xml:space="preserve">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Burnable</w:t>
      </w:r>
    </w:p>
    <w:p>
      <w:pPr>
        <w:pStyle w:val="Heading3"/>
        <w:jc w:val="left"/>
      </w:pPr>
      <w:r>
        <w:t>Taxonomy Symbol: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3"/>
        <w:jc w:val="left"/>
      </w:pPr>
      <w:r>
        <w:t>Properties</w:t>
      </w:r>
    </w:p>
    <w:p>
      <w:pPr>
        <w:pStyle w:val="Heading2"/>
        <w:jc w:val="center"/>
      </w:pPr>
      <w:r>
        <w:t xml:space="preserve">Roles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2"/>
        <w:jc w:val="left"/>
      </w:pPr>
      <w:r>
        <w:t>Comments</w:t>
      </w:r>
    </w:p>
    <w:p>
      <w:pPr>
        <w:pStyle w:val="Normal"/>
        <w:jc w:val="left"/>
      </w:pPr>
      <w:r>
        <w:t>Roles has a constructor control that creates roles and applies them to certain behaviors of the token at creation of the class from the template.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 xml:space="preserve">Mintable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2"/>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'Minters'</w:t>
      </w:r>
    </w:p>
    <w:p>
      <w:pPr>
        <w:pStyle w:val="Heading5"/>
        <w:jc w:val="left"/>
      </w:pPr>
      <w:r>
        <w:t>Request Message:</w:t>
      </w:r>
    </w:p>
    <w:p>
      <w:pPr>
        <w:pStyle w:val="Normal"/>
        <w:jc w:val="left"/>
      </w:pPr>
      <w:r>
        <w:t>IsInRole</w:t>
      </w:r>
    </w:p>
    <w:p>
      <w:pPr>
        <w:pStyle w:val="Normal"/>
        <w:jc w:val="left"/>
      </w:pPr>
      <w:r>
        <w:t>Description: Checking the 'Minters'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'Minters'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3"/>
        <w:jc w:val="left"/>
      </w:pPr>
      <w:r>
        <w:t>Properties</w:t>
      </w:r>
    </w:p>
    <w:p>
      <w:pPr>
        <w:pStyle w:val="Heading2"/>
        <w:jc w:val="center"/>
      </w:pPr>
      <w:r>
        <w:t xml:space="preserve">Supply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Minters, that will be allowed to invoke the Mintable behavior. The owner can add accounts to the role and any account that is a member of the role will be able to mint tokens in the class.</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Minters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Minters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supply-control.proto</w:t>
                </w:r>
              </w:p>
            </w:tc>
            <w:tc>
              <w:p>
                <w:r>
                  <w:t/>
                </w:r>
              </w:p>
            </w:tc>
          </w:tr>
          <w:tr>
            <w:tc>
              <w:p>
                <w:r>
                  <w:t>Uml</w:t>
                </w:r>
              </w:p>
            </w:tc>
            <w:tc>
              <w:p>
                <w:r>
                  <w:t>supply-control.md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Quote"/>
        <w:jc w:val="left"/>
      </w:pPr>
      <w:r>
        <w:t>The behaviors belonging to this group are included in the Behaviors section of this specification.</w:t>
      </w:r>
    </w:p>
  </w:body>
</w:document>
</file>

<file path=word/footer1.xml><?xml version="1.0" encoding="utf-8"?>
<w:ftr xmlns:w="http://schemas.openxmlformats.org/wordprocessingml/2006/main">
  <w:p>
    <w:pPr>
      <w:pStyle w:val="Footer"/>
    </w:pPr>
    <w:r>
      <w:t>EEA-Penalty - 24eab601a20674671990244eb89c40e6bc3ec7abb9166d5c1c818ddf25f0cc60</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cf4c41eff3f34f7b" /><Relationship Type="http://schemas.openxmlformats.org/officeDocument/2006/relationships/numbering" Target="/word/numbering.xml" Id="NumberingDefinitionsPart001" /><Relationship Type="http://schemas.openxmlformats.org/officeDocument/2006/relationships/header" Target="/word/header1.xml" Id="Rb17cf40cde7e4616" /><Relationship Type="http://schemas.openxmlformats.org/officeDocument/2006/relationships/footer" Target="/word/footer1.xml" Id="R27dd83b8acb64600"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