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c659796e4845de" /></Relationships>
</file>

<file path=word/document.xml><?xml version="1.0" encoding="utf-8"?>
<w:document xmlns:w="http://schemas.openxmlformats.org/wordprocessingml/2006/main">
  <w:body>
    <w:footerReference xmlns:r="http://schemas.openxmlformats.org/officeDocument/2006/relationships" r:id="Ra0edb5455ec44725"/>
    <w:headerReference xmlns:r="http://schemas.openxmlformats.org/officeDocument/2006/relationships" r:id="R34a1f24c5e054cb7"/>
    <w:p>
      <w:pPr>
        <w:pStyle w:val="Title"/>
        <w:jc w:val="center"/>
      </w:pPr>
      <w:r>
        <w:t xml:space="preserve">EEA-Penalty</w:t>
      </w:r>
    </w:p>
    <w:p>
      <w:pPr>
        <w:pStyle w:val="Heading3"/>
        <w:jc w:val="left"/>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Penalty token has a zero or negative balance, is non-transferable and burned after redeemed, increasing dues at the end of the cycle. EEA Penalty Tokens must be redeemed before an organization can redeem their EEA Reward Tokens.</w:t>
      </w:r>
    </w:p>
    <w:p>
      <w:pPr>
        <w:pStyle w:val="Heading3"/>
        <w:jc w:val="left"/>
      </w:pPr>
      <w:r>
        <w:t>Example</w:t>
      </w:r>
    </w:p>
    <w:p>
      <w:pPr>
        <w:pStyle w:val="Normal"/>
        <w:jc w:val="left"/>
      </w:pPr>
      <w:r>
        <w:t>Since EEA Tokens are issued initially as potential in a Grant contract based on a set commitment for an organization, the EEA Penalty Token serves as a dis-incentive for members signing up for a commitment and not actually following through.</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3"/>
        <w:jc w:val="left"/>
      </w:pPr>
      <w:r>
        <w:t>Comments</w:t>
      </w:r>
    </w:p>
    <w:p>
      <w:pPr>
        <w:pStyle w:val="Heading3"/>
        <w:jc w:val="left"/>
      </w:pPr>
      <w:r>
        <w:t>EEA-Penalty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EEA-Penalty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r>
            <w:tc>
              <w:p>
                <w:r>
                  <w:t>SourceCode</w:t>
                </w:r>
              </w:p>
            </w:tc>
            <w:tc>
              <w:p>
                <w:r>
                  <w:t>Solidity Reputation Token</w:t>
                </w:r>
              </w:p>
            </w:tc>
            <w:tc>
              <w:p>
                <w:r>
                  <w:t>EthereumSolidity</w:t>
                </w:r>
              </w:p>
            </w:tc>
            <w:tc>
              <w:p>
                <w:r>
                  <w:t>https://github.com/EntEthAlliance/Trusted-Token/blob/develop/contracts/ReputationToken.sol</w:t>
                </w:r>
              </w:p>
            </w:tc>
          </w:tr>
          <w:tr>
            <w:tc>
              <w:p>
                <w:r>
                  <w:t>SourceCode</w:t>
                </w:r>
              </w:p>
            </w:tc>
            <w:tc>
              <w:p>
                <w:r>
                  <w:t>Solidity Penalty Token</w:t>
                </w:r>
              </w:p>
            </w:tc>
            <w:tc>
              <w:p>
                <w:r>
                  <w:t>EthereumSolidity</w:t>
                </w:r>
              </w:p>
            </w:tc>
            <w:tc>
              <w:p>
                <w:r>
                  <w:t>https://github.com/EntEthAlliance/Trusted-Token/blob/develop/contracts/PenaltyToken.sol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Formula: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EEA-Penalty - f1cb2392f620e3adef7ade4fed94522e0a8ccba839cd2d532276d180895fb16d</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5458b44e71542d3" /><Relationship Type="http://schemas.openxmlformats.org/officeDocument/2006/relationships/numbering" Target="/word/numbering.xml" Id="NumberingDefinitionsPart001" /><Relationship Type="http://schemas.openxmlformats.org/officeDocument/2006/relationships/header" Target="/word/header1.xml" Id="R34a1f24c5e054cb7" /><Relationship Type="http://schemas.openxmlformats.org/officeDocument/2006/relationships/footer" Target="/word/footer1.xml" Id="Ra0edb5455ec44725"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