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d685597813549a7" /></Relationships>
</file>

<file path=word/document.xml><?xml version="1.0" encoding="utf-8"?>
<w:document xmlns:w="http://schemas.openxmlformats.org/wordprocessingml/2006/main">
  <w:body>
    <w:footerReference xmlns:r="http://schemas.openxmlformats.org/officeDocument/2006/relationships" r:id="R12e14728e4154287"/>
    <w:headerReference xmlns:r="http://schemas.openxmlformats.org/officeDocument/2006/relationships" r:id="R3812fe0965344060"/>
    <w:p>
      <w:pPr>
        <w:pStyle w:val="Title"/>
        <w:jc w:val="center"/>
      </w:pPr>
      <w:r>
        <w:t xml:space="preserve">Emoney</w:t>
      </w:r>
    </w:p>
    <w:p>
      <w:pPr>
        <w:pStyle w:val="Heading3"/>
        <w:jc w:val="left"/>
      </w:pPr>
      <w:r>
        <w:t>Taxonomy Formula: tF{d,t,g,h,c,SC}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as long as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owners address where all the balances are recorded on the same balance sheet, like a bank account. All instances can easily share common properties and locating them is simple.</w:t>
                </w:r>
              </w:p>
              <w:tcPr>
                <w:tcW w:w="65" w:type="pct"/>
              </w:tcPr>
            </w:tc>
          </w:tr>
        </w:tbl>
      </w:r>
    </w:p>
    <w:p>
      <w:pPr>
        <w:pStyle w:val="Quote"/>
        <w:jc w:val="left"/>
      </w:pPr>
      <w:r>
        <w:t>The Emoney Token enables the issuance of regulated electronic money on blockchain networks, and its practical usage in real financial applications.</w:t>
      </w:r>
    </w:p>
    <w:p>
      <w:pPr>
        <w:pStyle w:val="Heading3"/>
        <w:jc w:val="left"/>
      </w:pPr>
      <w:r>
        <w:t>Example</w:t>
      </w:r>
    </w:p>
    <w:p>
      <w:pPr>
        <w:pStyle w:val="Normal"/>
        <w:jc w:val="left"/>
      </w:pPr>
      <w:r>
        <w:t>Financial institutions work today with electronic systems which hold account balances in databases on core banking systems. In order for an institution to be allowed to maintain records of client balances segregated and available for clients, such institution must be regulated under a known legal framework and must possess a license to do so. Maintaining a license under regulatory supervision entails ensuring compliance (i.e. performing KYC on all clients and ensuring good AML practices before allowing transactions) and demonstrating technical and operational solvency through periodic audits, so clients depositing funds with the institution can rest assured that their money is safe.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3"/>
        <w:jc w:val="left"/>
      </w:pPr>
      <w:r>
        <w:t>Comments</w:t>
      </w:r>
    </w:p>
    <w:p>
      <w:pPr>
        <w:pStyle w:val="Heading3"/>
        <w:jc w:val="left"/>
      </w:pPr>
      <w:r>
        <w:t>Emoney is:</w:t>
      </w:r>
    </w:p>
    <w:p>
      <w:pPr>
        <w:numPr>
          <w:ilvl w:val="0"/>
          <w:numId w:val="1"/>
        </w:numPr>
        <w:spacing w:after="0"/>
        <w:ind w:left="720" w:hanging="360"/>
        <w:rPr>
          <w:rFonts w:ascii="Symbol" w:hAnsi="Symbol"/>
        </w:rPr>
      </w:pPr>
      <w:r>
        <w:t>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Holdable</w:t>
      </w:r>
    </w:p>
    <w:p>
      <w:pPr>
        <w:numPr>
          <w:ilvl w:val="0"/>
          <w:numId w:val="1"/>
        </w:numPr>
        <w:spacing w:after="0"/>
        <w:ind w:left="720" w:hanging="360"/>
        <w:rPr>
          <w:rFonts w:ascii="Symbol" w:hAnsi="Symbol"/>
        </w:rPr>
      </w:pPr>
      <w:r>
        <w:t>Compliant</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Emoney Details</w:t>
      </w:r>
    </w:p>
    <w:p>
      <w:pPr>
        <w:pStyle w:val="Heading2"/>
        <w:jc w:val="center"/>
      </w:pPr>
      <w:r>
        <w:t xml:space="preserve">Base: 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Fractional Fungible tokens have interchangeable value with each other, where any owned sum of them from a class has the same value as another owned sum from the same class. Similar to physical cash money, a crypto currency is an example of a fungible token that is sub-dividable.</w:t>
      </w:r>
    </w:p>
    <w:p>
      <w:pPr>
        <w:pStyle w:val="Heading2"/>
        <w:jc w:val="left"/>
      </w:pPr>
      <w:r>
        <w:t>Example</w:t>
      </w:r>
    </w:p>
    <w:p>
      <w:pPr>
        <w:pStyle w:val="Normal"/>
        <w:jc w:val="left"/>
      </w:pPr>
      <w:r>
        <w:t>Fiat currency is the most widely understood example of a fractional fungible item. A fractional fungible is sub-dividable,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subdivided,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2</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Base: 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Subdividable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for the token to be subdivided from a single whole token into fractions, which are represented as decimal places. Any value greater than 0 will indicate how many fractions are possible where the smallest fraction is also the smallest ownable unit of the token.</w:t>
      </w:r>
    </w:p>
    <w:p>
      <w:pPr>
        <w:pStyle w:val="Heading2"/>
        <w:jc w:val="left"/>
      </w:pPr>
      <w:r>
        <w:t>Example</w:t>
      </w:r>
    </w:p>
    <w:p>
      <w:pPr>
        <w:pStyle w:val="Normal"/>
        <w:jc w:val="left"/>
      </w:pPr>
      <w:r>
        <w:t>Sub-dividable is common for crypto-currencies or tokens of fiat currency.  For example, the US Dollar is sub-dividable to 2 decimal places, where a value like .42 is possible.  Bitcoin, is sub-dividable up to 8 decimal places.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subdividable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subdividable.proto</w:t>
                </w:r>
              </w:p>
            </w:tc>
            <w:tc>
              <w:p>
                <w:r>
                  <w:t/>
                </w:r>
              </w:p>
            </w:tc>
          </w:tr>
          <w:tr>
            <w:tc>
              <w:p>
                <w:r>
                  <w:t>Uml</w:t>
                </w:r>
              </w:p>
            </w:tc>
            <w:tc>
              <w:p>
                <w:r>
                  <w:t>subdividable.md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Subdividable</w:t>
      </w:r>
    </w:p>
    <w:p>
      <w:pPr>
        <w:pStyle w:val="Heading3"/>
        <w:jc w:val="left"/>
      </w:pPr>
      <w:r>
        <w:t>Taxonomy Formula: d</w:t>
      </w:r>
    </w:p>
    <w:p>
      <w:pPr>
        <w:pStyle w:val="Quote"/>
        <w:jc w:val="left"/>
      </w:pPr>
      <w:r>
        <w:t>An ability for the token to be subdivided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Sub-dividable is common for crypto-currencies or tokens of fiat currency.  For example, the US Dollar is sub-dividable to 2 decimal places, where a value like .42 is possible.  Bitcoin, is sub-dividable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subdividable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Subdividable responds to these Invocations</w:t>
      </w:r>
    </w:p>
    <w:p>
      <w:pPr>
        <w:pStyle w:val="Heading3"/>
        <w:jc w:val="left"/>
      </w:pPr>
      <w:r>
        <w:t>Properties</w:t>
      </w:r>
    </w:p>
    <w:p>
      <w:pPr>
        <w:pStyle w:val="Heading4"/>
        <w:jc w:val="left"/>
      </w:pPr>
      <w:r>
        <w:t>Name: Decimals</w:t>
      </w:r>
    </w:p>
    <w:p>
      <w:pPr>
        <w:pStyle w:val="Normal"/>
        <w:jc w:val="left"/>
      </w:pPr>
      <w:r>
        <w:t>Value Description: Set to Two, mirroring the decimals used in most fiat currencies</w:t>
      </w:r>
    </w:p>
    <w:p>
      <w:pPr>
        <w:pStyle w:val="Normal"/>
        <w:jc w:val="left"/>
      </w:pPr>
      <w:r>
        <w:t>Template Value: 2</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2ca7fbb2-ce98-4dda-a6ae-e4ac2527bb33</w:t>
      </w:r>
    </w:p>
    <w:p>
      <w:pPr>
        <w:pStyle w:val="Normal"/>
        <w:jc w:val="left"/>
      </w:pPr>
      <w:r>
        <w:t>Description: Should return 2</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2</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2</w:t>
                </w:r>
              </w:p>
            </w:tc>
          </w:tr>
        </w:tbl>
      </w:r>
    </w:p>
    <w:p>
      <w:pPr>
        <w:pStyle w:val="Heading3"/>
        <w:jc w:val="left"/>
      </w:pPr>
      <w:r>
        <w:t>Properties</w:t>
      </w:r>
    </w:p>
    <w:p>
      <w:pPr>
        <w:pStyle w:val="Heading2"/>
        <w:jc w:val="center"/>
      </w:pPr>
      <w:r>
        <w:t xml:space="preserve">Base: 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Formula: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Base: 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Formula: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Base: Holdable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Holdable</w:t>
            </w:r>
          </w:p>
          <w:tcPr>
            <w:tcW w:w="70" w:type="pct"/>
          </w:tcPr>
        </w:tc>
      </w:tr>
      <w:tr>
        <w:tc>
          <w:p>
            <w:r>
              <w:t>Id:</w:t>
            </w:r>
          </w:p>
          <w:tcPr>
            <w:tcW w:w="30" w:type="pct"/>
          </w:tcPr>
        </w:tc>
        <w:tc>
          <w:p>
            <w:r>
              <w:t>9d137226-b7b0-4d3e-9e82-4d27d4227fba</w:t>
            </w:r>
          </w:p>
          <w:tcPr>
            <w:tcW w:w="70" w:type="pct"/>
          </w:tcPr>
        </w:tc>
      </w:tr>
      <w:tr>
        <w:tc>
          <w:p>
            <w:r>
              <w:t>Visual:</w:t>
            </w:r>
          </w:p>
          <w:tcPr>
            <w:tcW w:w="30" w:type="pct"/>
          </w:tcPr>
        </w:tc>
        <w:tc>
          <w:p>
            <w:r>
              <w:t>&lt;i&gt;h&lt;/i&gt;</w:t>
            </w:r>
          </w:p>
          <w:tcPr>
            <w:tcW w:w="70" w:type="pct"/>
          </w:tcPr>
        </w:tc>
      </w:tr>
      <w:tr>
        <w:tc>
          <w:p>
            <w:r>
              <w:t>Tooling:</w:t>
            </w:r>
          </w:p>
          <w:tcPr>
            <w:tcW w:w="30" w:type="pct"/>
          </w:tcPr>
        </w:tc>
        <w:tc>
          <w:p>
            <w:r>
              <w:t>h</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HoldFrom will be available.</w:t>
      </w:r>
    </w:p>
    <w:p>
      <w:pPr>
        <w:pStyle w:val="Heading2"/>
        <w:jc w:val="left"/>
      </w:pPr>
      <w:r>
        <w:t>Example</w:t>
      </w:r>
    </w:p>
    <w:p>
      <w:pPr>
        <w:pStyle w:val="Normal"/>
        <w:jc w:val="left"/>
      </w:pPr>
      <w:r>
        <w:t>When checking in a hotel, the hotel will put a hold on the guest's account to ensure that enough balance is available to pay for the room before handing over the keys.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Escrow</w:t>
                </w:r>
              </w:p>
            </w:tc>
            <w:tc>
              <w:p>
                <w:r>
                  <w:t>Holds are similar to escrows in that are firm and lead to final settlement.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t</w:t>
                </w:r>
              </w:p>
            </w:tc>
            <w:tc>
              <w:p>
                <w:r>
                  <w:t>Holds require transfers to be allowed</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HoldFrom should be enabled.</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holdable.proto</w:t>
                </w:r>
              </w:p>
            </w:tc>
            <w:tc>
              <w:p>
                <w:r>
                  <w:t/>
                </w:r>
              </w:p>
            </w:tc>
          </w:tr>
          <w:tr>
            <w:tc>
              <w:p>
                <w:r>
                  <w:t>Uml</w:t>
                </w:r>
              </w:p>
            </w:tc>
            <w:tc>
              <w:p>
                <w:r>
                  <w:t>holdable.md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Standard Implementation</w:t>
                </w:r>
              </w:p>
            </w:tc>
            <w:tc>
              <w:p>
                <w:r>
                  <w:t>EthereumSolidity</w:t>
                </w:r>
              </w:p>
            </w:tc>
            <w:tc>
              <w:p>
                <w:r>
                  <w:t>https://github.com/IoBuilders/holdable-token/blob/master/contracts/Holdable.sol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Holdable</w:t>
      </w:r>
    </w:p>
    <w:p>
      <w:pPr>
        <w:pStyle w:val="Heading3"/>
        <w:jc w:val="left"/>
      </w:pPr>
      <w:r>
        <w:t>Taxonomy Formula: h</w:t>
      </w:r>
    </w:p>
    <w:p>
      <w:pPr>
        <w:pStyle w:val="Quote"/>
        <w:jc w:val="left"/>
      </w:pPr>
      <w:r>
        <w:t>Every token instance has an owner. The Transferable behavior provides the owner the ability to transfer the ownership to another party or account. A hold specifies a payer, a payee, a maximum amount, a notary and an expiration time. When the hold is created, the specified token balance from the payer is put on hold. A held balance cannot be transferred until the hold is either executed or released. The hold can only be executed (partially or the full amount) by the notary, which triggers the transfer of the tokens from the payer to the payee. If a hold is released, either by the notary at any time, or by anyone after the expiration, no transfer is carried out and the amount is available again for the payer. This behavior is Delegable. If the token definition is Delegable, HoldFrom will be available.</w:t>
      </w:r>
    </w:p>
    <w:p>
      <w:pPr>
        <w:pStyle w:val="Heading3"/>
        <w:jc w:val="left"/>
      </w:pPr>
      <w:r>
        <w:t>Example</w:t>
      </w:r>
    </w:p>
    <w:p>
      <w:pPr>
        <w:pStyle w:val="Normal"/>
        <w:jc w:val="left"/>
      </w:pPr>
      <w:r>
        <w:t>When checking in a hotel, the hotel will put a hold on the guest's account to ensure that enough balance is available to pay for the room before handing over the keys.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Escrow</w:t>
                </w:r>
              </w:p>
            </w:tc>
            <w:tc>
              <w:p>
                <w:r>
                  <w:t>Holds are similar to escrows in that are firm and lead to final settlement.</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Holdable responds to these Invocations</w:t>
      </w:r>
    </w:p>
    <w:p>
      <w:pPr>
        <w:pStyle w:val="Heading4"/>
        <w:jc w:val="left"/>
      </w:pPr>
      <w:r>
        <w:t>Hold</w:t>
      </w:r>
    </w:p>
    <w:p>
      <w:pPr>
        <w:pStyle w:val="Normal"/>
        <w:jc w:val="left"/>
      </w:pPr>
      <w:r>
        <w:t>Id: 6cc942c8-afa4-4bab-9737-27a0b7b24a5b</w:t>
      </w:r>
    </w:p>
    <w:p>
      <w:pPr>
        <w:pStyle w:val="Normal"/>
        <w:jc w:val="left"/>
      </w:pPr>
      <w:r>
        <w:t>Description: Request the create a hold on behalf of the owner of the token in favor of to the party or account provided in the To field of the request. It specifies a notary who is responsible to either execute or release the hold.</w:t>
      </w:r>
    </w:p>
    <w:p>
      <w:pPr>
        <w:pStyle w:val="Heading5"/>
        <w:jc w:val="left"/>
      </w:pPr>
      <w:r>
        <w:t>Request Message:</w:t>
      </w:r>
    </w:p>
    <w:p>
      <w:pPr>
        <w:pStyle w:val="Normal"/>
        <w:jc w:val="left"/>
      </w:pPr>
      <w:r>
        <w:t>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 Message</w:t>
      </w:r>
    </w:p>
    <w:p>
      <w:pPr>
        <w:pStyle w:val="Normal"/>
        <w:jc w:val="left"/>
      </w:pPr>
      <w:r>
        <w:t>Hold 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request.</w:t>
                </w:r>
              </w:p>
            </w:tc>
          </w:tr>
        </w:tbl>
      </w:r>
    </w:p>
    <w:p>
      <w:pPr>
        <w:pStyle w:val="Normal"/>
        <w:jc w:val="center"/>
      </w:pPr>
      <w:r>
        <w:t/>
      </w:r>
    </w:p>
    <w:p>
      <w:pPr>
        <w:pStyle w:val="Heading4"/>
        <w:jc w:val="left"/>
      </w:pPr>
      <w:r>
        <w:t>HoldFrom</w:t>
      </w:r>
    </w:p>
    <w:p>
      <w:pPr>
        <w:pStyle w:val="Normal"/>
        <w:jc w:val="left"/>
      </w:pPr>
      <w:r>
        <w:t>Id: 67f2d012-5b2d-46bc-8ee7-befdf90f66d8</w:t>
      </w:r>
    </w:p>
    <w:p>
      <w:pPr>
        <w:pStyle w:val="Normal"/>
        <w:jc w:val="left"/>
      </w:pPr>
      <w:r>
        <w:t>Description: Request the create a hold on behalf of the party or account provided in the From field in favor of to the party or account provided in the To field of the request. It specifies a notary who is responsible to either execute or release the hold.</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From</w:t>
                </w:r>
              </w:p>
            </w:tc>
            <w:tc>
              <w:p>
                <w:r>
                  <w:t>AccountId oon which behalf the hold should be created.</w:t>
                </w:r>
              </w:p>
            </w:tc>
          </w:tr>
          <w:tr>
            <w:tc>
              <w:p>
                <w:r>
                  <w:t>To</w:t>
                </w:r>
              </w:p>
            </w:tc>
            <w:tc>
              <w:p>
                <w:r>
                  <w:t>AccountId to transfer ownership of token(s) to after the hold is executed.</w:t>
                </w:r>
              </w:p>
            </w:tc>
          </w:tr>
          <w:tr>
            <w:tc>
              <w:p>
                <w:r>
                  <w:t>Notary</w:t>
                </w:r>
              </w:p>
            </w:tc>
            <w:tc>
              <w:p>
                <w:r>
                  <w:t>AccountId of the notary</w:t>
                </w:r>
              </w:p>
            </w:tc>
          </w:tr>
          <w:tr>
            <w:tc>
              <w:p>
                <w:r>
                  <w:t>Quantity</w:t>
                </w:r>
              </w:p>
            </w:tc>
            <w:tc>
              <w:p>
                <w:r>
                  <w:t>Number of tokens to be put on hold.</w:t>
                </w:r>
              </w:p>
            </w:tc>
          </w:tr>
          <w:tr>
            <w:tc>
              <w:p>
                <w:r>
                  <w:t>TimeToExpiration</w:t>
                </w:r>
              </w:p>
            </w:tc>
            <w:tc>
              <w:p>
                <w:r>
                  <w:t>The duration until the hold is expired. If it is '0' the hold must be perpetual.</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hold from request.</w:t>
                </w:r>
              </w:p>
            </w:tc>
          </w:tr>
        </w:tbl>
      </w:r>
    </w:p>
    <w:p>
      <w:pPr>
        <w:pStyle w:val="Normal"/>
        <w:jc w:val="center"/>
      </w:pPr>
      <w:r>
        <w:t/>
      </w:r>
    </w:p>
    <w:p>
      <w:pPr>
        <w:pStyle w:val="Heading4"/>
        <w:jc w:val="left"/>
      </w:pPr>
      <w:r>
        <w:t>ExecuteHold</w:t>
      </w:r>
    </w:p>
    <w:p>
      <w:pPr>
        <w:pStyle w:val="Normal"/>
        <w:jc w:val="left"/>
      </w:pPr>
      <w:r>
        <w:t>Id: 4946eea9-c59e-4192-9115-2ba57821936c</w:t>
      </w:r>
    </w:p>
    <w:p>
      <w:pPr>
        <w:pStyle w:val="Normal"/>
        <w:jc w:val="left"/>
      </w:pPr>
      <w:r>
        <w:t>Description: Request to execute a hold. Execute means that the specified value is transferred the owner of the token in favor of to the party or account provided in the To field of the Hold / HoldFrom request. If the specified value is less than the hold value the remaining amount is available again to the owner of the tokens. Only the account specified in the Notary field of the Hold / HoldFrom request can make a successful request.</w:t>
      </w:r>
    </w:p>
    <w:p>
      <w:pPr>
        <w:pStyle w:val="Heading5"/>
        <w:jc w:val="left"/>
      </w:pPr>
      <w:r>
        <w:t>Request Message:</w:t>
      </w:r>
    </w:p>
    <w:p>
      <w:pPr>
        <w:pStyle w:val="Normal"/>
        <w:jc w:val="left"/>
      </w:pPr>
      <w:r>
        <w:t>ExecuteHoldRequest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r>
            <w:tc>
              <w:p>
                <w:r>
                  <w:t>Quantity</w:t>
                </w:r>
              </w:p>
            </w:tc>
            <w:tc>
              <w:p>
                <w:r>
                  <w:t>Number of tokens to be put on hold.</w:t>
                </w:r>
              </w:p>
            </w:tc>
          </w:tr>
        </w:tbl>
      </w:r>
    </w:p>
    <w:p>
      <w:pPr>
        <w:pStyle w:val="Heading5"/>
        <w:jc w:val="left"/>
      </w:pPr>
      <w:r>
        <w:t>Response Message</w:t>
      </w:r>
    </w:p>
    <w:p>
      <w:pPr>
        <w:pStyle w:val="Normal"/>
        <w:jc w:val="left"/>
      </w:pPr>
      <w:r>
        <w:t>ExecuteHoldResponse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execute hold request.</w:t>
                </w:r>
              </w:p>
            </w:tc>
          </w:tr>
        </w:tbl>
      </w:r>
    </w:p>
    <w:p>
      <w:pPr>
        <w:pStyle w:val="Normal"/>
        <w:jc w:val="center"/>
      </w:pPr>
      <w:r>
        <w:t/>
      </w:r>
    </w:p>
    <w:p>
      <w:pPr>
        <w:pStyle w:val="Heading4"/>
        <w:jc w:val="left"/>
      </w:pPr>
      <w:r>
        <w:t>ReleaseHold</w:t>
      </w:r>
    </w:p>
    <w:p>
      <w:pPr>
        <w:pStyle w:val="Normal"/>
        <w:jc w:val="left"/>
      </w:pPr>
      <w:r>
        <w:t>Id: d07c8a5a-be40-479c-aa0d-7ac80b7ca9b3</w:t>
      </w:r>
    </w:p>
    <w:p>
      <w:pPr>
        <w:pStyle w:val="Normal"/>
        <w:jc w:val="left"/>
      </w:pPr>
      <w:r>
        <w:t>Description: Request to release a hold. Release means that the transfer is not executed and the held amount is available again for the owner of the token. Until a hold has expired it can only be released by the notary or the party or account provided in the To field of the Hold / HoldFrom request. After it has expired it can be released by any account.</w:t>
      </w:r>
    </w:p>
    <w:p>
      <w:pPr>
        <w:pStyle w:val="Heading5"/>
        <w:jc w:val="left"/>
      </w:pPr>
      <w:r>
        <w:t>Request Message:</w:t>
      </w:r>
    </w:p>
    <w:p>
      <w:pPr>
        <w:pStyle w:val="Normal"/>
        <w:jc w:val="left"/>
      </w:pPr>
      <w:r>
        <w:t>ReleaseHoldRequest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OperationId</w:t>
                </w:r>
              </w:p>
            </w:tc>
            <w:tc>
              <w:p>
                <w:r>
                  <w:t>An unique ID to identify the hold</w:t>
                </w:r>
              </w:p>
            </w:tc>
          </w:tr>
        </w:tbl>
      </w:r>
    </w:p>
    <w:p>
      <w:pPr>
        <w:pStyle w:val="Heading5"/>
        <w:jc w:val="left"/>
      </w:pPr>
      <w:r>
        <w:t>Response Message</w:t>
      </w:r>
    </w:p>
    <w:p>
      <w:pPr>
        <w:pStyle w:val="Normal"/>
        <w:jc w:val="left"/>
      </w:pPr>
      <w:r>
        <w:t>ReleaseHoldResponse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requester based on the outcome of the release hold request.</w:t>
                </w:r>
              </w:p>
            </w:tc>
          </w:tr>
        </w:tbl>
      </w:r>
    </w:p>
    <w:p>
      <w:pPr>
        <w:pStyle w:val="Normal"/>
        <w:jc w:val="center"/>
      </w:pPr>
      <w:r>
        <w:t/>
      </w:r>
    </w:p>
    <w:p>
      <w:pPr>
        <w:pStyle w:val="Heading3"/>
        <w:jc w:val="left"/>
      </w:pPr>
      <w:r>
        <w:t>Properties</w:t>
      </w:r>
    </w:p>
    <w:p>
      <w:pPr>
        <w:pStyle w:val="Heading2"/>
        <w:jc w:val="center"/>
      </w:pPr>
      <w:r>
        <w:t xml:space="preserve">Base: Compliant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Compliant</w:t>
            </w:r>
          </w:p>
          <w:tcPr>
            <w:tcW w:w="70" w:type="pct"/>
          </w:tcPr>
        </w:tc>
      </w:tr>
      <w:tr>
        <w:tc>
          <w:p>
            <w:r>
              <w:t>Id:</w:t>
            </w:r>
          </w:p>
          <w:tcPr>
            <w:tcW w:w="30" w:type="pct"/>
          </w:tcPr>
        </w:tc>
        <w:tc>
          <w:p>
            <w:r>
              <w:t>03dd1c48-dfdb-4ec1-86c8-69c3abac76b7</w:t>
            </w:r>
          </w:p>
          <w:tcPr>
            <w:tcW w:w="70" w:type="pct"/>
          </w:tcPr>
        </w:tc>
      </w:tr>
      <w:tr>
        <w:tc>
          <w:p>
            <w:r>
              <w:t>Visual:</w:t>
            </w:r>
          </w:p>
          <w:tcPr>
            <w:tcW w:w="30" w:type="pct"/>
          </w:tcPr>
        </w:tc>
        <w:tc>
          <w:p>
            <w:r>
              <w:t>&lt;i&gt;c&lt;/i&gt;</w:t>
            </w:r>
          </w:p>
          <w:tcPr>
            <w:tcW w:w="70" w:type="pct"/>
          </w:tcPr>
        </w:tc>
      </w:tr>
      <w:tr>
        <w:tc>
          <w:p>
            <w:r>
              <w:t>Tooling:</w:t>
            </w:r>
          </w:p>
          <w:tcPr>
            <w:tcW w:w="30" w:type="pct"/>
          </w:tcPr>
        </w:tc>
        <w:tc>
          <w:p>
            <w:r>
              <w:t>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2"/>
        <w:jc w:val="left"/>
      </w:pPr>
      <w:r>
        <w:t>Example</w:t>
      </w:r>
    </w:p>
    <w:p>
      <w:pPr>
        <w:pStyle w:val="Normal"/>
        <w:jc w:val="left"/>
      </w:pPr>
      <w:r>
        <w:t>When doing a bank transfer the transaction is checked by the involved banks according to legal requirements. A compliant token can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compliant.proto</w:t>
                </w:r>
              </w:p>
            </w:tc>
            <w:tc>
              <w:p>
                <w:r>
                  <w:t/>
                </w:r>
              </w:p>
            </w:tc>
          </w:tr>
          <w:tr>
            <w:tc>
              <w:p>
                <w:r>
                  <w:t>Uml</w:t>
                </w:r>
              </w:p>
            </w:tc>
            <w:tc>
              <w:p>
                <w:r>
                  <w:t>compliant.md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Compliant</w:t>
      </w:r>
    </w:p>
    <w:p>
      <w:pPr>
        <w:pStyle w:val="Heading3"/>
        <w:jc w:val="left"/>
      </w:pPr>
      <w:r>
        <w:t>Taxonomy Formula: c</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3"/>
        <w:jc w:val="left"/>
      </w:pPr>
      <w:r>
        <w:t>Example</w:t>
      </w:r>
    </w:p>
    <w:p>
      <w:pPr>
        <w:pStyle w:val="Normal"/>
        <w:jc w:val="left"/>
      </w:pPr>
      <w:r>
        <w:t>When doing a bank transfer the transaction is checked by the involved banks according to legal requirements. A compliant token can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Compliant responds to these 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 Message:</w:t>
      </w:r>
    </w:p>
    <w:p>
      <w:pPr>
        <w:pStyle w:val="Normal"/>
        <w:jc w:val="left"/>
      </w:pPr>
      <w:r>
        <w:t>CheckTransferAllowedRequest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CheckTransferAllowedResponse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Normal"/>
        <w:jc w:val="center"/>
      </w:pPr>
      <w:r>
        <w:t/>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 Message:</w:t>
      </w:r>
    </w:p>
    <w:p>
      <w:pPr>
        <w:pStyle w:val="Normal"/>
        <w:jc w:val="left"/>
      </w:pPr>
      <w:r>
        <w:t>CheckMintAllowedRequest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Normal"/>
        <w:jc w:val="center"/>
      </w:pPr>
      <w:r>
        <w:t/>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 Message:</w:t>
      </w:r>
    </w:p>
    <w:p>
      <w:pPr>
        <w:pStyle w:val="Normal"/>
        <w:jc w:val="left"/>
      </w:pPr>
      <w:r>
        <w:t>CheckBurnAllowedRequest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Normal"/>
        <w:jc w:val="center"/>
      </w:pPr>
      <w:r>
        <w:t/>
      </w:r>
    </w:p>
    <w:p>
      <w:pPr>
        <w:pStyle w:val="Heading3"/>
        <w:jc w:val="left"/>
      </w:pPr>
      <w:r>
        <w:t>Properties</w:t>
      </w:r>
    </w:p>
    <w:p>
      <w:pPr>
        <w:pStyle w:val="Heading2"/>
        <w:jc w:val="center"/>
      </w:pPr>
      <w:r>
        <w:t xml:space="preserve">Base: 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Formula: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Base: 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Formula: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Base: 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Formula: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3"/>
        <w:jc w:val="left"/>
      </w:pPr>
      <w:r>
        <w:t>Comments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Base: 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r>
            <w:tc>
              <w:p>
                <w:r>
                  <w:t>Other</w:t>
                </w:r>
              </w:p>
            </w:tc>
            <w:tc>
              <w:p>
                <w:r>
                  <w:t>.DS_Store</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center"/>
      </w:pPr>
      <w:r>
        <w:t>Behavior Group Details</w:t>
      </w:r>
    </w:p>
    <w:p>
      <w:pPr>
        <w:pStyle w:val="Normal"/>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Emoney - cbadf6c709dd49818651cf00b7e630220ea093db4156bdf2b9578ac2f1865171</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d317808e660f44d2" /><Relationship Type="http://schemas.openxmlformats.org/officeDocument/2006/relationships/numbering" Target="/word/numbering.xml" Id="NumberingDefinitionsPart001" /><Relationship Type="http://schemas.openxmlformats.org/officeDocument/2006/relationships/header" Target="/word/header1.xml" Id="R3812fe0965344060" /><Relationship Type="http://schemas.openxmlformats.org/officeDocument/2006/relationships/footer" Target="/word/footer1.xml" Id="R12e14728e4154287"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