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numbering.xml" ContentType="application/vnd.openxmlformats-officedocument.wordprocessingml.numbering+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ca2e426510674822" /></Relationships>
</file>

<file path=word/document.xml><?xml version="1.0" encoding="utf-8"?>
<w:document xmlns:w="http://schemas.openxmlformats.org/wordprocessingml/2006/main">
  <w:body>
    <w:footerReference xmlns:r="http://schemas.openxmlformats.org/officeDocument/2006/relationships" r:id="Rab22402693c8414f"/>
    <w:headerReference xmlns:r="http://schemas.openxmlformats.org/officeDocument/2006/relationships" r:id="Rd81f084bad2f40bb"/>
    <w:p>
      <w:pPr>
        <w:pStyle w:val="Title"/>
        <w:jc w:val="center"/>
      </w:pPr>
      <w:r>
        <w:t xml:space="preserve">Issuance</w:t>
      </w:r>
    </w:p>
    <w:p>
      <w:pPr>
        <w:pStyle w:val="Heading3"/>
        <w:jc w:val="center"/>
      </w:pPr>
      <w:r>
        <w:t>Taxonomy Formula: tF'{~d,t,i}</w:t>
      </w:r>
    </w:p>
    <w:p>
      <w:pPr>
        <w:pStyle w:val="Heading1"/>
        <w:jc w:val="center"/>
      </w:pPr>
      <w:r>
        <w:t>Token Specification Summary</w:t>
      </w:r>
    </w:p>
    <w:p>
      <w:pPr>
        <w:pStyle w:val="Heading2"/>
        <w:jc w:val="left"/>
      </w:pPr>
      <w:r>
        <w:t>Token Classification</w:t>
      </w:r>
    </w:p>
    <w:p>
      <w:pPr>
        <w:pStyle w:val="Normal"/>
        <w:jc w:val="left"/>
      </w:pPr>
      <w:r>
        <w:tbl>
          <w:tblPr>
            <w:tblStyle w:val="GridTable4-Accent1"/>
          </w:tblPr>
          <w:tr>
            <w:tc>
              <w:p>
                <w:r>
                  <w:t>Template Type:</w:t>
                </w:r>
              </w:p>
              <w:tcPr>
                <w:tcW w:w="20" w:type="pct"/>
              </w:tcPr>
            </w:tc>
            <w:tc>
              <w:p>
                <w:r>
                  <w:t>SingleToken</w:t>
                </w:r>
              </w:p>
              <w:tcPr>
                <w:tcW w:w="15" w:type="pct"/>
              </w:tcPr>
            </w:tc>
            <w:tc>
              <w:p>
                <w:r>
                  <w:t>This token has no sub or child tokens.</w:t>
                </w:r>
              </w:p>
              <w:tcPr>
                <w:tcW w:w="65" w:type="pct"/>
              </w:tcPr>
            </w:tc>
          </w:tr>
          <w:tr>
            <w:tc>
              <w:p>
                <w:r>
                  <w:t>Token Type:</w:t>
                </w:r>
              </w:p>
              <w:tcPr>
                <w:tcW w:w="20" w:type="pct"/>
              </w:tcPr>
            </w:tc>
            <w:tc>
              <w:p>
                <w:r>
                  <w:t>Fungible</w:t>
                </w:r>
              </w:p>
              <w:tcPr>
                <w:tcW w:w="15" w:type="pct"/>
              </w:tcPr>
            </w:tc>
            <w:tc>
              <w:p>
                <w:r>
                  <w:t>Tokens have interchangeable value with one another, where any quantity of them has the same value as another equal quantity if they are in the same class or series.</w:t>
                </w:r>
              </w:p>
              <w:tcPr>
                <w:tcW w:w="65" w:type="pct"/>
              </w:tcPr>
            </w:tc>
          </w:tr>
          <w:tr>
            <w:tc>
              <w:p>
                <w:r>
                  <w:t>Token Unit:</w:t>
                </w:r>
              </w:p>
              <w:tcPr>
                <w:tcW w:w="20" w:type="pct"/>
              </w:tcPr>
            </w:tc>
            <w:tc>
              <w:p>
                <w:r>
                  <w:t>Whole</w:t>
                </w:r>
              </w:p>
              <w:tcPr>
                <w:tcW w:w="15" w:type="pct"/>
              </w:tcPr>
            </w:tc>
            <w:tc>
              <w:p>
                <w:r>
                  <w:t>There can be many instances of this token, but they cannot be subdivided.</w:t>
                </w:r>
              </w:p>
              <w:tcPr>
                <w:tcW w:w="65" w:type="pct"/>
              </w:tcPr>
            </w:tc>
          </w:tr>
          <w:tr>
            <w:tc>
              <w:p>
                <w:r>
                  <w:t>Value Type:</w:t>
                </w:r>
              </w:p>
              <w:tcPr>
                <w:tcW w:w="20" w:type="pct"/>
              </w:tcPr>
            </w:tc>
            <w:tc>
              <w:p>
                <w:r>
                  <w:t>Intrinsic</w:t>
                </w:r>
              </w:p>
              <w:tcPr>
                <w:tcW w:w="15" w:type="pct"/>
              </w:tcPr>
            </w:tc>
            <w:tc>
              <w:p>
                <w:r>
                  <w:t>This token is purely a digital token represents value directly, it represents no external physical form and cannot be a receipt or title for a material item or property.</w:t>
                </w:r>
              </w:p>
              <w:tcPr>
                <w:tcW w:w="65" w:type="pct"/>
              </w:tcPr>
            </w:tc>
          </w:tr>
          <w:tr>
            <w:tc>
              <w:p>
                <w:r>
                  <w:t>Representation Type:</w:t>
                </w:r>
              </w:p>
              <w:tcPr>
                <w:tcW w:w="20" w:type="pct"/>
              </w:tcPr>
            </w:tc>
            <w:tc>
              <w:p>
                <w:r>
                  <w:t>Unique</w:t>
                </w:r>
              </w:p>
              <w:tcPr>
                <w:tcW w:w="15" w:type="pct"/>
              </w:tcPr>
            </w:tc>
            <w:tc>
              <w:p>
                <w:r>
                  <w:t>Token instances are unique having their own identities and can be individually traced. Each unique token can carry unique properties that cannot be changed in one place and their balances must be summed. These are like bank notes, paper bills and metal coins, they are interchangeable but have unique properties like a serial number.</w:t>
                </w:r>
              </w:p>
              <w:tcPr>
                <w:tcW w:w="65" w:type="pct"/>
              </w:tcPr>
            </w:tc>
          </w:tr>
        </w:tbl>
      </w:r>
    </w:p>
    <w:p>
      <w:pPr>
        <w:pStyle w:val="Quote"/>
        <w:jc w:val="left"/>
      </w:pPr>
      <w:r>
        <w:t>This is a Whole Fungible Token with Fixed Supply, where a central party, the issuer, is the only one able to create/transfer/destroy tokens. Other parties can inspect (only their own) holdings, but may not transfer tokens; to do this they need to request the issuer to perform the action using a `RequestTokens` message. The issuer creates this token with an initial quantity that is fixed, and belong to the issuer. The issuer can then Authorize an account or investor to request tokens up to a maximum allowed amount. After an account is Authorized, it can request tokens up to the amount from the issuer, who must then Approve the request that will then delegate/invoke transferable to transfer the tokens from the issuer's account to the authorized account.</w:t>
      </w:r>
    </w:p>
    <w:p>
      <w:pPr>
        <w:pStyle w:val="Heading3"/>
        <w:jc w:val="left"/>
      </w:pPr>
      <w:r>
        <w:t>Example</w:t>
      </w:r>
    </w:p>
    <w:p>
      <w:pPr>
        <w:pStyle w:val="Normal"/>
        <w:jc w:val="left"/>
      </w:pPr>
      <w:r>
        <w:t>Provide a business example...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Shares</w:t>
                </w:r>
              </w:p>
            </w:tc>
            <w:tc>
              <w:p>
                <w:r>
                  <w:t>TBA: An analogy of shares...</w:t>
                </w:r>
              </w:p>
            </w:tc>
          </w:tr>
        </w:tbl>
      </w:r>
    </w:p>
    <w:p>
      <w:pPr>
        <w:pStyle w:val="Heading1"/>
        <w:jc w:val="left"/>
      </w:pPr>
      <w:r>
        <w:t>Issuance is:</w:t>
      </w:r>
    </w:p>
    <w:p>
      <w:pPr>
        <w:numPr>
          <w:ilvl w:val="0"/>
          <w:numId w:val="1"/>
        </w:numPr>
        <w:spacing w:after="0"/>
        <w:ind w:left="720" w:hanging="360"/>
        <w:rPr>
          <w:rFonts w:ascii="Symbol" w:hAnsi="Symbol"/>
        </w:rPr>
      </w:pPr>
      <w:r>
        <w:t>Non-Subdividable</w:t>
      </w:r>
    </w:p>
    <w:p>
      <w:pPr>
        <w:numPr>
          <w:ilvl w:val="0"/>
          <w:numId w:val="1"/>
        </w:numPr>
        <w:spacing w:after="0"/>
        <w:ind w:left="720" w:hanging="360"/>
        <w:rPr>
          <w:rFonts w:ascii="Symbol" w:hAnsi="Symbol"/>
        </w:rPr>
      </w:pPr>
      <w:r>
        <w:t>Transferable</w:t>
      </w:r>
    </w:p>
    <w:p>
      <w:pPr>
        <w:numPr>
          <w:ilvl w:val="0"/>
          <w:numId w:val="1"/>
        </w:numPr>
        <w:spacing w:after="0"/>
        <w:ind w:left="720" w:hanging="360"/>
        <w:rPr>
          <w:rFonts w:ascii="Symbol" w:hAnsi="Symbol"/>
        </w:rPr>
      </w:pPr>
      <w:r>
        <w:t>Issuable</w:t>
      </w:r>
    </w:p>
    <w:p>
      <w:pPr>
        <w:pStyle w:val="Heading1"/>
        <w:jc w:val="center"/>
      </w:pPr>
      <w:r>
        <w:t>Issuance Details</w:t>
      </w:r>
    </w:p>
    <w:p>
      <w:pPr>
        <w:pStyle w:val="Heading2"/>
        <w:jc w:val="center"/>
      </w:pPr>
      <w:r>
        <w:t xml:space="preserve">Unique Whole Fungible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Unique Whole Fungible</w:t>
            </w:r>
          </w:p>
          <w:tcPr>
            <w:tcW w:w="70" w:type="pct"/>
          </w:tcPr>
        </w:tc>
      </w:tr>
      <w:tr>
        <w:tc>
          <w:p>
            <w:r>
              <w:t>Id:</w:t>
            </w:r>
          </w:p>
          <w:tcPr>
            <w:tcW w:w="30" w:type="pct"/>
          </w:tcPr>
        </w:tc>
        <w:tc>
          <w:p>
            <w:r>
              <w:t>2d291501-4cca-43cf-8330-e2440e58d7df</w:t>
            </w:r>
          </w:p>
          <w:tcPr>
            <w:tcW w:w="70" w:type="pct"/>
          </w:tcPr>
        </w:tc>
      </w:tr>
      <w:tr>
        <w:tc>
          <w:p>
            <w:r>
              <w:t>Visual:</w:t>
            </w:r>
          </w:p>
          <w:tcPr>
            <w:tcW w:w="30" w:type="pct"/>
          </w:tcPr>
        </w:tc>
        <w:tc>
          <w:p>
            <w:r>
              <w:t>&amp;tau;&lt;sub&gt;F'&lt;/sub&gt;{&lt;i&gt;~d&lt;/i&gt;}</w:t>
            </w:r>
          </w:p>
          <w:tcPr>
            <w:tcW w:w="70" w:type="pct"/>
          </w:tcPr>
        </w:tc>
      </w:tr>
      <w:tr>
        <w:tc>
          <w:p>
            <w:r>
              <w:t>Tooling:</w:t>
            </w:r>
          </w:p>
          <w:tcPr>
            <w:tcW w:w="30" w:type="pct"/>
          </w:tcPr>
        </w:tc>
        <w:tc>
          <w:p>
            <w:r>
              <w:t>tF'{~d}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Unique, Whole Fungible tokens have interchangeable value with each other, where any owned sum of them from a class has the same value as another owned sum from the same class. A whole token cannot be sub-divided so it doesn't support the notion of 'making change'. Because this token is unique, it will have its own identity and can have unique properties like a serial number.</w:t>
      </w:r>
    </w:p>
    <w:p>
      <w:pPr>
        <w:pStyle w:val="Heading2"/>
        <w:jc w:val="left"/>
      </w:pPr>
      <w:r>
        <w:t>Example</w:t>
      </w:r>
    </w:p>
    <w:p>
      <w:pPr>
        <w:pStyle w:val="Normal"/>
        <w:jc w:val="left"/>
      </w:pPr>
      <w:r>
        <w:t>An inventory item or SKU, where an item is treated as a whole because it makes no sense to own a fraction of a SKU or loyalty point.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Loyalty Points</w:t>
                </w:r>
              </w:p>
            </w:tc>
            <w:tc>
              <w:p>
                <w:r>
                  <w:t>Most credit card or retail loyalty point programs deal with whole numbers so that redeeming points is easy to understand for their customers.</w:t>
                </w:r>
              </w:p>
            </w:tc>
          </w:tr>
          <w:tr>
            <w:tc>
              <w:p>
                <w:r>
                  <w:t>General Admission Movie Ticket</w:t>
                </w:r>
              </w:p>
            </w:tc>
            <w:tc>
              <w:p>
                <w:r>
                  <w:t>Purchasing a general admission ticket to a movie only allows for you to have a seat, but the seat that you actually get depends on factors like when you arrive. Your not likely to want to share a seat with another adult.</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whole-fungible.proto</w:t>
                </w:r>
              </w:p>
            </w:tc>
            <w:tc>
              <w:p>
                <w:r>
                  <w:t/>
                </w:r>
              </w:p>
            </w:tc>
          </w:tr>
          <w:tr>
            <w:tc>
              <w:p>
                <w:r>
                  <w:t>Uml</w:t>
                </w:r>
              </w:p>
            </w:tc>
            <w:tc>
              <w:p>
                <w:r>
                  <w:t>whole-fungible.md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Digital Asset Token Issuance</w:t>
                </w:r>
              </w:p>
            </w:tc>
            <w:tc>
              <w:p>
                <w:r>
                  <w:t>Daml</w:t>
                </w:r>
              </w:p>
            </w:tc>
            <w:tc>
              <w:p>
                <w:r>
                  <w:t>https://github.com/digital-asset/ex-models/blob/master/issuertoken/daml/Main.daml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Digital Asset Token Issuance</w:t>
                </w:r>
              </w:p>
            </w:tc>
            <w:tc>
              <w:p>
                <w:r>
                  <w:t>Daml</w:t>
                </w:r>
              </w:p>
            </w:tc>
            <w:tc>
              <w:p>
                <w:r>
                  <w:t>https://github.com/digital-asset/ex-models/tree/master/issuertoken</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Fungible</w:t>
            </w:r>
          </w:p>
          <w:tcPr>
            <w:tcW w:w="70" w:type="pct"/>
          </w:tcPr>
        </w:tc>
      </w:tr>
      <w:tr>
        <w:tc>
          <w:p>
            <w:r>
              <w:t>Representation Type:</w:t>
            </w:r>
          </w:p>
          <w:tcPr>
            <w:tcW w:w="30" w:type="pct"/>
          </w:tcPr>
        </w:tc>
        <w:tc>
          <w:p>
            <w:r>
              <w:t>Unique</w:t>
            </w:r>
          </w:p>
          <w:tcPr>
            <w:tcW w:w="70" w:type="pct"/>
          </w:tcPr>
        </w:tc>
      </w:tr>
      <w:tr>
        <w:tc>
          <w:p>
            <w:r>
              <w:t>Value Type:</w:t>
            </w:r>
          </w:p>
          <w:tcPr>
            <w:tcW w:w="30" w:type="pct"/>
          </w:tcPr>
        </w:tc>
        <w:tc>
          <w:p>
            <w:r>
              <w:t>Intrinsic</w:t>
            </w:r>
          </w:p>
          <w:tcPr>
            <w:tcW w:w="70" w:type="pct"/>
          </w:tcPr>
        </w:tc>
      </w:tr>
      <w:tr>
        <w:tc>
          <w:p>
            <w:r>
              <w:t>Token Unit:</w:t>
            </w:r>
          </w:p>
          <w:tcPr>
            <w:tcW w:w="30" w:type="pct"/>
          </w:tcPr>
        </w:tc>
        <w:tc>
          <w:p>
            <w:r>
              <w:t>Whole</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Constructor</w:t>
            </w:r>
          </w:p>
          <w:tcPr>
            <w:tcW w:w="70" w:type="pct"/>
          </w:tcPr>
        </w:tc>
      </w:tr>
    </w:tbl>
    <w:p>
      <w:pPr>
        <w:pStyle w:val="Heading2"/>
        <w:jc w:val="left"/>
      </w:pPr>
      <w:r>
        <w:t>Behaviors</w:t>
      </w:r>
    </w:p>
    <w:p>
      <w:pPr>
        <w:pStyle w:val="Heading2"/>
        <w:jc w:val="center"/>
      </w:pPr>
      <w:r>
        <w:t xml:space="preserve">Non-Subdividable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Non-Subdividable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2"/>
        <w:jc w:val="left"/>
      </w:pPr>
      <w:r>
        <w:t>Example</w:t>
      </w:r>
    </w:p>
    <w:p>
      <w:pPr>
        <w:pStyle w:val="Normal"/>
        <w:jc w:val="left"/>
      </w:pPr>
      <w:r>
        <w:t>Non-subdividable is common for items where subdivision does not make sense, like a property title, inventory item or invoice.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non-subdividable.proto</w:t>
                </w:r>
              </w:p>
            </w:tc>
            <w:tc>
              <w:p>
                <w:r>
                  <w:t/>
                </w:r>
              </w:p>
            </w:tc>
          </w:tr>
          <w:tr>
            <w:tc>
              <w:p>
                <w:r>
                  <w:t>Uml</w:t>
                </w:r>
              </w:p>
            </w:tc>
            <w:tc>
              <w:p>
                <w:r>
                  <w:t>non-subdividable.md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Non-Subdividable</w:t>
      </w:r>
    </w:p>
    <w:p>
      <w:pPr>
        <w:pStyle w:val="Heading3"/>
        <w:jc w:val="left"/>
      </w:pPr>
      <w:r>
        <w:t>Taxonomy Symbol: ~d</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3"/>
        <w:jc w:val="left"/>
      </w:pPr>
      <w:r>
        <w:t>Example</w:t>
      </w:r>
    </w:p>
    <w:p>
      <w:pPr>
        <w:pStyle w:val="Normal"/>
        <w:jc w:val="left"/>
      </w:pPr>
      <w:r>
        <w:t>Non-subdividable is common for items where subdivision does not make sense, like a property title, inventory item or invoice.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Non-Subdividable responds to these Invocations</w:t>
      </w:r>
    </w:p>
    <w:p>
      <w:pPr>
        <w:pStyle w:val="Heading3"/>
        <w:jc w:val="left"/>
      </w:pPr>
      <w:r>
        <w:t>Properties</w:t>
      </w:r>
    </w:p>
    <w:p>
      <w:pPr>
        <w:pStyle w:val="Heading4"/>
        <w:jc w:val="left"/>
      </w:pPr>
      <w:r>
        <w:t>Name: Decimals</w:t>
      </w:r>
    </w:p>
    <w:p>
      <w:pPr>
        <w:pStyle w:val="Normal"/>
        <w:jc w:val="left"/>
      </w:pPr>
      <w:r>
        <w:t>Value Description: Set to Zero, not allowing any subdivision, usually this is applied to the base token.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3"/>
        <w:jc w:val="left"/>
      </w:pPr>
      <w:r>
        <w:t>Properties</w:t>
      </w:r>
    </w:p>
    <w:p>
      <w:pPr>
        <w:pStyle w:val="Heading2"/>
        <w:jc w:val="center"/>
      </w:pPr>
      <w:r>
        <w:t xml:space="preserve">Transferable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a4fa4ca8-6afd-452b-91f5-7103b6fee5e5</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If the token is Delegable, TransferFrom should be enabled.</w:t>
                </w:r>
              </w:p>
            </w:tc>
            <w:tc>
              <w:p>
                <w:r>
                  <w:t>g</w:t>
                </w:r>
              </w:p>
            </w:tc>
            <w:tc>
              <w:p>
                <w:r>
                  <w:t>[ ]</w:t>
                </w:r>
              </w:p>
            </w:tc>
          </w:tr>
          <w:tr>
            <w:tc>
              <w:p>
                <w:r>
                  <w:t>If Compliance is present, a CheckTransferAllowed request has to be made and verified before a Transfer request or a TransferFrom request.</w:t>
                </w:r>
              </w:p>
            </w:tc>
            <w:tc>
              <w:p>
                <w:r>
                  <w:t>c</w:t>
                </w:r>
              </w:p>
            </w:tc>
            <w:tc>
              <w:p>
                <w:r>
                  <w:t>[ ]</w:t>
                </w:r>
              </w:p>
            </w:tc>
          </w:tr>
          <w:tr>
            <w:tc>
              <w:p>
                <w:r>
                  <w:t>If issuable is present, an AcceptTokenRequest from the token issuer, in response to a RequestTokens, has to be made and verified before a Transfer request.</w:t>
                </w:r>
              </w:p>
            </w:tc>
            <w:tc>
              <w:p>
                <w:r>
                  <w:t>i</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transferable.proto</w:t>
                </w:r>
              </w:p>
            </w:tc>
            <w:tc>
              <w:p>
                <w:r>
                  <w:t/>
                </w:r>
              </w:p>
            </w:tc>
          </w:tr>
          <w:tr>
            <w:tc>
              <w:p>
                <w:r>
                  <w:t>Uml</w:t>
                </w:r>
              </w:p>
            </w:tc>
            <w:tc>
              <w:p>
                <w:r>
                  <w:t>transferable.md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Transferable</w:t>
      </w:r>
    </w:p>
    <w:p>
      <w:pPr>
        <w:pStyle w:val="Heading3"/>
        <w:jc w:val="left"/>
      </w:pPr>
      <w:r>
        <w:t>Taxonomy Symbol: t</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Transferable responds to these Invocations</w:t>
      </w:r>
    </w:p>
    <w:p>
      <w:pPr>
        <w:pStyle w:val="Heading4"/>
        <w:jc w:val="left"/>
      </w:pPr>
      <w:r>
        <w:t>Transfer</w:t>
      </w:r>
    </w:p>
    <w:p>
      <w:pPr>
        <w:pStyle w:val="Normal"/>
        <w:jc w:val="left"/>
      </w:pPr>
      <w:r>
        <w:t>Id: 5d4b8f10-7857-4a2f-9b8c-d61e367a6bcc</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Normal"/>
        <w:jc w:val="center"/>
      </w:pPr>
      <w:r>
        <w:t/>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TransferFromRequest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TransferFromResponse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Normal"/>
        <w:jc w:val="center"/>
      </w:pPr>
      <w:r>
        <w:t/>
      </w:r>
    </w:p>
    <w:p>
      <w:pPr>
        <w:pStyle w:val="Heading3"/>
        <w:jc w:val="left"/>
      </w:pPr>
      <w:r>
        <w:t>Properties</w:t>
      </w:r>
    </w:p>
    <w:p>
      <w:pPr>
        <w:pStyle w:val="Heading2"/>
        <w:jc w:val="center"/>
      </w:pPr>
      <w:r>
        <w:t xml:space="preserve">Issuable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Issuable</w:t>
            </w:r>
          </w:p>
          <w:tcPr>
            <w:tcW w:w="70" w:type="pct"/>
          </w:tcPr>
        </w:tc>
      </w:tr>
      <w:tr>
        <w:tc>
          <w:p>
            <w:r>
              <w:t>Id:</w:t>
            </w:r>
          </w:p>
          <w:tcPr>
            <w:tcW w:w="30" w:type="pct"/>
          </w:tcPr>
        </w:tc>
        <w:tc>
          <w:p>
            <w:r>
              <w:t>2068a5fb-90eb-4084-b5f4-1e74485e5c02</w:t>
            </w:r>
          </w:p>
          <w:tcPr>
            <w:tcW w:w="70" w:type="pct"/>
          </w:tcPr>
        </w:tc>
      </w:tr>
      <w:tr>
        <w:tc>
          <w:p>
            <w:r>
              <w:t>Visual:</w:t>
            </w:r>
          </w:p>
          <w:tcPr>
            <w:tcW w:w="30" w:type="pct"/>
          </w:tcPr>
        </w:tc>
        <w:tc>
          <w:p>
            <w:r>
              <w:t>&lt;i&gt;i&lt;/i&gt;</w:t>
            </w:r>
          </w:p>
          <w:tcPr>
            <w:tcW w:w="70" w:type="pct"/>
          </w:tcPr>
        </w:tc>
      </w:tr>
      <w:tr>
        <w:tc>
          <w:p>
            <w:r>
              <w:t>Tooling:</w:t>
            </w:r>
          </w:p>
          <w:tcPr>
            <w:tcW w:w="30" w:type="pct"/>
          </w:tcPr>
        </w:tc>
        <w:tc>
          <w:p>
            <w:r>
              <w:t>i</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This token has a controlling a central party, the issuer, is the only one able to create/transfer/destroy tokens. Other parties can inspect (only their own) holdings, but may not transfer tokens; to do this they need to request the issuer to perform the action using a `RequestTokens` contract.</w:t>
      </w:r>
    </w:p>
    <w:p>
      <w:pPr>
        <w:pStyle w:val="Heading2"/>
        <w:jc w:val="left"/>
      </w:pPr>
      <w:r>
        <w:t>Example</w:t>
      </w:r>
    </w:p>
    <w:p>
      <w:pPr>
        <w:pStyle w:val="Normal"/>
        <w:jc w:val="left"/>
      </w:pPr>
      <w:r>
        <w:t>A private issued stock which is not listed on any exchange may require the owner's permission to sell shares issued to the seller.</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Private Issue Share</w:t>
                </w:r>
              </w:p>
            </w:tc>
            <w:tc>
              <w:p>
                <w:r>
                  <w:t>A private issue stock share...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Behavior</w:t>
                </w:r>
              </w:p>
            </w:tc>
            <w:tc>
              <w:p>
                <w:r>
                  <w:t>t</w:t>
                </w:r>
              </w:p>
            </w:tc>
            <w:tc>
              <w:p>
                <w:r>
                  <w:t>AcceptTokenRequest delegates to transferable in the issuance process.</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is common to implement to provide authorization checks for invoking the behavior. Highly Recommended that Role restrictions be applied to MintTo invocations.</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issuable.proto</w:t>
                </w:r>
              </w:p>
            </w:tc>
            <w:tc>
              <w:p>
                <w:r>
                  <w:t/>
                </w:r>
              </w:p>
            </w:tc>
          </w:tr>
          <w:tr>
            <w:tc>
              <w:p>
                <w:r>
                  <w:t>Uml</w:t>
                </w:r>
              </w:p>
            </w:tc>
            <w:tc>
              <w:p>
                <w:r>
                  <w:t>issuable.md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Digital Asset Token Issuance</w:t>
                </w:r>
              </w:p>
            </w:tc>
            <w:tc>
              <w:p>
                <w:r>
                  <w:t>Daml</w:t>
                </w:r>
              </w:p>
            </w:tc>
            <w:tc>
              <w:p>
                <w:r>
                  <w:t>https://github.com/digital-asset/ex-models/blob/master/issuertoken/daml/Main.daml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Digital Asset Token Issuance</w:t>
                </w:r>
              </w:p>
            </w:tc>
            <w:tc>
              <w:p>
                <w:r>
                  <w:t>Daml</w:t>
                </w:r>
              </w:p>
            </w:tc>
            <w:tc>
              <w:p>
                <w:r>
                  <w:t>https://github.com/digital-asset/ex-models/tree/master/issuertoken</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2"/>
        <w:jc w:val="left"/>
      </w:pPr>
      <w:r>
        <w:t>Specification Behavior</w:t>
      </w:r>
    </w:p>
    <w:p>
      <w:pPr>
        <w:pStyle w:val="Heading1"/>
        <w:jc w:val="center"/>
      </w:pPr>
      <w:r>
        <w:t xml:space="preserve">Issuable</w:t>
      </w:r>
    </w:p>
    <w:p>
      <w:pPr>
        <w:pStyle w:val="Heading3"/>
        <w:jc w:val="left"/>
      </w:pPr>
      <w:r>
        <w:t>Taxonomy Symbol: i</w:t>
      </w:r>
    </w:p>
    <w:p>
      <w:pPr>
        <w:pStyle w:val="Quote"/>
        <w:jc w:val="left"/>
      </w:pPr>
      <w:r>
        <w:t>This token has a controlling a central party, the issuer, is the only one able to create/transfer/destroy tokens. Other parties can inspect (only their own) holdings, but may not transfer tokens; to do this they need to request the issuer to perform the action using a `RequestTokens` contract.</w:t>
      </w:r>
    </w:p>
    <w:p>
      <w:pPr>
        <w:pStyle w:val="Heading3"/>
        <w:jc w:val="left"/>
      </w:pPr>
      <w:r>
        <w:t>Example</w:t>
      </w:r>
    </w:p>
    <w:p>
      <w:pPr>
        <w:pStyle w:val="Normal"/>
        <w:jc w:val="left"/>
      </w:pPr>
      <w:r>
        <w:t>A private issued stock which is not listed on any exchange may require the owner's permission to sell shares issued to the seller.</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Private Issue Share</w:t>
                </w:r>
              </w:p>
            </w:tc>
            <w:tc>
              <w:p>
                <w:r>
                  <w:t>A private issue stock share...</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Issuable responds to these Invocations</w:t>
      </w:r>
    </w:p>
    <w:p>
      <w:pPr>
        <w:pStyle w:val="Heading4"/>
        <w:jc w:val="left"/>
      </w:pPr>
      <w:r>
        <w:t>AuthorizeInvestor</w:t>
      </w:r>
    </w:p>
    <w:p>
      <w:pPr>
        <w:pStyle w:val="Normal"/>
        <w:jc w:val="left"/>
      </w:pPr>
      <w:r>
        <w:t>Id: e070f88f-6fa4-4749-b417-9ffaeae7f583</w:t>
      </w:r>
    </w:p>
    <w:p>
      <w:pPr>
        <w:pStyle w:val="Normal"/>
        <w:jc w:val="left"/>
      </w:pPr>
      <w:r>
        <w:t>Description: A request to issue tokens, up to the MaxTokens, to an account that can then request the issued tokens.</w:t>
      </w:r>
    </w:p>
    <w:p>
      <w:pPr>
        <w:pStyle w:val="Heading5"/>
        <w:jc w:val="left"/>
      </w:pPr>
      <w:r>
        <w:t>Request Message:</w:t>
      </w:r>
    </w:p>
    <w:p>
      <w:pPr>
        <w:pStyle w:val="Normal"/>
        <w:jc w:val="left"/>
      </w:pPr>
      <w:r>
        <w:t>AuthorizeInvestorRequest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AuthorizedAccountId</w:t>
                </w:r>
              </w:p>
            </w:tc>
            <w:tc>
              <w:p>
                <w:r>
                  <w:t>The account being authorized to request issued tokens.</w:t>
                </w:r>
              </w:p>
            </w:tc>
          </w:tr>
          <w:tr>
            <w:tc>
              <w:p>
                <w:r>
                  <w:t>MaxTokens</w:t>
                </w:r>
              </w:p>
            </w:tc>
            <w:tc>
              <w:p>
                <w:r>
                  <w:t>Maximum quantity of tokens the authorized account can request.</w:t>
                </w:r>
              </w:p>
            </w:tc>
          </w:tr>
        </w:tbl>
      </w:r>
    </w:p>
    <w:p>
      <w:pPr>
        <w:pStyle w:val="Heading5"/>
        <w:jc w:val="left"/>
      </w:pPr>
      <w:r>
        <w:t>Response Message</w:t>
      </w:r>
    </w:p>
    <w:p>
      <w:pPr>
        <w:pStyle w:val="Normal"/>
        <w:jc w:val="left"/>
      </w:pPr>
      <w:r>
        <w:t>AuthorizeInvestorResponse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 request.</w:t>
                </w:r>
              </w:p>
            </w:tc>
          </w:tr>
        </w:tbl>
      </w:r>
    </w:p>
    <w:p>
      <w:pPr>
        <w:pStyle w:val="Normal"/>
        <w:jc w:val="center"/>
      </w:pPr>
      <w:r>
        <w:t/>
      </w:r>
    </w:p>
    <w:p>
      <w:pPr>
        <w:pStyle w:val="Heading4"/>
        <w:jc w:val="left"/>
      </w:pPr>
      <w:r>
        <w:t>RequestTokens</w:t>
      </w:r>
    </w:p>
    <w:p>
      <w:pPr>
        <w:pStyle w:val="Normal"/>
        <w:jc w:val="left"/>
      </w:pPr>
      <w:r>
        <w:t>Id: 2bf89c22-4bd4-4f1b-ad21-1bba37de13b3</w:t>
      </w:r>
    </w:p>
    <w:p>
      <w:pPr>
        <w:pStyle w:val="Normal"/>
        <w:jc w:val="left"/>
      </w:pPr>
      <w:r>
        <w:t>Description: A request to receive issued tokens from the Issuer in response to an authorization.</w:t>
      </w:r>
    </w:p>
    <w:p>
      <w:pPr>
        <w:pStyle w:val="Heading5"/>
        <w:jc w:val="left"/>
      </w:pPr>
      <w:r>
        <w:t>Request Message:</w:t>
      </w:r>
    </w:p>
    <w:p>
      <w:pPr>
        <w:pStyle w:val="Normal"/>
        <w:jc w:val="left"/>
      </w:pPr>
      <w:r>
        <w:t>RequestTokensRequest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issued tokens requested.</w:t>
                </w:r>
              </w:p>
            </w:tc>
          </w:tr>
        </w:tbl>
      </w:r>
    </w:p>
    <w:p>
      <w:pPr>
        <w:pStyle w:val="Heading5"/>
        <w:jc w:val="left"/>
      </w:pPr>
      <w:r>
        <w:t>Response Message</w:t>
      </w:r>
    </w:p>
    <w:p>
      <w:pPr>
        <w:pStyle w:val="Normal"/>
        <w:jc w:val="left"/>
      </w:pPr>
      <w:r>
        <w:t>RequestTokensResponse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RequestId</w:t>
                </w:r>
              </w:p>
            </w:tc>
            <w:tc>
              <w:p>
                <w:r>
                  <w:t>A confirmation receipt in the form of a RequestId that is used by the Issuer to Accept the request, correlating the request with the authorization.</w:t>
                </w:r>
              </w:p>
            </w:tc>
          </w:tr>
        </w:tbl>
      </w:r>
    </w:p>
    <w:p>
      <w:pPr>
        <w:pStyle w:val="Normal"/>
        <w:jc w:val="center"/>
      </w:pPr>
      <w:r>
        <w:t/>
      </w:r>
    </w:p>
    <w:p>
      <w:pPr>
        <w:pStyle w:val="Heading4"/>
        <w:jc w:val="left"/>
      </w:pPr>
      <w:r>
        <w:t>AcceptTokenRequest</w:t>
      </w:r>
    </w:p>
    <w:p>
      <w:pPr>
        <w:pStyle w:val="Normal"/>
        <w:jc w:val="left"/>
      </w:pPr>
      <w:r>
        <w:t>Id: 6a5a549a-89d4-495c-b0da-02d2e4f8127b</w:t>
      </w:r>
    </w:p>
    <w:p>
      <w:pPr>
        <w:pStyle w:val="Normal"/>
        <w:jc w:val="left"/>
      </w:pPr>
      <w:r>
        <w:t>Description: Once an AuthorizeInvestor is processed and the investor sends a RequestToken, this issuer of the token needs to AcceptTokenRequest to invoke the transfer method on the token.</w:t>
      </w:r>
    </w:p>
    <w:p>
      <w:pPr>
        <w:pStyle w:val="Heading5"/>
        <w:jc w:val="left"/>
      </w:pPr>
      <w:r>
        <w:t>Request Message:</w:t>
      </w:r>
    </w:p>
    <w:p>
      <w:pPr>
        <w:pStyle w:val="Normal"/>
        <w:jc w:val="left"/>
      </w:pPr>
      <w:r>
        <w:t>AcceptTokenRequest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RequestId</w:t>
                </w:r>
              </w:p>
            </w:tc>
            <w:tc>
              <w:p>
                <w:r>
                  <w:t>RequestId from the TokenRequest.</w:t>
                </w:r>
              </w:p>
            </w:tc>
          </w:tr>
          <w:tr>
            <w:tc>
              <w:p>
                <w:r>
                  <w:t>FromAccountId</w:t>
                </w:r>
              </w:p>
            </w:tc>
            <w:tc>
              <w:p>
                <w:r>
                  <w:t>Account Id the TokenRequest came from.</w:t>
                </w:r>
              </w:p>
            </w:tc>
          </w:tr>
          <w:tr>
            <w:tc>
              <w:p>
                <w:r>
                  <w:t>Quantity</w:t>
                </w:r>
              </w:p>
            </w:tc>
            <w:tc>
              <w:p>
                <w:r>
                  <w:t>Number of new tokens to issue.</w:t>
                </w:r>
              </w:p>
            </w:tc>
          </w:tr>
        </w:tbl>
      </w:r>
    </w:p>
    <w:p>
      <w:pPr>
        <w:pStyle w:val="Heading5"/>
        <w:jc w:val="left"/>
      </w:pPr>
      <w:r>
        <w:t>Response Message</w:t>
      </w:r>
    </w:p>
    <w:p>
      <w:pPr>
        <w:pStyle w:val="Normal"/>
        <w:jc w:val="left"/>
      </w:pPr>
      <w:r>
        <w:t>AcceptTokenResponse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MintTo request.</w:t>
                </w:r>
              </w:p>
            </w:tc>
          </w:tr>
        </w:tbl>
      </w:r>
    </w:p>
    <w:p>
      <w:pPr>
        <w:pStyle w:val="Normal"/>
        <w:jc w:val="center"/>
      </w:pPr>
      <w:r>
        <w:t/>
      </w:r>
    </w:p>
    <w:p>
      <w:pPr>
        <w:pStyle w:val="Heading3"/>
        <w:jc w:val="left"/>
      </w:pPr>
      <w:r>
        <w:t>Properties</w:t>
      </w:r>
    </w:p>
  </w:body>
</w:document>
</file>

<file path=word/footer1.xml><?xml version="1.0" encoding="utf-8"?>
<w:ftr xmlns:w="http://schemas.openxmlformats.org/wordprocessingml/2006/main">
  <w:p>
    <w:pPr>
      <w:pStyle w:val="Footer"/>
    </w:pPr>
    <w:r>
      <w:t>Issuance - b0f01cc62bc81854c6910427d8ae7647bf38f77e747a7b9ab6ccc8414c81793e</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numbering.xml><?xml version="1.0" encoding="utf-8"?>
<w:numbering xmlns:w="http://schemas.openxmlformats.org/wordprocessingml/2006/main">
  <w:abstractNum w:abstractNumId="1">
    <w:lvl w:ilvl="0">
      <w:numFmt w:val="bullet"/>
      <w:lvlText w:val="·"/>
    </w:lvl>
  </w:abstractNum>
  <w:num w:numId="1">
    <w:abstractNumId w:val="1"/>
  </w:num>
</w:numbering>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a75a853f7e5a4e84" /><Relationship Type="http://schemas.openxmlformats.org/officeDocument/2006/relationships/numbering" Target="/word/numbering.xml" Id="NumberingDefinitionsPart001" /><Relationship Type="http://schemas.openxmlformats.org/officeDocument/2006/relationships/header" Target="/word/header1.xml" Id="Rd81f084bad2f40bb" /><Relationship Type="http://schemas.openxmlformats.org/officeDocument/2006/relationships/footer" Target="/word/footer1.xml" Id="Rab22402693c8414f"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