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numbering.xml" ContentType="application/vnd.openxmlformats-officedocument.wordprocessingml.numbering+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0ff9dc31be147a5" /></Relationships>
</file>

<file path=word/document.xml><?xml version="1.0" encoding="utf-8"?>
<w:document xmlns:w="http://schemas.openxmlformats.org/wordprocessingml/2006/main">
  <w:body>
    <w:footerReference xmlns:r="http://schemas.openxmlformats.org/officeDocument/2006/relationships" r:id="Rfd30a9d1ae6d499e"/>
    <w:headerReference xmlns:r="http://schemas.openxmlformats.org/officeDocument/2006/relationships" r:id="Rfe9c9cf8d2504acf"/>
    <w:p>
      <w:pPr>
        <w:pStyle w:val="Title"/>
        <w:jc w:val="center"/>
      </w:pPr>
      <w:r>
        <w:t xml:space="preserve">OriginalArt</w:t>
      </w:r>
    </w:p>
    <w:p>
      <w:pPr>
        <w:pStyle w:val="Heading2"/>
        <w:jc w:val="left"/>
      </w:pPr>
      <w:r>
        <w:t>Contributors</w:t>
      </w:r>
    </w:p>
    <w:p>
      <w:pPr>
        <w:pStyle w:val="Normal"/>
        <w:jc w:val="left"/>
      </w:pPr>
      <w:r>
        <w:tbl>
          <w:tblPr>
            <w:tblStyle w:val="GridTable4-Accent1"/>
          </w:tblPr>
          <w:tr>
            <w:tc>
              <w:p>
                <w:r>
                  <w:t>Name</w:t>
                </w:r>
              </w:p>
              <w:tcPr>
                <w:tcW w:w="15" w:type="pct"/>
              </w:tcPr>
            </w:tc>
            <w:tc>
              <w:p>
                <w:r>
                  <w:t>Organization</w:t>
                </w:r>
              </w:p>
              <w:tcPr>
                <w:tcW w:w="15" w:type="pct"/>
              </w:tcPr>
            </w:tc>
          </w:tr>
          <w:tr>
            <w:tc>
              <w:p>
                <w:r>
                  <w:t>Marley Gray</w:t>
                </w:r>
              </w:p>
            </w:tc>
            <w:tc>
              <w:p>
                <w:r>
                  <w:t>Microsoft</w:t>
                </w:r>
              </w:p>
            </w:tc>
          </w:tr>
        </w:tbl>
      </w:r>
    </w:p>
    <w:p>
      <w:pPr>
        <w:pStyle w:val="Heading3"/>
        <w:jc w:val="center"/>
      </w:pPr>
      <w:r>
        <w:t>Taxonomy Formula: tN{s,t}</w:t>
      </w:r>
    </w:p>
    <w:p>
      <w:pPr>
        <w:pStyle w:val="Heading1"/>
        <w:jc w:val="center"/>
      </w:pPr>
      <w:r>
        <w:t>Token Specification Summary</w:t>
      </w:r>
    </w:p>
    <w:p>
      <w:pPr>
        <w:pStyle w:val="Heading2"/>
        <w:jc w:val="left"/>
      </w:pPr>
      <w:r>
        <w:t>Token Classification</w:t>
      </w:r>
    </w:p>
    <w:p>
      <w:pPr>
        <w:pStyle w:val="Normal"/>
        <w:jc w:val="left"/>
      </w:pPr>
      <w:r>
        <w:tbl>
          <w:tblPr>
            <w:tblStyle w:val="GridTable4-Accent1"/>
          </w:tblPr>
          <w:tr>
            <w:tc>
              <w:p>
                <w:r>
                  <w:t>Template Type:</w:t>
                </w:r>
              </w:p>
              <w:tcPr>
                <w:tcW w:w="20" w:type="pct"/>
              </w:tcPr>
            </w:tc>
            <w:tc>
              <w:p>
                <w:r>
                  <w:t>SingleToken</w:t>
                </w:r>
              </w:p>
              <w:tcPr>
                <w:tcW w:w="15" w:type="pct"/>
              </w:tcPr>
            </w:tc>
            <w:tc>
              <w:p>
                <w:r>
                  <w:t>This token has no sub or child tokens.</w:t>
                </w:r>
              </w:p>
              <w:tcPr>
                <w:tcW w:w="65" w:type="pct"/>
              </w:tcPr>
            </w:tc>
          </w:tr>
          <w:tr>
            <w:tc>
              <w:p>
                <w:r>
                  <w:t>Token Type:</w:t>
                </w:r>
              </w:p>
              <w:tcPr>
                <w:tcW w:w="20" w:type="pct"/>
              </w:tcPr>
            </w:tc>
            <w:tc>
              <w:p>
                <w:r>
                  <w:t>NonFungible</w:t>
                </w:r>
              </w:p>
              <w:tcPr>
                <w:tcW w:w="15" w:type="pct"/>
              </w:tcPr>
            </w:tc>
            <w:tc>
              <w:p>
                <w:r>
                  <w:t>This token is not interchangeable with other tokens of the same type as they have different values.</w:t>
                </w:r>
              </w:p>
              <w:tcPr>
                <w:tcW w:w="65" w:type="pct"/>
              </w:tcPr>
            </w:tc>
          </w:tr>
          <w:tr>
            <w:tc>
              <w:p>
                <w:r>
                  <w:t>Token Unit:</w:t>
                </w:r>
              </w:p>
              <w:tcPr>
                <w:tcW w:w="20" w:type="pct"/>
              </w:tcPr>
            </w:tc>
            <w:tc>
              <w:p>
                <w:r>
                  <w:t>Singleton</w:t>
                </w:r>
              </w:p>
              <w:tcPr>
                <w:tcW w:w="15" w:type="pct"/>
              </w:tcPr>
            </w:tc>
            <w:tc>
              <w:p>
                <w:r>
                  <w:t>There is only one instance of this token and it cannot be subdivided.</w:t>
                </w:r>
              </w:p>
              <w:tcPr>
                <w:tcW w:w="65" w:type="pct"/>
              </w:tcPr>
            </w:tc>
          </w:tr>
          <w:tr>
            <w:tc>
              <w:p>
                <w:r>
                  <w:t>Value Type:</w:t>
                </w:r>
              </w:p>
              <w:tcPr>
                <w:tcW w:w="20" w:type="pct"/>
              </w:tcPr>
            </w:tc>
            <w:tc>
              <w:p>
                <w:r>
                  <w:t>Reference</w:t>
                </w:r>
              </w:p>
              <w:tcPr>
                <w:tcW w:w="15" w:type="pct"/>
              </w:tcPr>
            </w:tc>
            <w:tc>
              <w:p>
                <w:r>
                  <w:t>This token is a receipt or title to a material item, property or right. The token represents a reference to the value, can be owned or used digitally via its token. Sometimes referred to as a digital twin.</w:t>
                </w:r>
              </w:p>
              <w:tcPr>
                <w:tcW w:w="65" w:type="pct"/>
              </w:tcPr>
            </w:tc>
          </w:tr>
          <w:tr>
            <w:tc>
              <w:p>
                <w:r>
                  <w:t>Representation Type:</w:t>
                </w:r>
              </w:p>
              <w:tcPr>
                <w:tcW w:w="20" w:type="pct"/>
              </w:tcPr>
            </w:tc>
            <w:tc>
              <w:p>
                <w:r>
                  <w:t>Common</w:t>
                </w:r>
              </w:p>
              <w:tcPr>
                <w:tcW w:w="15" w:type="pct"/>
              </w:tcPr>
            </w:tc>
            <w:tc>
              <w:p>
                <w:r>
                  <w:t>This token is simply represented as a balance or quantity attributed to an owner address where all the balances are recorded on the same balance sheet, like a bank account. All instances can easily share common properties and locating them is simple.</w:t>
                </w:r>
              </w:p>
              <w:tcPr>
                <w:tcW w:w="65" w:type="pct"/>
              </w:tcPr>
            </w:tc>
          </w:tr>
        </w:tbl>
      </w:r>
    </w:p>
    <w:p>
      <w:pPr>
        <w:pStyle w:val="Quote"/>
        <w:jc w:val="left"/>
      </w:pPr>
      <w:r>
        <w:t>A singleton is a non-subdividable whole token with a quantity of 1. Generally used to represent digital or physical items where there will be a single owner. A singleton implies non-subdividable, so the decimal value for the base token should be 0 and a total Quantity be 1, both are established upon creation. This singleton is transferable</w:t>
      </w:r>
    </w:p>
    <w:p>
      <w:pPr>
        <w:pStyle w:val="Heading3"/>
        <w:jc w:val="left"/>
      </w:pPr>
      <w:r>
        <w:t>Example</w:t>
      </w:r>
    </w:p>
    <w:p>
      <w:pPr>
        <w:pStyle w:val="Normal"/>
        <w:jc w:val="left"/>
      </w:pPr>
      <w:r>
        <w:t>This token could be used to represent an original work of art like a painting.</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Painting</w:t>
                </w:r>
              </w:p>
            </w:tc>
            <w:tc>
              <w:p>
                <w:r>
                  <w:t>A token representing ownership of an original, single piece of art like a painting.</w:t>
                </w:r>
              </w:p>
            </w:tc>
          </w:tr>
        </w:tbl>
      </w:r>
    </w:p>
    <w:p>
      <w:pPr>
        <w:pStyle w:val="Heading1"/>
        <w:jc w:val="left"/>
      </w:pPr>
      <w:r>
        <w:t>OriginalArt is:</w:t>
      </w:r>
    </w:p>
    <w:p>
      <w:pPr>
        <w:numPr>
          <w:ilvl w:val="0"/>
          <w:numId w:val="1"/>
        </w:numPr>
        <w:spacing w:after="0"/>
        <w:ind w:left="720" w:hanging="360"/>
        <w:rPr>
          <w:rFonts w:ascii="Symbol" w:hAnsi="Symbol"/>
        </w:rPr>
      </w:pPr>
      <w:r>
        <w:t>Singleton</w:t>
      </w:r>
    </w:p>
    <w:p>
      <w:pPr>
        <w:numPr>
          <w:ilvl w:val="0"/>
          <w:numId w:val="1"/>
        </w:numPr>
        <w:spacing w:after="0"/>
        <w:ind w:left="720" w:hanging="360"/>
        <w:rPr>
          <w:rFonts w:ascii="Symbol" w:hAnsi="Symbol"/>
        </w:rPr>
      </w:pPr>
      <w:r>
        <w:t>Non-Subdividable</w:t>
      </w:r>
    </w:p>
    <w:p>
      <w:pPr>
        <w:numPr>
          <w:ilvl w:val="0"/>
          <w:numId w:val="1"/>
        </w:numPr>
        <w:spacing w:after="0"/>
        <w:ind w:left="720" w:hanging="360"/>
        <w:rPr>
          <w:rFonts w:ascii="Symbol" w:hAnsi="Symbol"/>
        </w:rPr>
      </w:pPr>
      <w:r>
        <w:t>Transferable</w:t>
      </w:r>
    </w:p>
    <w:p>
      <w:pPr>
        <w:pStyle w:val="Heading1"/>
        <w:jc w:val="center"/>
      </w:pPr>
      <w:r>
        <w:t>OriginalArt Details</w:t>
      </w:r>
    </w:p>
    <w:p>
      <w:pPr>
        <w:pStyle w:val="Heading2"/>
        <w:jc w:val="center"/>
      </w:pPr>
      <w:r>
        <w:t xml:space="preserve">Singleton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Singleton</w:t>
            </w:r>
          </w:p>
          <w:tcPr>
            <w:tcW w:w="70" w:type="pct"/>
          </w:tcPr>
        </w:tc>
      </w:tr>
      <w:tr>
        <w:tc>
          <w:p>
            <w:r>
              <w:t>Id:</w:t>
            </w:r>
          </w:p>
          <w:tcPr>
            <w:tcW w:w="30" w:type="pct"/>
          </w:tcPr>
        </w:tc>
        <w:tc>
          <w:p>
            <w:r>
              <w:t>53101d87-3c93-4d8b-ab39-1e629406d062</w:t>
            </w:r>
          </w:p>
          <w:tcPr>
            <w:tcW w:w="70" w:type="pct"/>
          </w:tcPr>
        </w:tc>
      </w:tr>
      <w:tr>
        <w:tc>
          <w:p>
            <w:r>
              <w:t>Visual:</w:t>
            </w:r>
          </w:p>
          <w:tcPr>
            <w:tcW w:w="30" w:type="pct"/>
          </w:tcPr>
        </w:tc>
        <w:tc>
          <w:p>
            <w:r>
              <w:t>&amp;tau&lt;sub&gt;N&lt;/sub&gt;{&lt;i&gt;s&lt;/i&gt;}</w:t>
            </w:r>
          </w:p>
          <w:tcPr>
            <w:tcW w:w="70" w:type="pct"/>
          </w:tcPr>
        </w:tc>
      </w:tr>
      <w:tr>
        <w:tc>
          <w:p>
            <w:r>
              <w:t>Tooling:</w:t>
            </w:r>
          </w:p>
          <w:tcPr>
            <w:tcW w:w="30" w:type="pct"/>
          </w:tcPr>
        </w:tc>
        <w:tc>
          <w:p>
            <w:r>
              <w:t>tN{s}</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restriction on the token in that there can only be 1 whole token in the class and is not subdividable. This behavior is only available to non-fungible base types.  By definition, a Singleton cannot be mintable.</w:t>
      </w:r>
    </w:p>
    <w:p>
      <w:pPr>
        <w:pStyle w:val="Heading2"/>
        <w:jc w:val="left"/>
      </w:pPr>
      <w:r>
        <w:t>Example</w:t>
      </w:r>
    </w:p>
    <w:p>
      <w:pPr>
        <w:pStyle w:val="Normal"/>
        <w:jc w:val="left"/>
      </w:pPr>
      <w:r>
        <w:t>CryptoKitties, Art, Reserved Seat for an event.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Property Title</w:t>
                </w:r>
              </w:p>
            </w:tc>
            <w:tc>
              <w:p>
                <w:r>
                  <w:t>The physical property title, land for example, have the identical look and feel from the paper, colors and seal. The difference between them are the values like property address, plot numbers, etc. These values make the title unique. There are some properties on a class of titles that are the same, like the county or jurisdiction the property is in. For titles that have some shared values and unique values, it may make more sense to define them in the same class.</w:t>
                </w:r>
              </w:p>
            </w:tc>
          </w:tr>
          <w:tr>
            <w:tc>
              <w:p>
                <w:r>
                  <w:t>Art</w:t>
                </w:r>
              </w:p>
            </w:tc>
            <w:tc>
              <w:p>
                <w:r>
                  <w:t>The valuable painting or other unique piece of art may not share any property values with other paintings, unless the artist is extremely prolific in generating tens of thousands of pieces of art, it would make sense to define each piece of art as its own class. Meaning there would be only a single piece of art represented by the token class. If the art cannot be sub-divided, meaning there can be no fractional owners, this token class can be a singleton if the quantity in the class is set to 1. A singleton has only one instance in the class, essentially meaning the class is the instance, and not be sub-dividable and no new tokens can be minted in the class.</w:t>
                </w:r>
              </w:p>
            </w:tc>
          </w:tr>
        </w:tbl>
      </w:r>
    </w:p>
    <w:p>
      <w:pPr>
        <w:pStyle w:val="Heading2"/>
        <w:jc w:val="left"/>
      </w:pPr>
      <w:r>
        <w:t>Comments</w:t>
      </w:r>
    </w:p>
    <w:p>
      <w:pPr>
        <w:pStyle w:val="Normal"/>
        <w:jc w:val="left"/>
      </w:pPr>
      <w:r>
        <w:t>Non-fungible tokens require additional thought about how these tokens may or may not be grouped together in the same class.</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r>
            <w:tc>
              <w:p>
                <w:r>
                  <w:t>Behavior</w:t>
                </w:r>
              </w:p>
            </w:tc>
            <w:tc>
              <w:p>
                <w:r>
                  <w:t>~d</w:t>
                </w:r>
              </w:p>
            </w:tc>
            <w:tc>
              <w:p>
                <w:r>
                  <w:t>non-subdividable</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r>
            <w:tc>
              <w:p>
                <w:r>
                  <w:t>Behavior</w:t>
                </w:r>
              </w:p>
            </w:tc>
            <w:tc>
              <w:p>
                <w:r>
                  <w:t>m</w:t>
                </w:r>
              </w:p>
            </w:tc>
            <w:tc>
              <w:p>
                <w:r>
                  <w:t>f9224e90-3cab-45bf-b5dc-0175121e2ead</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singleton.proto</w:t>
                </w:r>
              </w:p>
            </w:tc>
            <w:tc>
              <w:p>
                <w:r>
                  <w:t/>
                </w:r>
              </w:p>
            </w:tc>
          </w:tr>
          <w:tr>
            <w:tc>
              <w:p>
                <w:r>
                  <w:t>Uml</w:t>
                </w:r>
              </w:p>
            </w:tc>
            <w:tc>
              <w:p>
                <w:r>
                  <w:t>singleton.md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NonFungible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Reference</w:t>
            </w:r>
          </w:p>
          <w:tcPr>
            <w:tcW w:w="70" w:type="pct"/>
          </w:tcPr>
        </w:tc>
      </w:tr>
      <w:tr>
        <w:tc>
          <w:p>
            <w:r>
              <w:t>Token Unit:</w:t>
            </w:r>
          </w:p>
          <w:tcPr>
            <w:tcW w:w="30" w:type="pct"/>
          </w:tcPr>
        </w:tc>
        <w:tc>
          <w:p>
            <w:r>
              <w:t>Singleton</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2"/>
        <w:jc w:val="left"/>
      </w:pPr>
      <w:r>
        <w:t>Behaviors</w:t>
      </w:r>
    </w:p>
    <w:p>
      <w:pPr>
        <w:pStyle w:val="Heading2"/>
        <w:jc w:val="center"/>
      </w:pPr>
      <w:r>
        <w:t xml:space="preserve">Singleton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Singleton</w:t>
            </w:r>
          </w:p>
          <w:tcPr>
            <w:tcW w:w="70" w:type="pct"/>
          </w:tcPr>
        </w:tc>
      </w:tr>
      <w:tr>
        <w:tc>
          <w:p>
            <w:r>
              <w:t>Id:</w:t>
            </w:r>
          </w:p>
          <w:tcPr>
            <w:tcW w:w="30" w:type="pct"/>
          </w:tcPr>
        </w:tc>
        <w:tc>
          <w:p>
            <w:r>
              <w:t>c1189d7a-e142-4504-bf26-44c35b76c9d6</w:t>
            </w:r>
          </w:p>
          <w:tcPr>
            <w:tcW w:w="70" w:type="pct"/>
          </w:tcPr>
        </w:tc>
      </w:tr>
      <w:tr>
        <w:tc>
          <w:p>
            <w:r>
              <w:t>Visual:</w:t>
            </w:r>
          </w:p>
          <w:tcPr>
            <w:tcW w:w="30" w:type="pct"/>
          </w:tcPr>
        </w:tc>
        <w:tc>
          <w:p>
            <w:r>
              <w:t>&lt;i&gt;s&lt;/i&gt;</w:t>
            </w:r>
          </w:p>
          <w:tcPr>
            <w:tcW w:w="70" w:type="pct"/>
          </w:tcPr>
        </w:tc>
      </w:tr>
      <w:tr>
        <w:tc>
          <w:p>
            <w:r>
              <w:t>Tooling:</w:t>
            </w:r>
          </w:p>
          <w:tcPr>
            <w:tcW w:w="30" w:type="pct"/>
          </w:tcPr>
        </w:tc>
        <w:tc>
          <w:p>
            <w:r>
              <w:t>s</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restriction on the token in that there can only be 1 whole token in the class and is not subdividable. This behavior is only available to non-fungible base types.  By definition, a Singleton cannot be mintable.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singleton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tN</w:t>
                </w:r>
              </w:p>
            </w:tc>
            <w:tc>
              <w:p>
                <w:r>
                  <w:t>Singleton must be have a non-fungible base.</w:t>
                </w:r>
              </w:p>
            </w:tc>
          </w:tr>
          <w:tr>
            <w:tc>
              <w:p>
                <w:r>
                  <w:t>Behavior</w:t>
                </w:r>
              </w:p>
            </w:tc>
            <w:tc>
              <w:p>
                <w:r>
                  <w:t>~d</w:t>
                </w:r>
              </w:p>
            </w:tc>
            <w:tc>
              <w:p>
                <w:r>
                  <w:t>Singleton requires non-sub-dividable.</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r>
            <w:tc>
              <w:p>
                <w:r>
                  <w:t>Behavior</w:t>
                </w:r>
              </w:p>
            </w:tc>
            <w:tc>
              <w:p>
                <w:r>
                  <w:t>m</w:t>
                </w:r>
              </w:p>
            </w:tc>
            <w:tc>
              <w:p>
                <w:r>
                  <w:t>f9224e90-3cab-45bf-b5dc-0175121e2ead</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singleton.proto</w:t>
                </w:r>
              </w:p>
            </w:tc>
            <w:tc>
              <w:p>
                <w:r>
                  <w:t/>
                </w:r>
              </w:p>
            </w:tc>
          </w:tr>
          <w:tr>
            <w:tc>
              <w:p>
                <w:r>
                  <w:t>Uml</w:t>
                </w:r>
              </w:p>
            </w:tc>
            <w:tc>
              <w:p>
                <w:r>
                  <w:t>singleton.md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Singleton</w:t>
      </w:r>
    </w:p>
    <w:p>
      <w:pPr>
        <w:pStyle w:val="Heading3"/>
        <w:jc w:val="left"/>
      </w:pPr>
      <w:r>
        <w:t>Taxonomy Symbol: s</w:t>
      </w:r>
    </w:p>
    <w:p>
      <w:pPr>
        <w:pStyle w:val="Quote"/>
        <w:jc w:val="left"/>
      </w:pPr>
      <w:r>
        <w:t>A restriction on the token in that there can only be 1 whole token in the class and is not subdividable. This behavior is only available to non-fungible base types.  By definition, a Singleton cannot be mintable.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singleton analogy 1 description</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Singleton responds to these Invocations</w:t>
      </w:r>
    </w:p>
    <w:p>
      <w:pPr>
        <w:pStyle w:val="Heading3"/>
        <w:jc w:val="left"/>
      </w:pPr>
      <w:r>
        <w:t>Properties</w:t>
      </w:r>
    </w:p>
    <w:p>
      <w:pPr>
        <w:pStyle w:val="Heading2"/>
        <w:jc w:val="center"/>
      </w:pPr>
      <w:r>
        <w:t xml:space="preserve">Non-Subdividable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2"/>
        <w:jc w:val="left"/>
      </w:pPr>
      <w:r>
        <w:t>Example</w:t>
      </w:r>
    </w:p>
    <w:p>
      <w:pPr>
        <w:pStyle w:val="Normal"/>
        <w:jc w:val="left"/>
      </w:pPr>
      <w:r>
        <w:t>Non-subdividable is common for items where subdivision does not make sense, like a property title, inventory item or invoice.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non-subdividable.proto</w:t>
                </w:r>
              </w:p>
            </w:tc>
            <w:tc>
              <w:p>
                <w:r>
                  <w:t/>
                </w:r>
              </w:p>
            </w:tc>
          </w:tr>
          <w:tr>
            <w:tc>
              <w:p>
                <w:r>
                  <w:t>Uml</w:t>
                </w:r>
              </w:p>
            </w:tc>
            <w:tc>
              <w:p>
                <w:r>
                  <w:t>non-subdividable.md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Non-Subdividable</w:t>
      </w:r>
    </w:p>
    <w:p>
      <w:pPr>
        <w:pStyle w:val="Heading3"/>
        <w:jc w:val="left"/>
      </w:pPr>
      <w:r>
        <w:t>Taxonomy Symbol: ~d</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3"/>
        <w:jc w:val="left"/>
      </w:pPr>
      <w:r>
        <w:t>Example</w:t>
      </w:r>
    </w:p>
    <w:p>
      <w:pPr>
        <w:pStyle w:val="Normal"/>
        <w:jc w:val="left"/>
      </w:pPr>
      <w:r>
        <w:t>Non-subdividable is common for items where subdivision does not make sense, like a property title, inventory item or invoice.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Non-Subdividable responds to these Invocations</w:t>
      </w:r>
    </w:p>
    <w:p>
      <w:pPr>
        <w:pStyle w:val="Heading3"/>
        <w:jc w:val="left"/>
      </w:pPr>
      <w:r>
        <w:t>Properties</w:t>
      </w:r>
    </w:p>
    <w:p>
      <w:pPr>
        <w:pStyle w:val="Heading4"/>
        <w:jc w:val="left"/>
      </w:pPr>
      <w:r>
        <w:t>Name: Decimals</w:t>
      </w:r>
    </w:p>
    <w:p>
      <w:pPr>
        <w:pStyle w:val="Normal"/>
        <w:jc w:val="left"/>
      </w:pPr>
      <w:r>
        <w:t>Value Description: Set to Zero, not allowing any subdivision, usually this is applied to the base token.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3"/>
        <w:jc w:val="left"/>
      </w:pPr>
      <w:r>
        <w:t>Properties</w:t>
      </w:r>
    </w:p>
    <w:p>
      <w:pPr>
        <w:pStyle w:val="Heading2"/>
        <w:jc w:val="center"/>
      </w:pPr>
      <w:r>
        <w:t xml:space="preserve">Transferable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a4fa4ca8-6afd-452b-91f5-7103b6fee5e5</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If the token is Delegable, TransferFrom should be enabled.</w:t>
                </w:r>
              </w:p>
            </w:tc>
            <w:tc>
              <w:p>
                <w:r>
                  <w:t>g</w:t>
                </w:r>
              </w:p>
            </w:tc>
            <w:tc>
              <w:p>
                <w:r>
                  <w:t>[ ]</w:t>
                </w:r>
              </w:p>
            </w:tc>
          </w:tr>
          <w:tr>
            <w:tc>
              <w:p>
                <w:r>
                  <w:t>If Compliance is present, a CheckTransferAllowed request has to be made and verified before a Transfer request or a TransferFrom request.</w:t>
                </w:r>
              </w:p>
            </w:tc>
            <w:tc>
              <w:p>
                <w:r>
                  <w:t>c</w:t>
                </w:r>
              </w:p>
            </w:tc>
            <w:tc>
              <w:p>
                <w:r>
                  <w:t>[ ]</w:t>
                </w:r>
              </w:p>
            </w:tc>
          </w:tr>
          <w:tr>
            <w:tc>
              <w:p>
                <w:r>
                  <w:t>If issuable is present, an AcceptTokenRequest from the token issuer, in response to a RequestTokens, has to be made and verified before a Transfer request.</w:t>
                </w:r>
              </w:p>
            </w:tc>
            <w:tc>
              <w:p>
                <w:r>
                  <w:t>i</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transferable.proto</w:t>
                </w:r>
              </w:p>
            </w:tc>
            <w:tc>
              <w:p>
                <w:r>
                  <w:t/>
                </w:r>
              </w:p>
            </w:tc>
          </w:tr>
          <w:tr>
            <w:tc>
              <w:p>
                <w:r>
                  <w:t>Uml</w:t>
                </w:r>
              </w:p>
            </w:tc>
            <w:tc>
              <w:p>
                <w:r>
                  <w:t>transferable.md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Transferable</w:t>
      </w:r>
    </w:p>
    <w:p>
      <w:pPr>
        <w:pStyle w:val="Heading3"/>
        <w:jc w:val="left"/>
      </w:pPr>
      <w:r>
        <w:t>Taxonomy Symbol: t</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Transferable responds to these Invocations</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Normal"/>
        <w:jc w:val="center"/>
      </w:pPr>
      <w:r>
        <w:t/>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TransferFromRequest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TransferFromResponse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Normal"/>
        <w:jc w:val="center"/>
      </w:pPr>
      <w:r>
        <w:t/>
      </w:r>
    </w:p>
    <w:p>
      <w:pPr>
        <w:pStyle w:val="Heading3"/>
        <w:jc w:val="left"/>
      </w:pPr>
      <w:r>
        <w:t>Properties</w:t>
      </w:r>
    </w:p>
  </w:body>
</w:document>
</file>

<file path=word/footer1.xml><?xml version="1.0" encoding="utf-8"?>
<w:ftr xmlns:w="http://schemas.openxmlformats.org/wordprocessingml/2006/main">
  <w:p>
    <w:pPr>
      <w:pStyle w:val="Footer"/>
    </w:pPr>
    <w:r>
      <w:t>OriginalArt - c35abe12699036c5e26768cbaead1ff5d2479596aa6c54c08ae190e69471ac0e</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numbering.xml><?xml version="1.0" encoding="utf-8"?>
<w:numbering xmlns:w="http://schemas.openxmlformats.org/wordprocessingml/2006/main">
  <w:abstractNum w:abstractNumId="1">
    <w:lvl w:ilvl="0">
      <w:numFmt w:val="bullet"/>
      <w:lvlText w:val="·"/>
    </w:lvl>
  </w:abstractNum>
  <w:num w:numId="1">
    <w:abstractNumId w:val="1"/>
  </w:num>
</w:numbering>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88a3f58df5254e75" /><Relationship Type="http://schemas.openxmlformats.org/officeDocument/2006/relationships/numbering" Target="/word/numbering.xml" Id="NumberingDefinitionsPart001" /><Relationship Type="http://schemas.openxmlformats.org/officeDocument/2006/relationships/header" Target="/word/header1.xml" Id="Rfe9c9cf8d2504acf" /><Relationship Type="http://schemas.openxmlformats.org/officeDocument/2006/relationships/footer" Target="/word/footer1.xml" Id="Rfd30a9d1ae6d499e"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