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de641c8ebe54541" /></Relationships>
</file>

<file path=word/document.xml><?xml version="1.0" encoding="utf-8"?>
<w:document xmlns:w="http://schemas.openxmlformats.org/wordprocessingml/2006/main">
  <w:body>
    <w:footerReference xmlns:r="http://schemas.openxmlformats.org/officeDocument/2006/relationships" r:id="Rc9f50e091d974922"/>
    <w:headerReference xmlns:r="http://schemas.openxmlformats.org/officeDocument/2006/relationships" r:id="Rae9f9d6b835a4551"/>
    <w:p>
      <w:pPr>
        <w:pStyle w:val="Title"/>
        <w:jc w:val="center"/>
      </w:pPr>
      <w:r>
        <w:t xml:space="preserve">ReservedTicket</w:t>
      </w:r>
    </w:p>
    <w:p>
      <w:pPr>
        <w:pStyle w:val="Heading2"/>
        <w:jc w:val="left"/>
      </w:pPr>
      <w:r>
        <w:t>Contributors</w:t>
      </w:r>
    </w:p>
    <w:p>
      <w:pPr>
        <w:pStyle w:val="Normal"/>
        <w:jc w:val="left"/>
      </w:pPr>
      <w:r>
        <w:tbl>
          <w:tblPr>
            <w:tblStyle w:val="GridTable4-Accent1"/>
          </w:tblPr>
          <w:tr>
            <w:tc>
              <w:p>
                <w:r>
                  <w:t>Name</w:t>
                </w:r>
              </w:p>
              <w:tcPr>
                <w:tcW w:w="15" w:type="pct"/>
              </w:tcPr>
            </w:tc>
            <w:tc>
              <w:p>
                <w:r>
                  <w:t>Organization</w:t>
                </w:r>
              </w:p>
              <w:tcPr>
                <w:tcW w:w="15" w:type="pct"/>
              </w:tcPr>
            </w:tc>
          </w:tr>
          <w:tr>
            <w:tc>
              <w:p>
                <w:r>
                  <w:t>Marley Gray</w:t>
                </w:r>
              </w:p>
            </w:tc>
            <w:tc>
              <w:p>
                <w:r>
                  <w:t>Microsoft</w:t>
                </w:r>
              </w:p>
            </w:tc>
          </w:tr>
        </w:tbl>
      </w:r>
    </w:p>
    <w:p>
      <w:pPr>
        <w:pStyle w:val="Heading3"/>
        <w:jc w:val="center"/>
      </w:pPr>
      <w:r>
        <w:t>Taxonomy Formula: tN{~d,t,g,SC}</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Whole</w:t>
                </w:r>
              </w:p>
              <w:tcPr>
                <w:tcW w:w="15" w:type="pct"/>
              </w:tcPr>
            </w:tc>
            <w:tc>
              <w:p>
                <w:r>
                  <w:t>There can be many instances of this token, but they cannot be subdivided.</w:t>
                </w:r>
              </w:p>
              <w:tcPr>
                <w:tcW w:w="65" w:type="pct"/>
              </w:tcPr>
            </w:tc>
          </w:tr>
          <w:tr>
            <w:tc>
              <w:p>
                <w:r>
                  <w:t>Value Type:</w:t>
                </w:r>
              </w:p>
              <w:tcPr>
                <w:tcW w:w="20" w:type="pct"/>
              </w:tcPr>
            </w:tc>
            <w:tc>
              <w:p>
                <w:r>
                  <w:t>Reference</w:t>
                </w:r>
              </w:p>
              <w:tcPr>
                <w:tcW w:w="15" w:type="pct"/>
              </w:tcPr>
            </w:tc>
            <w:tc>
              <w:p>
                <w:r>
                  <w:t>This token is a receipt or title to a material item, property or right. The token represents a reference to the value, can be owned or used digitally via its token. Sometimes referred to as a digital twin.</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This is a Variable Supply Whole Non-Fungible where the total supply can vary. The tokens in this class will be of the same series, sharing those properties, but also have unique values like seat number. It is Whole by setting the Decimals property on the subdividable behavior = 0. A token instance can be burned.</w:t>
      </w:r>
    </w:p>
    <w:p>
      <w:pPr>
        <w:pStyle w:val="Heading3"/>
        <w:jc w:val="left"/>
      </w:pPr>
      <w:r>
        <w:t>Example</w:t>
      </w:r>
    </w:p>
    <w:p>
      <w:pPr>
        <w:pStyle w:val="Normal"/>
        <w:jc w:val="left"/>
      </w:pPr>
      <w:r>
        <w:t>This token can be used to represent a unique item in a shared context, like a reserved seat at a concert.</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Reserved Seating</w:t>
                </w:r>
              </w:p>
            </w:tc>
            <w:tc>
              <w:p>
                <w:r>
                  <w:t>All tokens in the class share the venue, date and time for the event, but have a unique seat number.</w:t>
                </w:r>
              </w:p>
            </w:tc>
          </w:tr>
        </w:tbl>
      </w:r>
    </w:p>
    <w:p>
      <w:pPr>
        <w:pStyle w:val="Heading1"/>
        <w:jc w:val="left"/>
      </w:pPr>
      <w:r>
        <w:t>ReservedTicket is:</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Delegable</w:t>
      </w:r>
    </w:p>
    <w:p>
      <w:pPr>
        <w:pStyle w:val="Heading1"/>
        <w:jc w:val="center"/>
      </w:pPr>
      <w:r>
        <w:t>ReservedTicket Details</w:t>
      </w:r>
    </w:p>
    <w:p>
      <w:pPr>
        <w:pStyle w:val="Heading2"/>
        <w:jc w:val="center"/>
      </w:pPr>
      <w:r>
        <w:t xml:space="preserve">Whole Non-Fungible Token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Whole Non-Fungible Token</w:t>
            </w:r>
          </w:p>
          <w:tcPr>
            <w:tcW w:w="70" w:type="pct"/>
          </w:tcPr>
        </w:tc>
      </w:tr>
      <w:tr>
        <w:tc>
          <w:p>
            <w:r>
              <w:t>Id:</w:t>
            </w:r>
          </w:p>
          <w:tcPr>
            <w:tcW w:w="30" w:type="pct"/>
          </w:tcPr>
        </w:tc>
        <w:tc>
          <w:p>
            <w:r>
              <w:t>3c05a856-c901-4c30-917e-df9feed1c8de</w:t>
            </w:r>
          </w:p>
          <w:tcPr>
            <w:tcW w:w="70" w:type="pct"/>
          </w:tcPr>
        </w:tc>
      </w:tr>
      <w:tr>
        <w:tc>
          <w:p>
            <w:r>
              <w:t>Visual:</w:t>
            </w:r>
          </w:p>
          <w:tcPr>
            <w:tcW w:w="30" w:type="pct"/>
          </w:tcPr>
        </w:tc>
        <w:tc>
          <w:p>
            <w:r>
              <w:t>&amp;tau&lt;sub&gt;N&lt;/sub&gt;{&lt;i&gt;~d&lt;/i&gt;}</w:t>
            </w:r>
          </w:p>
          <w:tcPr>
            <w:tcW w:w="70" w:type="pct"/>
          </w:tcPr>
        </w:tc>
      </w:tr>
      <w:tr>
        <w:tc>
          <w:p>
            <w:r>
              <w:t>Tooling:</w:t>
            </w:r>
          </w:p>
          <w:tcPr>
            <w:tcW w:w="30" w:type="pct"/>
          </w:tcPr>
        </w:tc>
        <w:tc>
          <w:p>
            <w:r>
              <w:t>tN{~d}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non-fungible token is unique. A non-fungible token is not interchangeable with other tokens of the same class but have some shared properties while also having unique property values between instances. These tokens are whole tokens and can have quantities greater than 1 and also could support variable supply.</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Reference</w:t>
            </w:r>
          </w:p>
          <w:tcPr>
            <w:tcW w:w="70" w:type="pct"/>
          </w:tcPr>
        </w:tc>
      </w:tr>
      <w:tr>
        <w:tc>
          <w:p>
            <w:r>
              <w:t>Token Unit:</w:t>
            </w:r>
          </w:p>
          <w:tcPr>
            <w:tcW w:w="30" w:type="pct"/>
          </w:tcPr>
        </w:tc>
        <w:tc>
          <w:p>
            <w:r>
              <w:t>Whole</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0</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 usually this is applied to the base token.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r>
            <w:tc>
              <w:p>
                <w:r>
                  <w:t>If issuable is present, an AcceptTokenRequest from the token issuer, in response to a RequestTokens, has to be made and verified before a Transfer request.</w:t>
                </w:r>
              </w:p>
            </w:tc>
            <w:tc>
              <w:p>
                <w:r>
                  <w:t>i</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Delegable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Delegable</w:t>
            </w:r>
          </w:p>
          <w:tcPr>
            <w:tcW w:w="70" w:type="pct"/>
          </w:tcPr>
        </w:tc>
      </w:tr>
      <w:tr>
        <w:tc>
          <w:p>
            <w:r>
              <w:t>Id:</w:t>
            </w:r>
          </w:p>
          <w:tcPr>
            <w:tcW w:w="30" w:type="pct"/>
          </w:tcPr>
        </w:tc>
        <w:tc>
          <w:p>
            <w:r>
              <w:t>a3d02076-6009-4a65-9ed4-2deffe5291e1</w:t>
            </w:r>
          </w:p>
          <w:tcPr>
            <w:tcW w:w="70" w:type="pct"/>
          </w:tcPr>
        </w:tc>
      </w:tr>
      <w:tr>
        <w:tc>
          <w:p>
            <w:r>
              <w:t>Visual:</w:t>
            </w:r>
          </w:p>
          <w:tcPr>
            <w:tcW w:w="30" w:type="pct"/>
          </w:tcPr>
        </w:tc>
        <w:tc>
          <w:p>
            <w:r>
              <w:t>&lt;i&gt;g&lt;/i&gt;</w:t>
            </w:r>
          </w:p>
          <w:tcPr>
            <w:tcW w:w="70" w:type="pct"/>
          </w:tcPr>
        </w:tc>
      </w:tr>
      <w:tr>
        <w:tc>
          <w:p>
            <w:r>
              <w:t>Tooling:</w:t>
            </w:r>
          </w:p>
          <w:tcPr>
            <w:tcW w:w="30" w:type="pct"/>
          </w:tcPr>
        </w:tc>
        <w:tc>
          <w:p>
            <w:r>
              <w:t>g</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2"/>
        <w:jc w:val="left"/>
      </w:pPr>
      <w:r>
        <w:t>Comments</w:t>
      </w:r>
    </w:p>
    <w:p>
      <w:pPr>
        <w:pStyle w:val="Normal"/>
        <w:jc w:val="left"/>
      </w:pPr>
      <w:r>
        <w:t>Applied to behaviors that are Delegable.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delegable.proto</w:t>
                </w:r>
              </w:p>
            </w:tc>
            <w:tc>
              <w:p>
                <w:r>
                  <w:t/>
                </w:r>
              </w:p>
            </w:tc>
          </w:tr>
          <w:tr>
            <w:tc>
              <w:p>
                <w:r>
                  <w:t>Uml</w:t>
                </w:r>
              </w:p>
            </w:tc>
            <w:tc>
              <w:p>
                <w:r>
                  <w:t>delegable.md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Delegable</w:t>
      </w:r>
    </w:p>
    <w:p>
      <w:pPr>
        <w:pStyle w:val="Heading3"/>
        <w:jc w:val="left"/>
      </w:pPr>
      <w:r>
        <w:t>Taxonomy Symbol: g</w:t>
      </w:r>
    </w:p>
    <w:p>
      <w:pPr>
        <w:pStyle w:val="Quote"/>
        <w:jc w:val="left"/>
      </w:pPr>
      <w:r>
        <w:t>A token class that implements this behavior will support the delegation of certain behaviors to another party or account to invoke them on the behalf of the owner. When applied to a token, behaviors that are Delegable will enable delegated request invocations. This is useful to provide another party to automatically be able to perform the behaviors that can be delegated without seeking permission up to a certain allowance.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Broker</w:t>
                </w:r>
              </w:p>
            </w:tc>
            <w:tc>
              <w:p>
                <w:r>
                  <w:t>You may allow a broker to transfer your tokens as a part of an investment strategy. Setting an allowance can cap the total number of tokens the broker is allowed to perform delegated behaviors, when exceeded a new allowance request will need to be granted.</w:t>
                </w:r>
              </w:p>
            </w:tc>
          </w:tr>
        </w:tbl>
      </w:r>
    </w:p>
    <w:p>
      <w:pPr>
        <w:pStyle w:val="Heading3"/>
        <w:jc w:val="left"/>
      </w:pPr>
      <w:r>
        <w:t>Comments</w:t>
      </w:r>
    </w:p>
    <w:p>
      <w:pPr>
        <w:pStyle w:val="Normal"/>
        <w:jc w:val="left"/>
      </w:pPr>
      <w:r>
        <w:t>Applied to behaviors that are Delegable.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Delegable responds to these Invocations</w:t>
      </w:r>
    </w:p>
    <w:p>
      <w:pPr>
        <w:pStyle w:val="Heading4"/>
        <w:jc w:val="left"/>
      </w:pPr>
      <w:r>
        <w:t>Allowance</w:t>
      </w:r>
    </w:p>
    <w:p>
      <w:pPr>
        <w:pStyle w:val="Normal"/>
        <w:jc w:val="left"/>
      </w:pPr>
      <w:r>
        <w:t>Id: 2e0fd8e5-2090-4c62-b094-232c32a78022</w:t>
      </w:r>
    </w:p>
    <w:p>
      <w:pPr>
        <w:pStyle w:val="Normal"/>
        <w:jc w:val="left"/>
      </w:pPr>
      <w:r>
        <w:t>Description: A Request by a party or account to the owner of a token(s) to have the right to perform a delegated behavior on their behalf.</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AllowanceResponse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allowance requestor.</w:t>
                </w:r>
              </w:p>
            </w:tc>
          </w:tr>
        </w:tbl>
      </w:r>
    </w:p>
    <w:p>
      <w:pPr>
        <w:pStyle w:val="Normal"/>
        <w:jc w:val="center"/>
      </w:pPr>
      <w:r>
        <w:t/>
      </w:r>
    </w:p>
    <w:p>
      <w:pPr>
        <w:pStyle w:val="Heading4"/>
        <w:jc w:val="left"/>
      </w:pPr>
      <w:r>
        <w:t>Approve Allowance</w:t>
      </w:r>
    </w:p>
    <w:p>
      <w:pPr>
        <w:pStyle w:val="Normal"/>
        <w:jc w:val="left"/>
      </w:pPr>
      <w:r>
        <w:t>Id: 6d5df99d-2f5e-4c7a-aea4-d2d54176abfd</w:t>
      </w:r>
    </w:p>
    <w:p>
      <w:pPr>
        <w:pStyle w:val="Normal"/>
        <w:jc w:val="left"/>
      </w:pPr>
      <w:r>
        <w:t>Description: Same control message as the AllowanceRequest.  This could allow for an AllowanceRequest to be forwarded to multiple parties needed to Approve and shield this from the requestor. When all Approvals are obtained, an AllowanceResponse could be sent.</w:t>
      </w:r>
    </w:p>
    <w:p>
      <w:pPr>
        <w:pStyle w:val="Heading5"/>
        <w:jc w:val="left"/>
      </w:pPr>
      <w:r>
        <w:t>Request Message:</w:t>
      </w:r>
    </w:p>
    <w:p>
      <w:pPr>
        <w:pStyle w:val="Normal"/>
        <w:jc w:val="left"/>
      </w:pPr>
      <w:r>
        <w:t>AllowanceRequest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Number of Tokens to be allowed.</w:t>
                </w:r>
              </w:p>
            </w:tc>
          </w:tr>
        </w:tbl>
      </w:r>
    </w:p>
    <w:p>
      <w:pPr>
        <w:pStyle w:val="Heading5"/>
        <w:jc w:val="left"/>
      </w:pPr>
      <w:r>
        <w:t>Response Message</w:t>
      </w:r>
    </w:p>
    <w:p>
      <w:pPr>
        <w:pStyle w:val="Normal"/>
        <w:jc w:val="left"/>
      </w:pPr>
      <w:r>
        <w:t>ApproveResponse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Normal"/>
        <w:jc w:val="center"/>
      </w:pPr>
      <w:r>
        <w:t/>
      </w:r>
    </w:p>
    <w:p>
      <w:pPr>
        <w:pStyle w:val="Heading3"/>
        <w:jc w:val="left"/>
      </w:pPr>
      <w:r>
        <w:t>Properties</w:t>
      </w:r>
    </w:p>
  </w:body>
</w:document>
</file>

<file path=word/footer1.xml><?xml version="1.0" encoding="utf-8"?>
<w:ftr xmlns:w="http://schemas.openxmlformats.org/wordprocessingml/2006/main">
  <w:p>
    <w:pPr>
      <w:pStyle w:val="Footer"/>
    </w:pPr>
    <w:r>
      <w:t>ReservedTicket - 7bef1af9267481a95e8ccb09da0f92de9715315820765c0cc02564129adaab3b</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a0a6af94d5874116" /><Relationship Type="http://schemas.openxmlformats.org/officeDocument/2006/relationships/numbering" Target="/word/numbering.xml" Id="NumberingDefinitionsPart001" /><Relationship Type="http://schemas.openxmlformats.org/officeDocument/2006/relationships/header" Target="/word/header1.xml" Id="Rae9f9d6b835a4551" /><Relationship Type="http://schemas.openxmlformats.org/officeDocument/2006/relationships/footer" Target="/word/footer1.xml" Id="Rc9f50e091d974922"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