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赢时胜核心流水自动查询流程需求说明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新建</w:t>
            </w: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时爱家</w:t>
            </w: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2023年11月22日</w:t>
            </w: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3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1200"/>
        <w:gridCol w:w="960"/>
        <w:gridCol w:w="1725"/>
        <w:gridCol w:w="880"/>
        <w:gridCol w:w="1206"/>
        <w:gridCol w:w="120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2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jc w:val="righ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运营管理部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赵伟民</w:t>
            </w:r>
          </w:p>
        </w:tc>
        <w:tc>
          <w:tcPr>
            <w:tcW w:w="97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机器人自动登录赢时胜系统，下载产品信息报表，并读取产品代码，按照固定数量进行查询审核操作</w:t>
            </w:r>
          </w:p>
        </w:tc>
        <w:tc>
          <w:tcPr>
            <w:tcW w:w="49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每日1次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12h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</w:rPr>
              <w:t>2023-06-0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</w:p>
        </w:tc>
        <w:tc>
          <w:tcPr>
            <w:tcW w:w="6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</w:rPr>
              <w:t>2023-06-05</w:t>
            </w: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6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6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6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6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6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6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6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6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6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  <w:bookmarkStart w:id="9" w:name="_GoBack"/>
      <w:bookmarkEnd w:id="9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机器人自动登录赢时胜系统，下载产品信息报表，并读取产品代码，按照固定数量进行查询审核操作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每日1次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赢时胜系统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Wps、chrome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lang w:eastAsia="zh-CN"/>
        </w:rPr>
      </w:pPr>
      <w:r>
        <w:drawing>
          <wp:inline distT="0" distB="0" distL="114300" distR="114300">
            <wp:extent cx="5486400" cy="2725420"/>
            <wp:effectExtent l="0" t="0" r="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pStyle w:val="3"/>
        <w:spacing w:before="0" w:after="0"/>
        <w:rPr>
          <w:rFonts w:hint="default"/>
          <w:i/>
          <w:color w:val="4F81BD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登录赢时胜系统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全选所有数据，点击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导出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导出所有页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读取下载完成的产品信息表，并根据产品代码进行分组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支付平台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账户查询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依次在搜索框输入分组完成的产品代码，分别点击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查询按钮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全选框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直到流程停止运行</w:t>
      </w:r>
    </w:p>
    <w:p>
      <w:pPr>
        <w:rPr>
          <w:rFonts w:hint="default"/>
          <w:lang w:val="en-US" w:eastAsia="zh-CN"/>
        </w:rPr>
        <w:sectPr>
          <w:footerReference r:id="rId6" w:type="first"/>
          <w:headerReference r:id="rId4" w:type="default"/>
          <w:footerReference r:id="rId5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tbl>
      <w:tblPr>
        <w:tblStyle w:val="2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2378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numPr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登录赢时胜系统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206625" cy="1526540"/>
                  <wp:effectExtent l="0" t="0" r="3175" b="165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numPr>
                <w:numId w:val="0"/>
              </w:num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分别选择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产品管理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产品信息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并全选所有数据，点击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导出所有页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155950" cy="1457960"/>
                  <wp:effectExtent l="0" t="0" r="635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0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读取下载完成的产品信息表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选择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支付平台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账户查询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217545" cy="1651000"/>
                  <wp:effectExtent l="0" t="0" r="190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" w:type="pct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>
            <w:pPr>
              <w:pStyle w:val="3"/>
              <w:spacing w:before="0" w:after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依次进行查询</w:t>
            </w:r>
          </w:p>
        </w:tc>
        <w:tc>
          <w:tcPr>
            <w:tcW w:w="3374" w:type="pct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  <w:sectPr>
          <w:headerReference r:id="rId7" w:type="first"/>
          <w:footerReference r:id="rId8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可进行人工手动运行，不影响正常生产环境运行</w:t>
      </w: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登录环境密码是否异常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3671"/>
        <w:gridCol w:w="456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9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  <w:docPartObj>
        <w:docPartGallery w:val="autotext"/>
      </w:docPartObj>
    </w:sdtPr>
    <w:sdtContent>
      <w:sdt>
        <w:sdtPr>
          <w:id w:val="230274369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  <w:docPartObj>
        <w:docPartGallery w:val="autotext"/>
      </w:docPartObj>
    </w:sdtPr>
    <w:sdtContent>
      <w:sdt>
        <w:sdtPr>
          <w:id w:val="-1796212147"/>
          <w:docPartObj>
            <w:docPartGallery w:val="autotext"/>
          </w:docPartObj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val="en-US" w:eastAsia="zh-CN"/>
      </w:rPr>
      <w:t xml:space="preserve">              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val="en-US" w:eastAsia="zh-CN"/>
      </w:rPr>
      <w:tab/>
      <w:t xml:space="preserve">                                                     </w:t>
    </w:r>
    <w:r>
      <w:rPr>
        <w:rFonts w:hint="eastAsia"/>
        <w:lang w:eastAsia="zh-CN"/>
      </w:rPr>
      <w:t>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4191DE"/>
    <w:multiLevelType w:val="singleLevel"/>
    <w:tmpl w:val="F2419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1761E4"/>
    <w:rsid w:val="02400D24"/>
    <w:rsid w:val="05D22D9C"/>
    <w:rsid w:val="0B013438"/>
    <w:rsid w:val="0B241EC5"/>
    <w:rsid w:val="106F45A6"/>
    <w:rsid w:val="185508FC"/>
    <w:rsid w:val="19D33575"/>
    <w:rsid w:val="1D611629"/>
    <w:rsid w:val="208169DD"/>
    <w:rsid w:val="20BA2963"/>
    <w:rsid w:val="2C4B4D6A"/>
    <w:rsid w:val="366377E0"/>
    <w:rsid w:val="37F706FA"/>
    <w:rsid w:val="38B40F50"/>
    <w:rsid w:val="3C63193B"/>
    <w:rsid w:val="3F4E0002"/>
    <w:rsid w:val="4290657D"/>
    <w:rsid w:val="457B5BD5"/>
    <w:rsid w:val="49B1568F"/>
    <w:rsid w:val="4D241A43"/>
    <w:rsid w:val="54FD2CF5"/>
    <w:rsid w:val="58467FE5"/>
    <w:rsid w:val="587205CE"/>
    <w:rsid w:val="59114ADB"/>
    <w:rsid w:val="5C3A5FD7"/>
    <w:rsid w:val="654B7E48"/>
    <w:rsid w:val="65C738FD"/>
    <w:rsid w:val="67C77592"/>
    <w:rsid w:val="6D542AA1"/>
    <w:rsid w:val="6E851038"/>
    <w:rsid w:val="6EC20CBF"/>
    <w:rsid w:val="6FCB252C"/>
    <w:rsid w:val="702F4A26"/>
    <w:rsid w:val="72575FCB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table" w:styleId="24">
    <w:name w:val="Table Grid"/>
    <w:basedOn w:val="23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7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5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qFormat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qFormat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5"/>
    <w:link w:val="3"/>
    <w:qFormat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231</Words>
  <Characters>1320</Characters>
  <Lines>11</Lines>
  <Paragraphs>3</Paragraphs>
  <TotalTime>3</TotalTime>
  <ScaleCrop>false</ScaleCrop>
  <LinksUpToDate>false</LinksUpToDate>
  <CharactersWithSpaces>1548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user</cp:lastModifiedBy>
  <dcterms:modified xsi:type="dcterms:W3CDTF">2023-11-22T07:40:17Z</dcterms:modified>
  <dc:title>UiBot 部署说明书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4D1B580FC040432887E2BEC028328281</vt:lpwstr>
  </property>
</Properties>
</file>