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72"/>
          <w:szCs w:val="72"/>
          <w:lang w:eastAsia="zh-CN"/>
        </w:rPr>
      </w:pPr>
      <w:r>
        <w:rPr>
          <w:rFonts w:hint="eastAsia" w:ascii="等线" w:hAnsi="等线" w:eastAsia="等线"/>
          <w:b/>
          <w:bCs/>
          <w:sz w:val="72"/>
          <w:szCs w:val="72"/>
          <w:lang w:eastAsia="zh-CN"/>
        </w:rPr>
        <w:t>光大理财RPA项目</w:t>
      </w:r>
    </w:p>
    <w:p>
      <w:pPr>
        <w:jc w:val="center"/>
        <w:rPr>
          <w:sz w:val="44"/>
          <w:szCs w:val="44"/>
          <w:lang w:eastAsia="zh-CN"/>
        </w:rPr>
      </w:pPr>
      <w:r>
        <w:rPr>
          <w:rFonts w:hint="eastAsia" w:ascii="等线" w:hAnsi="等线" w:eastAsia="等线"/>
          <w:b/>
          <w:bCs/>
          <w:sz w:val="44"/>
          <w:szCs w:val="44"/>
          <w:lang w:eastAsia="zh-CN"/>
        </w:rPr>
        <w:t>SAMS系统数据下载流程需求说明</w:t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28"/>
          <w:szCs w:val="28"/>
          <w:lang w:eastAsia="zh-CN"/>
        </w:rPr>
      </w:pPr>
      <w:r>
        <w:rPr>
          <w:rFonts w:ascii="等线" w:hAnsi="等线" w:eastAsia="等线"/>
          <w:b/>
          <w:bCs/>
          <w:sz w:val="28"/>
          <w:szCs w:val="28"/>
          <w:lang w:eastAsia="zh-CN"/>
        </w:rPr>
        <w:t>信息科技部</w:t>
      </w:r>
      <w:r>
        <w:rPr>
          <w:rFonts w:hint="eastAsia" w:ascii="等线" w:hAnsi="等线" w:eastAsia="等线"/>
          <w:b/>
          <w:bCs/>
          <w:sz w:val="28"/>
          <w:szCs w:val="28"/>
          <w:lang w:eastAsia="zh-CN"/>
        </w:rPr>
        <w:t xml:space="preserve"> RPA项目组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78"/>
      </w:pPr>
      <w:r>
        <w:rPr>
          <w:rFonts w:hint="eastAsia"/>
        </w:rPr>
        <w:t>记录更改历史</w:t>
      </w:r>
    </w:p>
    <w:p>
      <w:pPr>
        <w:pStyle w:val="78"/>
      </w:pPr>
    </w:p>
    <w:tbl>
      <w:tblPr>
        <w:tblStyle w:val="27"/>
        <w:tblW w:w="86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2687"/>
        <w:gridCol w:w="1022"/>
        <w:gridCol w:w="989"/>
        <w:gridCol w:w="965"/>
        <w:gridCol w:w="1341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687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1022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989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965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1341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968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  <w:tc>
          <w:tcPr>
            <w:tcW w:w="2687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初始化</w:t>
            </w:r>
          </w:p>
        </w:tc>
        <w:tc>
          <w:tcPr>
            <w:tcW w:w="1022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V1.0</w:t>
            </w:r>
          </w:p>
        </w:tc>
        <w:tc>
          <w:tcPr>
            <w:tcW w:w="989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时爱家</w:t>
            </w:r>
          </w:p>
        </w:tc>
        <w:tc>
          <w:tcPr>
            <w:tcW w:w="965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2023年2月21日</w:t>
            </w: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687" w:type="dxa"/>
            <w:vAlign w:val="center"/>
          </w:tcPr>
          <w:p>
            <w:pPr>
              <w:pStyle w:val="79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1022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89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5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687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022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89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5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687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022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89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5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</w:tbl>
    <w:p>
      <w:pPr>
        <w:spacing w:after="0"/>
        <w:rPr>
          <w:lang w:eastAsia="zh-CN"/>
        </w:rPr>
      </w:pPr>
    </w:p>
    <w:p>
      <w:pPr>
        <w:spacing w:after="0"/>
        <w:rPr>
          <w:lang w:eastAsia="zh-CN"/>
        </w:rPr>
      </w:pPr>
    </w:p>
    <w:tbl>
      <w:tblPr>
        <w:tblStyle w:val="27"/>
        <w:tblW w:w="86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1096"/>
        <w:gridCol w:w="947"/>
        <w:gridCol w:w="1661"/>
        <w:gridCol w:w="858"/>
        <w:gridCol w:w="1175"/>
        <w:gridCol w:w="1175"/>
        <w:gridCol w:w="1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3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RPA需求记录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效率提升（人员和时间/h）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atLeast"/>
        </w:trPr>
        <w:tc>
          <w:tcPr>
            <w:tcW w:w="5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right"/>
              <w:rPr>
                <w:rFonts w:ascii="宋体" w:hAnsi="宋体" w:eastAsia="宋体" w:cs="宋体"/>
                <w:color w:val="000000"/>
                <w:lang w:eastAsia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法律合规部门</w:t>
            </w:r>
          </w:p>
        </w:tc>
        <w:tc>
          <w:tcPr>
            <w:tcW w:w="9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highlight w:val="none"/>
                <w:lang w:eastAsia="zh-CN"/>
              </w:rPr>
              <w:t>耿菲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机器人自动登录业务系统，将需要的文件下载到指定位置中</w:t>
            </w:r>
          </w:p>
        </w:tc>
        <w:tc>
          <w:tcPr>
            <w:tcW w:w="8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每日一次</w:t>
            </w:r>
            <w:bookmarkStart w:id="9" w:name="_GoBack"/>
            <w:bookmarkEnd w:id="9"/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30min/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天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2023年2月21日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</w:p>
        </w:tc>
      </w:tr>
    </w:tbl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3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t>目录</w:t>
      </w:r>
    </w:p>
    <w:sdt>
      <w:sdtPr>
        <w:id w:val="116343987"/>
      </w:sdtPr>
      <w:sdtContent>
        <w:p/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"_Toc116373912" </w:instrText>
          </w:r>
          <w:r>
            <w:fldChar w:fldCharType="separate"/>
          </w:r>
          <w:r>
            <w:rPr>
              <w:rStyle w:val="24"/>
              <w:lang w:eastAsia="zh-CN"/>
            </w:rPr>
            <w:t>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流程概览</w:t>
          </w:r>
          <w:r>
            <w:tab/>
          </w:r>
          <w:r>
            <w:fldChar w:fldCharType="begin"/>
          </w:r>
          <w:r>
            <w:instrText xml:space="preserve"> PAGEREF _Toc116373912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"_Toc116373913" </w:instrText>
          </w:r>
          <w:r>
            <w:fldChar w:fldCharType="separate"/>
          </w:r>
          <w:r>
            <w:rPr>
              <w:rStyle w:val="24"/>
              <w:lang w:eastAsia="zh-CN"/>
            </w:rPr>
            <w:t>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_Toc116373913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"_Toc116373914" </w:instrText>
          </w:r>
          <w:r>
            <w:fldChar w:fldCharType="separate"/>
          </w:r>
          <w:r>
            <w:rPr>
              <w:rStyle w:val="24"/>
              <w:lang w:eastAsia="zh-CN"/>
            </w:rPr>
            <w:t>2.1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业务流程图</w:t>
          </w:r>
          <w:r>
            <w:tab/>
          </w:r>
          <w:r>
            <w:fldChar w:fldCharType="begin"/>
          </w:r>
          <w:r>
            <w:instrText xml:space="preserve"> PAGEREF _Toc116373914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"_Toc116373915" </w:instrText>
          </w:r>
          <w:r>
            <w:fldChar w:fldCharType="separate"/>
          </w:r>
          <w:r>
            <w:rPr>
              <w:rStyle w:val="24"/>
              <w:lang w:eastAsia="zh-CN"/>
            </w:rPr>
            <w:t>2.2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_Toc116373915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"_Toc116373916" </w:instrText>
          </w:r>
          <w:r>
            <w:fldChar w:fldCharType="separate"/>
          </w:r>
          <w:r>
            <w:rPr>
              <w:rStyle w:val="24"/>
              <w:lang w:eastAsia="zh-CN"/>
            </w:rPr>
            <w:t>3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流程操作步骤详解</w:t>
          </w:r>
          <w:r>
            <w:tab/>
          </w:r>
          <w:r>
            <w:fldChar w:fldCharType="begin"/>
          </w:r>
          <w:r>
            <w:instrText xml:space="preserve"> PAGEREF _Toc116373916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"_Toc116373917" </w:instrText>
          </w:r>
          <w:r>
            <w:fldChar w:fldCharType="separate"/>
          </w:r>
          <w:r>
            <w:rPr>
              <w:rStyle w:val="24"/>
              <w:lang w:eastAsia="zh-CN"/>
            </w:rPr>
            <w:t>4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紧急预案</w:t>
          </w:r>
          <w:r>
            <w:tab/>
          </w:r>
          <w:r>
            <w:fldChar w:fldCharType="begin"/>
          </w:r>
          <w:r>
            <w:instrText xml:space="preserve"> PAGEREF _Toc116373917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"_Toc116373918" </w:instrText>
          </w:r>
          <w:r>
            <w:fldChar w:fldCharType="separate"/>
          </w:r>
          <w:r>
            <w:rPr>
              <w:rStyle w:val="24"/>
              <w:lang w:eastAsia="zh-CN"/>
            </w:rPr>
            <w:t>5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流程稳定性识别</w:t>
          </w:r>
          <w:r>
            <w:tab/>
          </w:r>
          <w:r>
            <w:fldChar w:fldCharType="begin"/>
          </w:r>
          <w:r>
            <w:instrText xml:space="preserve"> PAGEREF _Toc116373918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"_Toc116373919" </w:instrText>
          </w:r>
          <w:r>
            <w:fldChar w:fldCharType="separate"/>
          </w:r>
          <w:r>
            <w:rPr>
              <w:rStyle w:val="24"/>
              <w:lang w:eastAsia="zh-CN"/>
            </w:rPr>
            <w:t>6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确认意见</w:t>
          </w:r>
          <w:r>
            <w:tab/>
          </w:r>
          <w:r>
            <w:fldChar w:fldCharType="begin"/>
          </w:r>
          <w:r>
            <w:instrText xml:space="preserve"> PAGEREF _Toc116373919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bookmarkStart w:id="0" w:name="总体说明"/>
      <w:r>
        <w:br w:type="page"/>
      </w:r>
    </w:p>
    <w:bookmarkEnd w:id="0"/>
    <w:p>
      <w:pPr>
        <w:pStyle w:val="2"/>
        <w:rPr>
          <w:lang w:eastAsia="zh-CN"/>
        </w:rPr>
      </w:pPr>
      <w:bookmarkStart w:id="1" w:name="_Toc116373912"/>
      <w:r>
        <w:rPr>
          <w:rFonts w:hint="eastAsia"/>
          <w:lang w:eastAsia="zh-CN"/>
        </w:rPr>
        <w:t>流程概览</w:t>
      </w:r>
      <w:bookmarkEnd w:id="1"/>
    </w:p>
    <w:p>
      <w:pPr>
        <w:pStyle w:val="3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/说明流程要求和属性</w:t>
      </w:r>
    </w:p>
    <w:tbl>
      <w:tblPr>
        <w:tblStyle w:val="28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52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26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436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机器人自动登录业务系统，将需要的文件下载到指定位置中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SAMS系统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运行消息通知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>
      <w:pPr>
        <w:rPr>
          <w:lang w:eastAsia="zh-CN"/>
        </w:rPr>
      </w:pP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t>业务流程</w:t>
      </w:r>
      <w:bookmarkEnd w:id="2"/>
    </w:p>
    <w:p>
      <w:pPr>
        <w:pStyle w:val="4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4079240" cy="56584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56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，简要说明流程场景，业务流程图做描述补充）</w:t>
      </w:r>
    </w:p>
    <w:p>
      <w:pPr>
        <w:rPr>
          <w:lang w:eastAsia="zh-CN"/>
        </w:rPr>
      </w:pPr>
    </w:p>
    <w:p>
      <w:pPr>
        <w:numPr>
          <w:ilvl w:val="0"/>
          <w:numId w:val="3"/>
        </w:numPr>
        <w:rPr>
          <w:highlight w:val="none"/>
          <w:lang w:eastAsia="zh-CN"/>
        </w:rPr>
      </w:pPr>
      <w:r>
        <w:rPr>
          <w:rFonts w:hint="eastAsia"/>
          <w:lang w:eastAsia="zh-CN"/>
        </w:rPr>
        <w:t>登录系统网站http://iam.cebbank.com/login.html?domain=000（在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 xml:space="preserve"> </w:t>
      </w:r>
      <w:r>
        <w:rPr>
          <w:rFonts w:hint="eastAsia"/>
          <w:highlight w:val="none"/>
          <w:lang w:eastAsia="zh-CN"/>
        </w:rPr>
        <w:t>Z:\每日共享文件\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highlight w:val="none"/>
          <w:shd w:val="clear" w:color="auto" w:fill="FFFFFF"/>
          <w:lang w:eastAsia="zh-CN"/>
        </w:rPr>
        <w:t>记录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中读取登录账号、密码信息）</w:t>
      </w:r>
    </w:p>
    <w:p>
      <w:pPr>
        <w:numPr>
          <w:ilvl w:val="0"/>
          <w:numId w:val="3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分别选择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业务应用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-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SAMS系统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-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组合管理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-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资产持仓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进入新页面</w:t>
      </w:r>
    </w:p>
    <w:p>
      <w:pPr>
        <w:numPr>
          <w:ilvl w:val="0"/>
          <w:numId w:val="3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设置时间为前一自然日，点击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搜索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，显示搜索结果后，点击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导出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  <w:lang w:eastAsia="zh-CN"/>
        </w:rPr>
        <w:t>（需要等待进5min左右）</w:t>
      </w:r>
    </w:p>
    <w:p>
      <w:pPr>
        <w:numPr>
          <w:ilvl w:val="0"/>
          <w:numId w:val="3"/>
        </w:numPr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将下载文件保存到</w:t>
      </w:r>
      <w:r>
        <w:rPr>
          <w:highlight w:val="none"/>
          <w:lang w:eastAsia="zh-CN"/>
        </w:rPr>
        <w:t>”</w:t>
      </w:r>
      <w:r>
        <w:rPr>
          <w:rFonts w:hint="eastAsia"/>
          <w:highlight w:val="none"/>
        </w:rPr>
        <w:t xml:space="preserve"> </w:t>
      </w:r>
      <w:r>
        <w:rPr>
          <w:rFonts w:hint="eastAsia" w:asciiTheme="minorEastAsia" w:hAnsiTheme="minorEastAsia" w:cstheme="minorEastAsia"/>
          <w:color w:val="000000"/>
          <w:sz w:val="22"/>
          <w:szCs w:val="22"/>
          <w:highlight w:val="none"/>
          <w:shd w:val="clear" w:color="auto" w:fill="FFFFFF"/>
          <w:lang w:eastAsia="zh-CN"/>
        </w:rPr>
        <w:t>Z:\每日共享文件\SAMS\</w:t>
      </w:r>
      <w:r>
        <w:rPr>
          <w:rFonts w:asciiTheme="minorEastAsia" w:hAnsiTheme="minorEastAsia" w:cstheme="minorEastAsia"/>
          <w:color w:val="000000"/>
          <w:sz w:val="22"/>
          <w:szCs w:val="22"/>
          <w:highlight w:val="none"/>
          <w:shd w:val="clear" w:color="auto" w:fill="FFFFFF"/>
          <w:lang w:eastAsia="zh-CN"/>
        </w:rPr>
        <w:t>YYYYMMDD</w:t>
      </w:r>
      <w:r>
        <w:rPr>
          <w:highlight w:val="none"/>
          <w:lang w:eastAsia="zh-CN"/>
        </w:rPr>
        <w:t>”</w:t>
      </w:r>
    </w:p>
    <w:p>
      <w:pPr>
        <w:rPr>
          <w:lang w:eastAsia="zh-CN"/>
        </w:rPr>
      </w:pPr>
    </w:p>
    <w:p>
      <w:pPr>
        <w:rPr>
          <w:lang w:eastAsia="zh-CN"/>
        </w:rPr>
        <w:sectPr>
          <w:footerReference r:id="rId5" w:type="first"/>
          <w:headerReference r:id="rId3" w:type="default"/>
          <w:footerReference r:id="rId4" w:type="default"/>
          <w:pgSz w:w="12240" w:h="15840"/>
          <w:pgMar w:top="1440" w:right="1800" w:bottom="1440" w:left="1800" w:header="720" w:footer="720" w:gutter="0"/>
          <w:cols w:space="720" w:num="1"/>
          <w:titlePg/>
          <w:docGrid w:linePitch="326" w:charSpace="0"/>
        </w:sectPr>
      </w:pPr>
    </w:p>
    <w:p>
      <w:pPr>
        <w:pStyle w:val="2"/>
        <w:rPr>
          <w:lang w:eastAsia="zh-CN"/>
        </w:rPr>
      </w:pPr>
      <w:bookmarkStart w:id="5" w:name="_Toc116373916"/>
      <w:r>
        <w:rPr>
          <w:lang w:eastAsia="zh-CN"/>
        </w:rPr>
        <w:t>流程操作步骤详解</w:t>
      </w:r>
      <w:bookmarkEnd w:id="5"/>
    </w:p>
    <w:tbl>
      <w:tblPr>
        <w:tblStyle w:val="28"/>
        <w:tblW w:w="8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2317"/>
        <w:gridCol w:w="5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2317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5823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登录系统网站</w:t>
            </w: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2124075" cy="15240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依次选择进行新页面</w:t>
            </w: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3560445" cy="2054225"/>
                  <wp:effectExtent l="0" t="0" r="190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445" cy="2054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进行下载导出</w:t>
            </w: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drawing>
                <wp:inline distT="0" distB="0" distL="114300" distR="114300">
                  <wp:extent cx="3560445" cy="1149350"/>
                  <wp:effectExtent l="0" t="0" r="1905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445" cy="114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另存为</w:t>
            </w: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17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5823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</w:tbl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  <w:sectPr>
          <w:headerReference r:id="rId6" w:type="first"/>
          <w:footerReference r:id="rId7" w:type="first"/>
          <w:pgSz w:w="12240" w:h="15840"/>
          <w:pgMar w:top="1440" w:right="1800" w:bottom="1440" w:left="1800" w:header="720" w:footer="1020" w:gutter="0"/>
          <w:cols w:space="720" w:num="1"/>
          <w:titlePg/>
          <w:docGrid w:linePitch="326" w:charSpace="0"/>
        </w:sectPr>
      </w:pPr>
    </w:p>
    <w:p>
      <w:pPr>
        <w:pStyle w:val="2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t>紧急预案</w:t>
      </w:r>
      <w:bookmarkEnd w:id="6"/>
    </w:p>
    <w:p>
      <w:pPr>
        <w:pStyle w:val="3"/>
        <w:ind w:left="432"/>
        <w:rPr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如发生机器人故障问题，人工下载并人工核对。</w:t>
      </w:r>
    </w:p>
    <w:p>
      <w:pPr>
        <w:pStyle w:val="3"/>
        <w:rPr>
          <w:lang w:eastAsia="zh-CN"/>
        </w:rPr>
      </w:pPr>
    </w:p>
    <w:p>
      <w:pPr>
        <w:pStyle w:val="2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：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1-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2步会出现广告弹框等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；</w:t>
      </w:r>
    </w:p>
    <w:tbl>
      <w:tblPr>
        <w:tblStyle w:val="28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113"/>
        <w:gridCol w:w="6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13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6850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由甲方人员填写，并签字；</w:t>
      </w:r>
    </w:p>
    <w:tbl>
      <w:tblPr>
        <w:tblStyle w:val="28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3571"/>
        <w:gridCol w:w="455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1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>
      <w:pPr>
        <w:rPr>
          <w:lang w:eastAsia="zh-CN"/>
        </w:rPr>
      </w:pPr>
    </w:p>
    <w:sectPr>
      <w:headerReference r:id="rId8" w:type="first"/>
      <w:pgSz w:w="12240" w:h="15840"/>
      <w:pgMar w:top="1440" w:right="1800" w:bottom="1440" w:left="1800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4695291"/>
    </w:sdtPr>
    <w:sdtContent>
      <w:sdt>
        <w:sdtPr>
          <w:id w:val="-1769616900"/>
        </w:sdtPr>
        <w:sdtContent>
          <w:p>
            <w:pPr>
              <w:pStyle w:val="16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9918456"/>
    </w:sdtPr>
    <w:sdtContent>
      <w:sdt>
        <w:sdtPr>
          <w:id w:val="230274369"/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23452700"/>
    </w:sdtPr>
    <w:sdtContent>
      <w:sdt>
        <w:sdtPr>
          <w:id w:val="-1796212147"/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 xml:space="preserve"> </w:t>
    </w:r>
    <w:r>
      <w:rPr>
        <w:rFonts w:hint="eastAsia"/>
        <w:lang w:eastAsia="zh-CN"/>
      </w:rPr>
      <w:t>光大理财RPA项目流程需求说明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光大理财RPA项目流程需求说明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光大理财RPA项目流程需求说明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652B8"/>
    <w:multiLevelType w:val="singleLevel"/>
    <w:tmpl w:val="9E0652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B476604"/>
    <w:multiLevelType w:val="singleLevel"/>
    <w:tmpl w:val="0B47660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>
    <w:nsid w:val="30501DC1"/>
    <w:multiLevelType w:val="multilevel"/>
    <w:tmpl w:val="30501D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8013DB"/>
    <w:multiLevelType w:val="multilevel"/>
    <w:tmpl w:val="488013D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4">
    <w:nsid w:val="63F424FE"/>
    <w:multiLevelType w:val="singleLevel"/>
    <w:tmpl w:val="63F424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720"/>
  <w:drawingGridHorizontalSpacing w:val="360"/>
  <w:drawingGridVerticalSpacing w:val="36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3CB"/>
    <w:rsid w:val="00005230"/>
    <w:rsid w:val="00011C8B"/>
    <w:rsid w:val="00041F4C"/>
    <w:rsid w:val="00053B5D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549A6"/>
    <w:rsid w:val="00165607"/>
    <w:rsid w:val="001C1192"/>
    <w:rsid w:val="00215D56"/>
    <w:rsid w:val="00237C5F"/>
    <w:rsid w:val="00255236"/>
    <w:rsid w:val="002552B8"/>
    <w:rsid w:val="002631FC"/>
    <w:rsid w:val="00315C60"/>
    <w:rsid w:val="00337B37"/>
    <w:rsid w:val="0034741A"/>
    <w:rsid w:val="00380B1B"/>
    <w:rsid w:val="003816A5"/>
    <w:rsid w:val="00390178"/>
    <w:rsid w:val="003A636F"/>
    <w:rsid w:val="003A7DA5"/>
    <w:rsid w:val="003B2836"/>
    <w:rsid w:val="003B53F3"/>
    <w:rsid w:val="003B5B23"/>
    <w:rsid w:val="003C08BD"/>
    <w:rsid w:val="003C5F65"/>
    <w:rsid w:val="003D33BC"/>
    <w:rsid w:val="003E3998"/>
    <w:rsid w:val="003F40B0"/>
    <w:rsid w:val="004071FB"/>
    <w:rsid w:val="00417CE2"/>
    <w:rsid w:val="00426963"/>
    <w:rsid w:val="00430A9F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32716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610B8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16C93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0FC4462"/>
    <w:rsid w:val="02400D24"/>
    <w:rsid w:val="04E46844"/>
    <w:rsid w:val="0695371F"/>
    <w:rsid w:val="0B013438"/>
    <w:rsid w:val="0E0A7318"/>
    <w:rsid w:val="106F45A6"/>
    <w:rsid w:val="19D33575"/>
    <w:rsid w:val="1D611629"/>
    <w:rsid w:val="1F604BF7"/>
    <w:rsid w:val="1FF962B8"/>
    <w:rsid w:val="208169DD"/>
    <w:rsid w:val="20BA2963"/>
    <w:rsid w:val="27E629B1"/>
    <w:rsid w:val="2A4668C0"/>
    <w:rsid w:val="2B0B45BA"/>
    <w:rsid w:val="366377E0"/>
    <w:rsid w:val="374569B8"/>
    <w:rsid w:val="3777170B"/>
    <w:rsid w:val="37F706FA"/>
    <w:rsid w:val="3B0119DB"/>
    <w:rsid w:val="3C63193B"/>
    <w:rsid w:val="3F501F0D"/>
    <w:rsid w:val="4290657D"/>
    <w:rsid w:val="457B5BD5"/>
    <w:rsid w:val="4B2160A7"/>
    <w:rsid w:val="4D241A43"/>
    <w:rsid w:val="4DEC724B"/>
    <w:rsid w:val="54A03ECE"/>
    <w:rsid w:val="54FD2CF5"/>
    <w:rsid w:val="56015E96"/>
    <w:rsid w:val="58467FE5"/>
    <w:rsid w:val="59114ADB"/>
    <w:rsid w:val="631F4CDC"/>
    <w:rsid w:val="64FF38C1"/>
    <w:rsid w:val="654B7E48"/>
    <w:rsid w:val="6598312A"/>
    <w:rsid w:val="65C738FD"/>
    <w:rsid w:val="67C77592"/>
    <w:rsid w:val="68255372"/>
    <w:rsid w:val="6A401CDE"/>
    <w:rsid w:val="6D542AA1"/>
    <w:rsid w:val="6E851038"/>
    <w:rsid w:val="6EC20CBF"/>
    <w:rsid w:val="702F4A26"/>
    <w:rsid w:val="714412D4"/>
    <w:rsid w:val="73855087"/>
    <w:rsid w:val="747C6B7E"/>
    <w:rsid w:val="77734DC0"/>
    <w:rsid w:val="79855B63"/>
    <w:rsid w:val="7F292A85"/>
  </w:rsids>
  <m:mathPr>
    <m:lMargin m:val="0"/>
    <m:mathFont m:val="Cambria Math"/>
    <m:rMargin m:val="0"/>
    <m:brkBin m:val="before"/>
    <m:brkBinSub m:val="--"/>
    <m:defJc m:val="centerGroup"/>
    <m:intLim m:val="subSup"/>
    <m:naryLim m:val="subSup"/>
    <m:smallFrac m:val="0"/>
    <m:dispDef m:val="0"/>
    <m:wrapRight m:val="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3">
    <w:name w:val="Default Paragraph Font"/>
    <w:unhideWhenUsed/>
    <w:uiPriority w:val="1"/>
  </w:style>
  <w:style w:type="table" w:default="1" w:styleId="2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5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4">
    <w:name w:val="Hyperlink"/>
    <w:basedOn w:val="25"/>
    <w:qFormat/>
    <w:uiPriority w:val="99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5">
    <w:name w:val="题注 字符"/>
    <w:basedOn w:val="23"/>
    <w:link w:val="12"/>
    <w:qFormat/>
    <w:uiPriority w:val="0"/>
  </w:style>
  <w:style w:type="character" w:styleId="26">
    <w:name w:val="footnote reference"/>
    <w:basedOn w:val="25"/>
    <w:qFormat/>
    <w:uiPriority w:val="0"/>
    <w:rPr>
      <w:vertAlign w:val="superscript"/>
    </w:rPr>
  </w:style>
  <w:style w:type="table" w:styleId="28">
    <w:name w:val="Table Grid"/>
    <w:basedOn w:val="27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书目1"/>
    <w:basedOn w:val="1"/>
    <w:qFormat/>
    <w:uiPriority w:val="0"/>
  </w:style>
  <w:style w:type="table" w:customStyle="1" w:styleId="34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</w:pPr>
  </w:style>
  <w:style w:type="character" w:customStyle="1" w:styleId="41">
    <w:name w:val="Verbatim Char"/>
    <w:basedOn w:val="25"/>
    <w:link w:val="42"/>
    <w:qFormat/>
    <w:uiPriority w:val="0"/>
    <w:rPr>
      <w:rFonts w:ascii="Consolas" w:hAnsi="Consolas"/>
      <w:sz w:val="22"/>
    </w:rPr>
  </w:style>
  <w:style w:type="paragraph" w:customStyle="1" w:styleId="42">
    <w:name w:val="Source Code"/>
    <w:basedOn w:val="1"/>
    <w:link w:val="41"/>
    <w:qFormat/>
    <w:uiPriority w:val="0"/>
    <w:pPr>
      <w:wordWrap w:val="0"/>
    </w:pPr>
  </w:style>
  <w:style w:type="paragraph" w:customStyle="1" w:styleId="43">
    <w:name w:val="TOC 标题1"/>
    <w:basedOn w:val="2"/>
    <w:next w:val="3"/>
    <w:unhideWhenUsed/>
    <w:qFormat/>
    <w:uiPriority w:val="39"/>
    <w:pPr>
      <w:spacing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4">
    <w:name w:val="Keyword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45">
    <w:name w:val="DataTypeTok"/>
    <w:basedOn w:val="41"/>
    <w:qFormat/>
    <w:uiPriority w:val="0"/>
    <w:rPr>
      <w:rFonts w:ascii="Consolas" w:hAnsi="Consolas"/>
      <w:color w:val="902000"/>
      <w:sz w:val="22"/>
    </w:rPr>
  </w:style>
  <w:style w:type="character" w:customStyle="1" w:styleId="46">
    <w:name w:val="DecVal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7">
    <w:name w:val="BaseN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8">
    <w:name w:val="Float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9">
    <w:name w:val="ConstantTok"/>
    <w:basedOn w:val="41"/>
    <w:qFormat/>
    <w:uiPriority w:val="0"/>
    <w:rPr>
      <w:rFonts w:ascii="Consolas" w:hAnsi="Consolas"/>
      <w:color w:val="880000"/>
      <w:sz w:val="22"/>
    </w:rPr>
  </w:style>
  <w:style w:type="character" w:customStyle="1" w:styleId="50">
    <w:name w:val="Char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1">
    <w:name w:val="SpecialChar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2">
    <w:name w:val="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3">
    <w:name w:val="Verbatim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4">
    <w:name w:val="SpecialStringTok"/>
    <w:basedOn w:val="41"/>
    <w:qFormat/>
    <w:uiPriority w:val="0"/>
    <w:rPr>
      <w:rFonts w:ascii="Consolas" w:hAnsi="Consolas"/>
      <w:color w:val="BB6688"/>
      <w:sz w:val="22"/>
    </w:rPr>
  </w:style>
  <w:style w:type="character" w:customStyle="1" w:styleId="55">
    <w:name w:val="ImportTok"/>
    <w:basedOn w:val="41"/>
    <w:qFormat/>
    <w:uiPriority w:val="0"/>
    <w:rPr>
      <w:rFonts w:ascii="Consolas" w:hAnsi="Consolas"/>
      <w:sz w:val="22"/>
    </w:rPr>
  </w:style>
  <w:style w:type="character" w:customStyle="1" w:styleId="56">
    <w:name w:val="CommentTok"/>
    <w:basedOn w:val="41"/>
    <w:qFormat/>
    <w:uiPriority w:val="0"/>
    <w:rPr>
      <w:rFonts w:ascii="Consolas" w:hAnsi="Consolas"/>
      <w:i/>
      <w:color w:val="60A0B0"/>
      <w:sz w:val="22"/>
    </w:rPr>
  </w:style>
  <w:style w:type="character" w:customStyle="1" w:styleId="57">
    <w:name w:val="DocumentationTok"/>
    <w:basedOn w:val="41"/>
    <w:qFormat/>
    <w:uiPriority w:val="0"/>
    <w:rPr>
      <w:rFonts w:ascii="Consolas" w:hAnsi="Consolas"/>
      <w:i/>
      <w:color w:val="BA2121"/>
      <w:sz w:val="22"/>
    </w:rPr>
  </w:style>
  <w:style w:type="character" w:customStyle="1" w:styleId="58">
    <w:name w:val="AnnotationTok"/>
    <w:basedOn w:val="41"/>
    <w:uiPriority w:val="0"/>
    <w:rPr>
      <w:rFonts w:ascii="Consolas" w:hAnsi="Consolas"/>
      <w:b/>
      <w:i/>
      <w:color w:val="60A0B0"/>
      <w:sz w:val="22"/>
    </w:rPr>
  </w:style>
  <w:style w:type="character" w:customStyle="1" w:styleId="59">
    <w:name w:val="CommentVar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0">
    <w:name w:val="OtherTok"/>
    <w:basedOn w:val="41"/>
    <w:qFormat/>
    <w:uiPriority w:val="0"/>
    <w:rPr>
      <w:rFonts w:ascii="Consolas" w:hAnsi="Consolas"/>
      <w:color w:val="007020"/>
      <w:sz w:val="22"/>
    </w:rPr>
  </w:style>
  <w:style w:type="character" w:customStyle="1" w:styleId="61">
    <w:name w:val="FunctionTok"/>
    <w:basedOn w:val="41"/>
    <w:uiPriority w:val="0"/>
    <w:rPr>
      <w:rFonts w:ascii="Consolas" w:hAnsi="Consolas"/>
      <w:color w:val="06287E"/>
      <w:sz w:val="22"/>
    </w:rPr>
  </w:style>
  <w:style w:type="character" w:customStyle="1" w:styleId="62">
    <w:name w:val="VariableTok"/>
    <w:basedOn w:val="41"/>
    <w:uiPriority w:val="0"/>
    <w:rPr>
      <w:rFonts w:ascii="Consolas" w:hAnsi="Consolas"/>
      <w:color w:val="19177C"/>
      <w:sz w:val="22"/>
    </w:rPr>
  </w:style>
  <w:style w:type="character" w:customStyle="1" w:styleId="63">
    <w:name w:val="ControlFlowTok"/>
    <w:basedOn w:val="41"/>
    <w:uiPriority w:val="0"/>
    <w:rPr>
      <w:rFonts w:ascii="Consolas" w:hAnsi="Consolas"/>
      <w:b/>
      <w:color w:val="007020"/>
      <w:sz w:val="22"/>
    </w:rPr>
  </w:style>
  <w:style w:type="character" w:customStyle="1" w:styleId="64">
    <w:name w:val="OperatorTok"/>
    <w:basedOn w:val="41"/>
    <w:qFormat/>
    <w:uiPriority w:val="0"/>
    <w:rPr>
      <w:rFonts w:ascii="Consolas" w:hAnsi="Consolas"/>
      <w:color w:val="666666"/>
      <w:sz w:val="22"/>
    </w:rPr>
  </w:style>
  <w:style w:type="character" w:customStyle="1" w:styleId="65">
    <w:name w:val="BuiltInTok"/>
    <w:basedOn w:val="41"/>
    <w:qFormat/>
    <w:uiPriority w:val="0"/>
    <w:rPr>
      <w:rFonts w:ascii="Consolas" w:hAnsi="Consolas"/>
      <w:sz w:val="22"/>
    </w:rPr>
  </w:style>
  <w:style w:type="character" w:customStyle="1" w:styleId="66">
    <w:name w:val="ExtensionTok"/>
    <w:basedOn w:val="41"/>
    <w:qFormat/>
    <w:uiPriority w:val="0"/>
    <w:rPr>
      <w:rFonts w:ascii="Consolas" w:hAnsi="Consolas"/>
      <w:sz w:val="22"/>
    </w:rPr>
  </w:style>
  <w:style w:type="character" w:customStyle="1" w:styleId="67">
    <w:name w:val="PreprocessorTok"/>
    <w:basedOn w:val="41"/>
    <w:uiPriority w:val="0"/>
    <w:rPr>
      <w:rFonts w:ascii="Consolas" w:hAnsi="Consolas"/>
      <w:color w:val="BC7A00"/>
      <w:sz w:val="22"/>
    </w:rPr>
  </w:style>
  <w:style w:type="character" w:customStyle="1" w:styleId="68">
    <w:name w:val="AttributeTok"/>
    <w:basedOn w:val="41"/>
    <w:qFormat/>
    <w:uiPriority w:val="0"/>
    <w:rPr>
      <w:rFonts w:ascii="Consolas" w:hAnsi="Consolas"/>
      <w:color w:val="7D9029"/>
      <w:sz w:val="22"/>
    </w:rPr>
  </w:style>
  <w:style w:type="character" w:customStyle="1" w:styleId="69">
    <w:name w:val="RegionMarkerTok"/>
    <w:basedOn w:val="41"/>
    <w:qFormat/>
    <w:uiPriority w:val="0"/>
    <w:rPr>
      <w:rFonts w:ascii="Consolas" w:hAnsi="Consolas"/>
      <w:sz w:val="22"/>
    </w:rPr>
  </w:style>
  <w:style w:type="character" w:customStyle="1" w:styleId="70">
    <w:name w:val="InformationTok"/>
    <w:basedOn w:val="41"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Warning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2">
    <w:name w:val="Alert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3">
    <w:name w:val="Error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4">
    <w:name w:val="NormalTok"/>
    <w:basedOn w:val="41"/>
    <w:qFormat/>
    <w:uiPriority w:val="0"/>
    <w:rPr>
      <w:rFonts w:ascii="Consolas" w:hAnsi="Consolas"/>
      <w:sz w:val="22"/>
    </w:rPr>
  </w:style>
  <w:style w:type="character" w:customStyle="1" w:styleId="75">
    <w:name w:val="页眉 字符"/>
    <w:basedOn w:val="23"/>
    <w:link w:val="17"/>
    <w:qFormat/>
    <w:uiPriority w:val="0"/>
    <w:rPr>
      <w:sz w:val="18"/>
      <w:szCs w:val="18"/>
    </w:rPr>
  </w:style>
  <w:style w:type="character" w:customStyle="1" w:styleId="76">
    <w:name w:val="页脚 字符"/>
    <w:basedOn w:val="23"/>
    <w:link w:val="16"/>
    <w:qFormat/>
    <w:uiPriority w:val="99"/>
    <w:rPr>
      <w:sz w:val="18"/>
      <w:szCs w:val="18"/>
    </w:rPr>
  </w:style>
  <w:style w:type="paragraph" w:customStyle="1" w:styleId="77">
    <w:name w:val="city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customStyle="1" w:styleId="78">
    <w:name w:val="21标头"/>
    <w:basedOn w:val="1"/>
    <w:uiPriority w:val="0"/>
    <w:pPr>
      <w:widowControl w:val="0"/>
      <w:spacing w:after="0" w:line="360" w:lineRule="auto"/>
      <w:jc w:val="center"/>
    </w:pPr>
    <w:rPr>
      <w:rFonts w:ascii="Times New Roman" w:hAnsi="Times New Roman" w:eastAsia="宋体" w:cs="Times New Roman"/>
      <w:b/>
      <w:kern w:val="2"/>
      <w:sz w:val="32"/>
      <w:szCs w:val="32"/>
      <w:lang w:eastAsia="zh-CN"/>
    </w:rPr>
  </w:style>
  <w:style w:type="paragraph" w:customStyle="1" w:styleId="79">
    <w:name w:val="22表格"/>
    <w:basedOn w:val="1"/>
    <w:uiPriority w:val="0"/>
    <w:pPr>
      <w:widowControl w:val="0"/>
      <w:spacing w:after="0"/>
      <w:jc w:val="center"/>
    </w:pPr>
    <w:rPr>
      <w:rFonts w:ascii="Times New Roman" w:hAnsi="Times New Roman" w:eastAsia="仿宋_GB2312" w:cs="Times New Roman"/>
      <w:kern w:val="2"/>
      <w:lang w:eastAsia="zh-CN"/>
    </w:rPr>
  </w:style>
  <w:style w:type="paragraph" w:customStyle="1" w:styleId="80">
    <w:name w:val="列表段落1"/>
    <w:basedOn w:val="1"/>
    <w:qFormat/>
    <w:uiPriority w:val="34"/>
    <w:pPr>
      <w:widowControl w:val="0"/>
      <w:spacing w:after="0"/>
      <w:ind w:firstLine="420" w:firstLineChars="200"/>
      <w:jc w:val="both"/>
    </w:pPr>
    <w:rPr>
      <w:kern w:val="2"/>
      <w:sz w:val="21"/>
      <w:szCs w:val="22"/>
      <w:lang w:eastAsia="zh-CN"/>
    </w:rPr>
  </w:style>
  <w:style w:type="character" w:customStyle="1" w:styleId="81">
    <w:name w:val="正文文本 字符"/>
    <w:basedOn w:val="23"/>
    <w:link w:val="3"/>
    <w:uiPriority w:val="0"/>
    <w:rPr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240</Words>
  <Characters>1371</Characters>
  <Lines>11</Lines>
  <Paragraphs>3</Paragraphs>
  <TotalTime>0</TotalTime>
  <ScaleCrop>false</ScaleCrop>
  <LinksUpToDate>false</LinksUpToDate>
  <CharactersWithSpaces>1608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2022-10-14T03:48:00Z</dcterms:created>
  <dc:creator>Justin</dc:creator>
  <cp:lastModifiedBy>user</cp:lastModifiedBy>
  <dcterms:modified xsi:type="dcterms:W3CDTF">2023-02-23T02:34:41Z</dcterms:modified>
  <dc:title>UiBot 部署说明书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2052-10.8.0.5761</vt:lpwstr>
  </property>
</Properties>
</file>