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72"/>
          <w:szCs w:val="72"/>
          <w:lang w:eastAsia="zh-CN"/>
        </w:rPr>
      </w:pPr>
      <w:r>
        <w:rPr>
          <w:rFonts w:hint="eastAsia" w:ascii="等线" w:hAnsi="等线" w:eastAsia="等线"/>
          <w:b/>
          <w:bCs/>
          <w:sz w:val="72"/>
          <w:szCs w:val="72"/>
          <w:lang w:eastAsia="zh-CN"/>
        </w:rPr>
        <w:t>光大理财RPA项目</w:t>
      </w:r>
    </w:p>
    <w:p>
      <w:pPr>
        <w:jc w:val="center"/>
        <w:rPr>
          <w:sz w:val="44"/>
          <w:szCs w:val="44"/>
          <w:lang w:eastAsia="zh-CN"/>
        </w:rPr>
      </w:pPr>
      <w:r>
        <w:rPr>
          <w:rFonts w:hint="eastAsia" w:ascii="等线" w:hAnsi="等线" w:eastAsia="等线"/>
          <w:b/>
          <w:bCs/>
          <w:sz w:val="44"/>
          <w:szCs w:val="44"/>
          <w:lang w:val="en-US" w:eastAsia="zh-CN"/>
        </w:rPr>
        <w:t>自动预警与备注自动修改</w:t>
      </w:r>
      <w:r>
        <w:rPr>
          <w:rFonts w:hint="eastAsia" w:ascii="等线" w:hAnsi="等线" w:eastAsia="等线"/>
          <w:b/>
          <w:bCs/>
          <w:sz w:val="44"/>
          <w:szCs w:val="44"/>
          <w:lang w:eastAsia="zh-CN"/>
        </w:rPr>
        <w:t>需求说明</w:t>
      </w: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lang w:eastAsia="zh-CN"/>
        </w:rPr>
      </w:pPr>
    </w:p>
    <w:p>
      <w:pPr>
        <w:jc w:val="center"/>
        <w:rPr>
          <w:rFonts w:ascii="等线" w:hAnsi="等线" w:eastAsia="等线"/>
          <w:b/>
          <w:bCs/>
          <w:sz w:val="28"/>
          <w:szCs w:val="28"/>
          <w:lang w:eastAsia="zh-CN"/>
        </w:rPr>
      </w:pPr>
      <w:r>
        <w:rPr>
          <w:rFonts w:ascii="等线" w:hAnsi="等线" w:eastAsia="等线"/>
          <w:b/>
          <w:bCs/>
          <w:sz w:val="28"/>
          <w:szCs w:val="28"/>
          <w:lang w:eastAsia="zh-CN"/>
        </w:rPr>
        <w:t>信息科技部</w:t>
      </w:r>
      <w:r>
        <w:rPr>
          <w:rFonts w:hint="eastAsia" w:ascii="等线" w:hAnsi="等线" w:eastAsia="等线"/>
          <w:b/>
          <w:bCs/>
          <w:sz w:val="28"/>
          <w:szCs w:val="28"/>
          <w:lang w:eastAsia="zh-CN"/>
        </w:rPr>
        <w:t xml:space="preserve"> RPA项目组</w:t>
      </w: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78"/>
      </w:pPr>
      <w:r>
        <w:rPr>
          <w:rFonts w:hint="eastAsia"/>
        </w:rPr>
        <w:t>记录更改历史</w:t>
      </w:r>
    </w:p>
    <w:p>
      <w:pPr>
        <w:pStyle w:val="78"/>
      </w:pPr>
    </w:p>
    <w:tbl>
      <w:tblPr>
        <w:tblStyle w:val="27"/>
        <w:tblW w:w="8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2959"/>
        <w:gridCol w:w="788"/>
        <w:gridCol w:w="951"/>
        <w:gridCol w:w="965"/>
        <w:gridCol w:w="1341"/>
        <w:gridCol w:w="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959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78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95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965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1341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968" w:type="dxa"/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</w:t>
            </w:r>
          </w:p>
        </w:tc>
        <w:tc>
          <w:tcPr>
            <w:tcW w:w="2959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951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959" w:type="dxa"/>
            <w:vAlign w:val="center"/>
          </w:tcPr>
          <w:p>
            <w:pPr>
              <w:pStyle w:val="79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95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65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959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78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5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5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  <w:tc>
          <w:tcPr>
            <w:tcW w:w="968" w:type="dxa"/>
            <w:vAlign w:val="center"/>
          </w:tcPr>
          <w:p>
            <w:pPr>
              <w:pStyle w:val="79"/>
              <w:rPr>
                <w:sz w:val="21"/>
                <w:szCs w:val="21"/>
              </w:rPr>
            </w:pP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lang w:eastAsia="zh-CN"/>
        </w:rPr>
      </w:pPr>
    </w:p>
    <w:tbl>
      <w:tblPr>
        <w:tblStyle w:val="27"/>
        <w:tblW w:w="86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860"/>
        <w:gridCol w:w="991"/>
        <w:gridCol w:w="1697"/>
        <w:gridCol w:w="859"/>
        <w:gridCol w:w="1175"/>
        <w:gridCol w:w="1175"/>
        <w:gridCol w:w="11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3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RPA需求记录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8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效率提升（人员和时间/h）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5" w:hRule="atLeast"/>
        </w:trPr>
        <w:tc>
          <w:tcPr>
            <w:tcW w:w="6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jc w:val="right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运营管理部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郝晗之</w:t>
            </w:r>
          </w:p>
        </w:tc>
        <w:tc>
          <w:tcPr>
            <w:tcW w:w="16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1、在RPA日间结算清算资金指令出具后，增加金额校验；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2、RPA生成日间结算清算资金指令时，根据付款账号与收款账号生成对应的备注</w:t>
            </w:r>
          </w:p>
        </w:tc>
        <w:tc>
          <w:tcPr>
            <w:tcW w:w="8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每天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0.5h/人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/>
              <w:rPr>
                <w:rFonts w:ascii="宋体" w:hAnsi="宋体" w:eastAsia="宋体" w:cs="宋体"/>
                <w:color w:val="000000"/>
                <w:lang w:eastAsia="zh-CN"/>
              </w:rPr>
            </w:pPr>
          </w:p>
        </w:tc>
      </w:tr>
    </w:tbl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3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t>目录</w:t>
      </w:r>
    </w:p>
    <w:sdt>
      <w:sdtPr>
        <w:id w:val="116343987"/>
      </w:sdtPr>
      <w:sdtContent>
        <w:p/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"_Toc116373912" </w:instrText>
          </w:r>
          <w:r>
            <w:fldChar w:fldCharType="separate"/>
          </w:r>
          <w:r>
            <w:rPr>
              <w:rStyle w:val="24"/>
              <w:lang w:eastAsia="zh-CN"/>
            </w:rPr>
            <w:t>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流程概览</w:t>
          </w:r>
          <w:r>
            <w:tab/>
          </w:r>
          <w:r>
            <w:fldChar w:fldCharType="begin"/>
          </w:r>
          <w:r>
            <w:instrText xml:space="preserve"> PAGEREF _Toc116373912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"_Toc116373913" </w:instrText>
          </w:r>
          <w:r>
            <w:fldChar w:fldCharType="separate"/>
          </w:r>
          <w:r>
            <w:rPr>
              <w:rStyle w:val="24"/>
              <w:lang w:eastAsia="zh-CN"/>
            </w:rPr>
            <w:t>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_Toc116373913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"_Toc116373914" </w:instrText>
          </w:r>
          <w:r>
            <w:fldChar w:fldCharType="separate"/>
          </w:r>
          <w:r>
            <w:rPr>
              <w:rStyle w:val="24"/>
              <w:lang w:eastAsia="zh-CN"/>
            </w:rPr>
            <w:t>2.1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业务流程图</w:t>
          </w:r>
          <w:r>
            <w:tab/>
          </w:r>
          <w:r>
            <w:fldChar w:fldCharType="begin"/>
          </w:r>
          <w:r>
            <w:instrText xml:space="preserve"> PAGEREF _Toc116373914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"_Toc116373915" </w:instrText>
          </w:r>
          <w:r>
            <w:fldChar w:fldCharType="separate"/>
          </w:r>
          <w:r>
            <w:rPr>
              <w:rStyle w:val="24"/>
              <w:lang w:eastAsia="zh-CN"/>
            </w:rPr>
            <w:t>2.2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业务流程描述</w:t>
          </w:r>
          <w:r>
            <w:tab/>
          </w:r>
          <w:r>
            <w:fldChar w:fldCharType="begin"/>
          </w:r>
          <w:r>
            <w:instrText xml:space="preserve"> PAGEREF _Toc116373915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"_Toc116373916" </w:instrText>
          </w:r>
          <w:r>
            <w:fldChar w:fldCharType="separate"/>
          </w:r>
          <w:r>
            <w:rPr>
              <w:rStyle w:val="24"/>
              <w:lang w:eastAsia="zh-CN"/>
            </w:rPr>
            <w:t>3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流程操作步骤详解</w:t>
          </w:r>
          <w:r>
            <w:tab/>
          </w:r>
          <w:r>
            <w:fldChar w:fldCharType="begin"/>
          </w:r>
          <w:r>
            <w:instrText xml:space="preserve"> PAGEREF _Toc116373916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"_Toc116373917" </w:instrText>
          </w:r>
          <w:r>
            <w:fldChar w:fldCharType="separate"/>
          </w:r>
          <w:r>
            <w:rPr>
              <w:rStyle w:val="24"/>
              <w:lang w:eastAsia="zh-CN"/>
            </w:rPr>
            <w:t>4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紧急预案</w:t>
          </w:r>
          <w:r>
            <w:tab/>
          </w:r>
          <w:r>
            <w:fldChar w:fldCharType="begin"/>
          </w:r>
          <w:r>
            <w:instrText xml:space="preserve"> PAGEREF _Toc116373917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"_Toc116373918" </w:instrText>
          </w:r>
          <w:r>
            <w:fldChar w:fldCharType="separate"/>
          </w:r>
          <w:r>
            <w:rPr>
              <w:rStyle w:val="24"/>
              <w:lang w:eastAsia="zh-CN"/>
            </w:rPr>
            <w:t>5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流程稳定性识别</w:t>
          </w:r>
          <w:r>
            <w:tab/>
          </w:r>
          <w:r>
            <w:fldChar w:fldCharType="begin"/>
          </w:r>
          <w:r>
            <w:instrText xml:space="preserve"> PAGEREF _Toc116373918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HYPERLINK \l "_Toc116373919" </w:instrText>
          </w:r>
          <w:r>
            <w:fldChar w:fldCharType="separate"/>
          </w:r>
          <w:r>
            <w:rPr>
              <w:rStyle w:val="24"/>
              <w:lang w:eastAsia="zh-CN"/>
            </w:rPr>
            <w:t>6</w:t>
          </w:r>
          <w:r>
            <w:rPr>
              <w:kern w:val="2"/>
              <w:sz w:val="21"/>
              <w:szCs w:val="22"/>
              <w:lang w:eastAsia="zh-CN"/>
            </w:rPr>
            <w:tab/>
          </w:r>
          <w:r>
            <w:rPr>
              <w:rStyle w:val="24"/>
              <w:lang w:eastAsia="zh-CN"/>
            </w:rPr>
            <w:t>确认意见</w:t>
          </w:r>
          <w:r>
            <w:tab/>
          </w:r>
          <w:r>
            <w:fldChar w:fldCharType="begin"/>
          </w:r>
          <w:r>
            <w:instrText xml:space="preserve"> PAGEREF _Toc116373919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0" w:name="总体说明"/>
      <w:r>
        <w:br w:type="page"/>
      </w:r>
    </w:p>
    <w:bookmarkEnd w:id="0"/>
    <w:p>
      <w:pPr>
        <w:pStyle w:val="2"/>
        <w:rPr>
          <w:lang w:eastAsia="zh-CN"/>
        </w:rPr>
      </w:pPr>
      <w:bookmarkStart w:id="1" w:name="_Toc116373912"/>
      <w:r>
        <w:rPr>
          <w:rFonts w:hint="eastAsia"/>
          <w:lang w:eastAsia="zh-CN"/>
        </w:rPr>
        <w:t>流程概览</w:t>
      </w:r>
      <w:bookmarkEnd w:id="1"/>
    </w:p>
    <w:p>
      <w:pPr>
        <w:pStyle w:val="3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/说明流程要求和属性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26"/>
        <w:gridCol w:w="6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2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436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436" w:type="dxa"/>
          </w:tcPr>
          <w:p>
            <w:pPr>
              <w:spacing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pStyle w:val="3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26" w:type="dxa"/>
          </w:tcPr>
          <w:p>
            <w:pPr>
              <w:pStyle w:val="3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436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t>业务流程</w:t>
      </w:r>
      <w:bookmarkEnd w:id="2"/>
    </w:p>
    <w:p>
      <w:pPr>
        <w:pStyle w:val="4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RPA预警：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在资金划拨指令生成完成后，对每一个导出表进行检查，如出现单笔金额或单日总金额超过最大授权金额的情况，则提示弹窗进行提醒，弹窗保持至操作人员点击确认为止。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具体导出表与单笔金额/总金额对应表如下：</w:t>
      </w:r>
    </w:p>
    <w:tbl>
      <w:tblPr>
        <w:tblStyle w:val="2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导出表名称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单笔最大授权金额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单日最大授权金额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2509-赎回待转_行内_日期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80亿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35亿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2625-结算_行外_日期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80亿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50亿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8870-赎回待转_日期（暂无）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80亿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所有导出表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80亿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0" w:after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2、部分导出表内备注修改：</w:t>
      </w:r>
      <w:r>
        <w:rPr>
          <w:rFonts w:hint="eastAsia"/>
          <w:lang w:val="en-US" w:eastAsia="zh-CN"/>
        </w:rPr>
        <w:br w:type="textWrapping"/>
      </w:r>
    </w:p>
    <w:tbl>
      <w:tblPr>
        <w:tblStyle w:val="2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导出表名称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筛选条件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更新后备注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2509-赎回待转_行内_日期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导出表内全部流水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销售商代码:销售商名称-产品代码:产品名称-深圳分行T+0.5赎回款垫资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2625-结算_行外_日期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导出表内全部流水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销售商代码:销售商名称-产品代码:产品名称-平安银行T+0.5赎回款垫资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8870-赎回待转_日期(暂无)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导出表内全部流水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销售商代码:销售商名称-产品代码:产品名称-中信银行T+0.5赎回款垫资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restart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7804-结算_行外_日期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收款账号为：78240127550000001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销售商代码:销售商名称-产品代码:产品名称-深圳分行T+0.5赎回款垫资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continue"/>
            <w:tcBorders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</w:t>
            </w:r>
          </w:p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048199262016700042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销售商代码:销售商名称-产品代码:产品名称-平安银行T+0.5赎回款垫资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continue"/>
            <w:tcBorders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52" w:type="dxa"/>
            <w:shd w:val="clear" w:color="auto" w:fill="DBEEF3" w:themeFill="accent5" w:themeFillTint="32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</w:t>
            </w:r>
          </w:p>
        </w:tc>
        <w:tc>
          <w:tcPr>
            <w:tcW w:w="2952" w:type="dxa"/>
            <w:shd w:val="clear" w:color="auto" w:fill="DBEEF3" w:themeFill="accent5" w:themeFillTint="32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</w:t>
            </w:r>
            <w:bookmarkStart w:id="9" w:name="_GoBack"/>
            <w:bookmarkEnd w:id="9"/>
            <w:r>
              <w:rPr>
                <w:rFonts w:hint="eastAsia"/>
                <w:sz w:val="21"/>
                <w:szCs w:val="21"/>
                <w:lang w:val="en-US" w:eastAsia="zh-CN"/>
              </w:rPr>
              <w:t>售商名称-产品代码:产品名称-中信银行T+0.5赎回款垫资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restart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2849-结算_行外_日期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</w:t>
            </w:r>
          </w:p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78240127550000001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销售商代码:销售商名称-产品代码:产品名称-深圳分行T+0.5赎回款垫资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continue"/>
            <w:tcBorders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</w:t>
            </w:r>
          </w:p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048199262016700042</w:t>
            </w:r>
          </w:p>
        </w:tc>
        <w:tc>
          <w:tcPr>
            <w:tcW w:w="2952" w:type="dxa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销售商代码:销售商名称-产品代码:产品名称-平安银行T+0.5赎回款垫资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952" w:type="dxa"/>
            <w:vMerge w:val="continue"/>
            <w:tcBorders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952" w:type="dxa"/>
            <w:shd w:val="clear" w:color="auto" w:fill="DBEEF3" w:themeFill="accent5" w:themeFillTint="32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收款账号为：</w:t>
            </w:r>
          </w:p>
        </w:tc>
        <w:tc>
          <w:tcPr>
            <w:tcW w:w="2952" w:type="dxa"/>
            <w:shd w:val="clear" w:color="auto" w:fill="DBEEF3" w:themeFill="accent5" w:themeFillTint="32"/>
          </w:tcPr>
          <w:p>
            <w:pPr>
              <w:pStyle w:val="3"/>
              <w:spacing w:before="0" w:after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销售商代码:销售商名称-产品代码:产品名称-平安银行T+0.5赎回款垫资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>
      <w:pPr>
        <w:pStyle w:val="3"/>
        <w:spacing w:before="0" w:after="0"/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，简要说明流程场景，业务流程图做描述补充）</w:t>
      </w:r>
    </w:p>
    <w:p>
      <w:pPr>
        <w:pStyle w:val="3"/>
        <w:spacing w:before="0" w:after="0"/>
        <w:ind w:firstLine="720" w:firstLineChars="0"/>
        <w:rPr>
          <w:rFonts w:hint="eastAsia"/>
          <w:sz w:val="21"/>
          <w:szCs w:val="21"/>
          <w:lang w:val="en-US"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  <w:sectPr>
          <w:footerReference r:id="rId5" w:type="first"/>
          <w:headerReference r:id="rId3" w:type="default"/>
          <w:footerReference r:id="rId4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26" w:charSpace="0"/>
        </w:sectPr>
      </w:pPr>
    </w:p>
    <w:p>
      <w:pPr>
        <w:pStyle w:val="2"/>
        <w:rPr>
          <w:lang w:eastAsia="zh-CN"/>
        </w:rPr>
      </w:pPr>
      <w:bookmarkStart w:id="5" w:name="_Toc116373916"/>
      <w:r>
        <w:rPr>
          <w:lang w:eastAsia="zh-CN"/>
        </w:rPr>
        <w:t>流程操作步骤详解</w:t>
      </w:r>
      <w:bookmarkEnd w:id="5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，“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。</w:t>
      </w:r>
    </w:p>
    <w:p>
      <w:pPr>
        <w:pStyle w:val="3"/>
        <w:spacing w:before="0" w:after="0"/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注意：当流程操作步骤出现容易歧义的内容时，应在流程操作步骤描述中详细举例说明操作步骤逻辑</w:t>
      </w:r>
    </w:p>
    <w:p>
      <w:pPr>
        <w:pStyle w:val="2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t>紧急预案</w:t>
      </w:r>
      <w:bookmarkEnd w:id="6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机器人由于不可抗拒原因导致无法运行后，进行人为处理方法；</w:t>
      </w:r>
    </w:p>
    <w:p>
      <w:pPr>
        <w:pStyle w:val="3"/>
        <w:rPr>
          <w:lang w:eastAsia="zh-CN"/>
        </w:rPr>
      </w:pPr>
    </w:p>
    <w:p>
      <w:pPr>
        <w:pStyle w:val="2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>
      <w:pPr>
        <w:pStyle w:val="3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）</w:t>
      </w:r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，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：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1-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2步会出现广告弹框等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113"/>
        <w:gridCol w:w="6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13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6850" w:type="dxa"/>
            <w:shd w:val="clear" w:color="auto" w:fill="548DD4" w:themeFill="text2" w:themeFillTint="99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3"/>
              <w:numPr>
                <w:ilvl w:val="0"/>
                <w:numId w:val="4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13" w:type="dxa"/>
          </w:tcPr>
          <w:p>
            <w:pPr>
              <w:pStyle w:val="3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850" w:type="dxa"/>
          </w:tcPr>
          <w:p>
            <w:pPr>
              <w:pStyle w:val="3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2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>
      <w:pPr>
        <w:pStyle w:val="3"/>
        <w:spacing w:before="0" w:after="0"/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  <w14:textFill>
            <w14:solidFill>
              <w14:schemeClr w14:val="accent1"/>
            </w14:solidFill>
          </w14:textFill>
        </w:rPr>
        <w:t>由甲方人员填写，并签字；</w:t>
      </w:r>
    </w:p>
    <w:tbl>
      <w:tblPr>
        <w:tblStyle w:val="2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3571"/>
        <w:gridCol w:w="455"/>
        <w:gridCol w:w="4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48DD4" w:themeFill="text2" w:themeFillTint="99"/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</w:p>
          <w:p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>
      <w:pPr>
        <w:rPr>
          <w:lang w:eastAsia="zh-CN"/>
        </w:rPr>
      </w:pPr>
    </w:p>
    <w:sectPr>
      <w:headerReference r:id="rId6" w:type="first"/>
      <w:footerReference r:id="rId7" w:type="first"/>
      <w:pgSz w:w="12240" w:h="15840"/>
      <w:pgMar w:top="1440" w:right="1800" w:bottom="1440" w:left="1800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y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84695291"/>
    </w:sdtPr>
    <w:sdtContent>
      <w:sdt>
        <w:sdtPr>
          <w:id w:val="-1769616900"/>
        </w:sdtPr>
        <w:sdtContent>
          <w:p>
            <w:pPr>
              <w:pStyle w:val="16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9918456"/>
    </w:sdtPr>
    <w:sdtContent>
      <w:sdt>
        <w:sdtPr>
          <w:id w:val="230274369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23452700"/>
    </w:sdtPr>
    <w:sdtContent>
      <w:sdt>
        <w:sdtPr>
          <w:id w:val="-1796212147"/>
        </w:sdtPr>
        <w:sdtContent>
          <w:p>
            <w:pPr>
              <w:pStyle w:val="16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ab/>
    </w:r>
    <w:r>
      <w:rPr>
        <w:lang w:eastAsia="zh-CN"/>
      </w:rPr>
      <w:t xml:space="preserve"> </w:t>
    </w:r>
    <w:r>
      <w:rPr>
        <w:rFonts w:hint="eastAsia"/>
        <w:lang w:eastAsia="zh-CN"/>
      </w:rPr>
      <w:t>光大理财RPA项目流程需求说明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光大理财RPA项目流程需求说明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604"/>
    <w:multiLevelType w:val="singleLevel"/>
    <w:tmpl w:val="0B47660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1">
    <w:nsid w:val="30501DC1"/>
    <w:multiLevelType w:val="multilevel"/>
    <w:tmpl w:val="30501DC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8013DB"/>
    <w:multiLevelType w:val="multilevel"/>
    <w:tmpl w:val="488013D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3">
    <w:nsid w:val="649D6B8E"/>
    <w:multiLevelType w:val="singleLevel"/>
    <w:tmpl w:val="649D6B8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90D07"/>
    <w:rsid w:val="005A3AC1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373B7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737A8"/>
    <w:rsid w:val="00E80040"/>
    <w:rsid w:val="00E91EBF"/>
    <w:rsid w:val="00E93946"/>
    <w:rsid w:val="00EA565F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1752F66"/>
    <w:rsid w:val="02400D24"/>
    <w:rsid w:val="050C4845"/>
    <w:rsid w:val="0545206A"/>
    <w:rsid w:val="05E1282F"/>
    <w:rsid w:val="07180707"/>
    <w:rsid w:val="09324D15"/>
    <w:rsid w:val="099A5D78"/>
    <w:rsid w:val="0B013438"/>
    <w:rsid w:val="0BBD6779"/>
    <w:rsid w:val="106F45A6"/>
    <w:rsid w:val="110B3D67"/>
    <w:rsid w:val="1361477B"/>
    <w:rsid w:val="136327B7"/>
    <w:rsid w:val="14721C5F"/>
    <w:rsid w:val="174362B4"/>
    <w:rsid w:val="18452594"/>
    <w:rsid w:val="19D33575"/>
    <w:rsid w:val="1D611629"/>
    <w:rsid w:val="1D7B3CE8"/>
    <w:rsid w:val="1D94403F"/>
    <w:rsid w:val="1E450CDA"/>
    <w:rsid w:val="1E626835"/>
    <w:rsid w:val="1E6D7963"/>
    <w:rsid w:val="1FA12E8F"/>
    <w:rsid w:val="208169DD"/>
    <w:rsid w:val="20BA2963"/>
    <w:rsid w:val="21665588"/>
    <w:rsid w:val="253A7292"/>
    <w:rsid w:val="2A1D10B3"/>
    <w:rsid w:val="2EE1586C"/>
    <w:rsid w:val="317F391F"/>
    <w:rsid w:val="343059B4"/>
    <w:rsid w:val="35A61DA0"/>
    <w:rsid w:val="35F03CA6"/>
    <w:rsid w:val="365E0BCA"/>
    <w:rsid w:val="366377E0"/>
    <w:rsid w:val="37F706FA"/>
    <w:rsid w:val="39A43106"/>
    <w:rsid w:val="3A1C03D5"/>
    <w:rsid w:val="3B7768A9"/>
    <w:rsid w:val="3C63193B"/>
    <w:rsid w:val="41B81826"/>
    <w:rsid w:val="41C5002D"/>
    <w:rsid w:val="4290657D"/>
    <w:rsid w:val="457B5BD5"/>
    <w:rsid w:val="459E25D5"/>
    <w:rsid w:val="45FA5E87"/>
    <w:rsid w:val="4B6C0350"/>
    <w:rsid w:val="4CDC3BA7"/>
    <w:rsid w:val="4D241A43"/>
    <w:rsid w:val="5273571D"/>
    <w:rsid w:val="53292FE6"/>
    <w:rsid w:val="54FD2CF5"/>
    <w:rsid w:val="58467FE5"/>
    <w:rsid w:val="59114ADB"/>
    <w:rsid w:val="59B1257F"/>
    <w:rsid w:val="5AFE75DB"/>
    <w:rsid w:val="5DAF695E"/>
    <w:rsid w:val="61251748"/>
    <w:rsid w:val="64004505"/>
    <w:rsid w:val="654B7E48"/>
    <w:rsid w:val="65C738FD"/>
    <w:rsid w:val="67AA3297"/>
    <w:rsid w:val="67C77592"/>
    <w:rsid w:val="689C52BF"/>
    <w:rsid w:val="6BC66478"/>
    <w:rsid w:val="6D542AA1"/>
    <w:rsid w:val="6E851038"/>
    <w:rsid w:val="6EC20CBF"/>
    <w:rsid w:val="702F4A26"/>
    <w:rsid w:val="71CE5A98"/>
    <w:rsid w:val="7239341A"/>
    <w:rsid w:val="72782A78"/>
    <w:rsid w:val="72C95CB0"/>
    <w:rsid w:val="73C259CF"/>
    <w:rsid w:val="747C6B7E"/>
    <w:rsid w:val="74DB40B1"/>
    <w:rsid w:val="77734DC0"/>
    <w:rsid w:val="78AD7B0B"/>
    <w:rsid w:val="7C7B5589"/>
    <w:rsid w:val="7C9A3C2A"/>
    <w:rsid w:val="7D663892"/>
    <w:rsid w:val="7E78563C"/>
    <w:rsid w:val="7EB03D84"/>
    <w:rsid w:val="7FA60C49"/>
  </w:rsids>
  <m:mathPr>
    <m:lMargin m:val="0"/>
    <m:mathFont m:val="Cambria Math"/>
    <m:rMargin m:val="0"/>
    <m:brkBin m:val="before"/>
    <m:brkBinSub m:val="--"/>
    <m:defJc m:val="centerGroup"/>
    <m:intLim m:val="subSup"/>
    <m:naryLim m:val="subSup"/>
    <m:smallFrac m:val="0"/>
    <m:dispDef m:val="0"/>
    <m:wrapRight m:val="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nhideWhenUsed="0" w:uiPriority="0" w:semiHidden="0" w:name="List Number 2"/>
    <w:lsdException w:uiPriority="0" w:name="List Number 3"/>
    <w:lsdException w:uiPriority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1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5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4">
    <w:name w:val="Hyperlink"/>
    <w:basedOn w:val="25"/>
    <w:qFormat/>
    <w:uiPriority w:val="99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题注 字符"/>
    <w:basedOn w:val="23"/>
    <w:link w:val="12"/>
    <w:qFormat/>
    <w:uiPriority w:val="0"/>
  </w:style>
  <w:style w:type="character" w:styleId="26">
    <w:name w:val="footnote reference"/>
    <w:basedOn w:val="25"/>
    <w:qFormat/>
    <w:uiPriority w:val="0"/>
    <w:rPr>
      <w:vertAlign w:val="superscript"/>
    </w:rPr>
  </w:style>
  <w:style w:type="table" w:styleId="28">
    <w:name w:val="Table Grid"/>
    <w:basedOn w:val="27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书目1"/>
    <w:basedOn w:val="1"/>
    <w:qFormat/>
    <w:uiPriority w:val="0"/>
  </w:style>
  <w:style w:type="table" w:customStyle="1" w:styleId="34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</w:pPr>
  </w:style>
  <w:style w:type="character" w:customStyle="1" w:styleId="41">
    <w:name w:val="Verbatim Char"/>
    <w:basedOn w:val="25"/>
    <w:link w:val="42"/>
    <w:qFormat/>
    <w:uiPriority w:val="0"/>
    <w:rPr>
      <w:rFonts w:ascii="Consolas" w:hAnsi="Consolas"/>
      <w:sz w:val="22"/>
    </w:rPr>
  </w:style>
  <w:style w:type="paragraph" w:customStyle="1" w:styleId="42">
    <w:name w:val="Source Code"/>
    <w:basedOn w:val="1"/>
    <w:link w:val="41"/>
    <w:qFormat/>
    <w:uiPriority w:val="0"/>
    <w:pPr>
      <w:wordWrap w:val="0"/>
    </w:pPr>
  </w:style>
  <w:style w:type="paragraph" w:customStyle="1" w:styleId="43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4">
    <w:name w:val="Keyword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45">
    <w:name w:val="DataTypeTok"/>
    <w:basedOn w:val="41"/>
    <w:qFormat/>
    <w:uiPriority w:val="0"/>
    <w:rPr>
      <w:rFonts w:ascii="Consolas" w:hAnsi="Consolas"/>
      <w:color w:val="902000"/>
      <w:sz w:val="22"/>
    </w:rPr>
  </w:style>
  <w:style w:type="character" w:customStyle="1" w:styleId="46">
    <w:name w:val="DecVal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7">
    <w:name w:val="BaseN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8">
    <w:name w:val="FloatTok"/>
    <w:basedOn w:val="41"/>
    <w:qFormat/>
    <w:uiPriority w:val="0"/>
    <w:rPr>
      <w:rFonts w:ascii="Consolas" w:hAnsi="Consolas"/>
      <w:color w:val="40A070"/>
      <w:sz w:val="22"/>
    </w:rPr>
  </w:style>
  <w:style w:type="character" w:customStyle="1" w:styleId="49">
    <w:name w:val="ConstantTok"/>
    <w:basedOn w:val="41"/>
    <w:qFormat/>
    <w:uiPriority w:val="0"/>
    <w:rPr>
      <w:rFonts w:ascii="Consolas" w:hAnsi="Consolas"/>
      <w:color w:val="880000"/>
      <w:sz w:val="22"/>
    </w:rPr>
  </w:style>
  <w:style w:type="character" w:customStyle="1" w:styleId="50">
    <w:name w:val="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1">
    <w:name w:val="SpecialChar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VerbatimStringTok"/>
    <w:basedOn w:val="41"/>
    <w:qFormat/>
    <w:uiPriority w:val="0"/>
    <w:rPr>
      <w:rFonts w:ascii="Consolas" w:hAnsi="Consolas"/>
      <w:color w:val="4070A0"/>
      <w:sz w:val="22"/>
    </w:rPr>
  </w:style>
  <w:style w:type="character" w:customStyle="1" w:styleId="54">
    <w:name w:val="SpecialStringTok"/>
    <w:basedOn w:val="41"/>
    <w:qFormat/>
    <w:uiPriority w:val="0"/>
    <w:rPr>
      <w:rFonts w:ascii="Consolas" w:hAnsi="Consolas"/>
      <w:color w:val="BB6688"/>
      <w:sz w:val="22"/>
    </w:rPr>
  </w:style>
  <w:style w:type="character" w:customStyle="1" w:styleId="55">
    <w:name w:val="ImportTok"/>
    <w:basedOn w:val="41"/>
    <w:qFormat/>
    <w:uiPriority w:val="0"/>
    <w:rPr>
      <w:rFonts w:ascii="Consolas" w:hAnsi="Consolas"/>
      <w:sz w:val="22"/>
    </w:rPr>
  </w:style>
  <w:style w:type="character" w:customStyle="1" w:styleId="56">
    <w:name w:val="CommentTok"/>
    <w:basedOn w:val="41"/>
    <w:qFormat/>
    <w:uiPriority w:val="0"/>
    <w:rPr>
      <w:rFonts w:ascii="Consolas" w:hAnsi="Consolas"/>
      <w:i/>
      <w:color w:val="60A0B0"/>
      <w:sz w:val="22"/>
    </w:rPr>
  </w:style>
  <w:style w:type="character" w:customStyle="1" w:styleId="57">
    <w:name w:val="DocumentationTok"/>
    <w:basedOn w:val="41"/>
    <w:qFormat/>
    <w:uiPriority w:val="0"/>
    <w:rPr>
      <w:rFonts w:ascii="Consolas" w:hAnsi="Consolas"/>
      <w:i/>
      <w:color w:val="BA2121"/>
      <w:sz w:val="22"/>
    </w:rPr>
  </w:style>
  <w:style w:type="character" w:customStyle="1" w:styleId="58">
    <w:name w:val="Annot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CommentVar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60">
    <w:name w:val="OtherTok"/>
    <w:basedOn w:val="41"/>
    <w:qFormat/>
    <w:uiPriority w:val="0"/>
    <w:rPr>
      <w:rFonts w:ascii="Consolas" w:hAnsi="Consolas"/>
      <w:color w:val="007020"/>
      <w:sz w:val="22"/>
    </w:rPr>
  </w:style>
  <w:style w:type="character" w:customStyle="1" w:styleId="61">
    <w:name w:val="FunctionTok"/>
    <w:basedOn w:val="41"/>
    <w:qFormat/>
    <w:uiPriority w:val="0"/>
    <w:rPr>
      <w:rFonts w:ascii="Consolas" w:hAnsi="Consolas"/>
      <w:color w:val="06287E"/>
      <w:sz w:val="22"/>
    </w:rPr>
  </w:style>
  <w:style w:type="character" w:customStyle="1" w:styleId="62">
    <w:name w:val="VariableTok"/>
    <w:basedOn w:val="41"/>
    <w:qFormat/>
    <w:uiPriority w:val="0"/>
    <w:rPr>
      <w:rFonts w:ascii="Consolas" w:hAnsi="Consolas"/>
      <w:color w:val="19177C"/>
      <w:sz w:val="22"/>
    </w:rPr>
  </w:style>
  <w:style w:type="character" w:customStyle="1" w:styleId="63">
    <w:name w:val="ControlFlowTok"/>
    <w:basedOn w:val="41"/>
    <w:qFormat/>
    <w:uiPriority w:val="0"/>
    <w:rPr>
      <w:rFonts w:ascii="Consolas" w:hAnsi="Consolas"/>
      <w:b/>
      <w:color w:val="007020"/>
      <w:sz w:val="22"/>
    </w:rPr>
  </w:style>
  <w:style w:type="character" w:customStyle="1" w:styleId="64">
    <w:name w:val="OperatorTok"/>
    <w:basedOn w:val="41"/>
    <w:qFormat/>
    <w:uiPriority w:val="0"/>
    <w:rPr>
      <w:rFonts w:ascii="Consolas" w:hAnsi="Consolas"/>
      <w:color w:val="666666"/>
      <w:sz w:val="22"/>
    </w:rPr>
  </w:style>
  <w:style w:type="character" w:customStyle="1" w:styleId="65">
    <w:name w:val="BuiltInTok"/>
    <w:basedOn w:val="41"/>
    <w:qFormat/>
    <w:uiPriority w:val="0"/>
    <w:rPr>
      <w:rFonts w:ascii="Consolas" w:hAnsi="Consolas"/>
      <w:sz w:val="22"/>
    </w:rPr>
  </w:style>
  <w:style w:type="character" w:customStyle="1" w:styleId="66">
    <w:name w:val="ExtensionTok"/>
    <w:basedOn w:val="41"/>
    <w:qFormat/>
    <w:uiPriority w:val="0"/>
    <w:rPr>
      <w:rFonts w:ascii="Consolas" w:hAnsi="Consolas"/>
      <w:sz w:val="22"/>
    </w:rPr>
  </w:style>
  <w:style w:type="character" w:customStyle="1" w:styleId="67">
    <w:name w:val="PreprocessorTok"/>
    <w:basedOn w:val="41"/>
    <w:qFormat/>
    <w:uiPriority w:val="0"/>
    <w:rPr>
      <w:rFonts w:ascii="Consolas" w:hAnsi="Consolas"/>
      <w:color w:val="BC7A00"/>
      <w:sz w:val="22"/>
    </w:rPr>
  </w:style>
  <w:style w:type="character" w:customStyle="1" w:styleId="68">
    <w:name w:val="AttributeTok"/>
    <w:basedOn w:val="41"/>
    <w:qFormat/>
    <w:uiPriority w:val="0"/>
    <w:rPr>
      <w:rFonts w:ascii="Consolas" w:hAnsi="Consolas"/>
      <w:color w:val="7D9029"/>
      <w:sz w:val="22"/>
    </w:rPr>
  </w:style>
  <w:style w:type="character" w:customStyle="1" w:styleId="69">
    <w:name w:val="RegionMarkerTok"/>
    <w:basedOn w:val="41"/>
    <w:qFormat/>
    <w:uiPriority w:val="0"/>
    <w:rPr>
      <w:rFonts w:ascii="Consolas" w:hAnsi="Consolas"/>
      <w:sz w:val="22"/>
    </w:rPr>
  </w:style>
  <w:style w:type="character" w:customStyle="1" w:styleId="70">
    <w:name w:val="Information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WarningTok"/>
    <w:basedOn w:val="41"/>
    <w:qFormat/>
    <w:uiPriority w:val="0"/>
    <w:rPr>
      <w:rFonts w:ascii="Consolas" w:hAnsi="Consolas"/>
      <w:b/>
      <w:i/>
      <w:color w:val="60A0B0"/>
      <w:sz w:val="22"/>
    </w:rPr>
  </w:style>
  <w:style w:type="character" w:customStyle="1" w:styleId="72">
    <w:name w:val="Alert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ErrorTok"/>
    <w:basedOn w:val="41"/>
    <w:qFormat/>
    <w:uiPriority w:val="0"/>
    <w:rPr>
      <w:rFonts w:ascii="Consolas" w:hAnsi="Consolas"/>
      <w:b/>
      <w:color w:val="FF0000"/>
      <w:sz w:val="22"/>
    </w:rPr>
  </w:style>
  <w:style w:type="character" w:customStyle="1" w:styleId="74">
    <w:name w:val="NormalTok"/>
    <w:basedOn w:val="41"/>
    <w:qFormat/>
    <w:uiPriority w:val="0"/>
    <w:rPr>
      <w:rFonts w:ascii="Consolas" w:hAnsi="Consolas"/>
      <w:sz w:val="22"/>
    </w:rPr>
  </w:style>
  <w:style w:type="character" w:customStyle="1" w:styleId="75">
    <w:name w:val="页眉 字符"/>
    <w:basedOn w:val="23"/>
    <w:link w:val="17"/>
    <w:qFormat/>
    <w:uiPriority w:val="0"/>
    <w:rPr>
      <w:sz w:val="18"/>
      <w:szCs w:val="18"/>
    </w:rPr>
  </w:style>
  <w:style w:type="character" w:customStyle="1" w:styleId="76">
    <w:name w:val="页脚 字符"/>
    <w:basedOn w:val="23"/>
    <w:link w:val="16"/>
    <w:qFormat/>
    <w:uiPriority w:val="99"/>
    <w:rPr>
      <w:sz w:val="18"/>
      <w:szCs w:val="18"/>
    </w:rPr>
  </w:style>
  <w:style w:type="paragraph" w:customStyle="1" w:styleId="77">
    <w:name w:val="city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customStyle="1" w:styleId="78">
    <w:name w:val="21标头"/>
    <w:basedOn w:val="1"/>
    <w:qFormat/>
    <w:uiPriority w:val="0"/>
    <w:pPr>
      <w:widowControl w:val="0"/>
      <w:spacing w:after="0" w:line="360" w:lineRule="auto"/>
      <w:jc w:val="center"/>
    </w:pPr>
    <w:rPr>
      <w:rFonts w:ascii="Times New Roman" w:hAnsi="Times New Roman" w:eastAsia="宋体" w:cs="Times New Roman"/>
      <w:b/>
      <w:kern w:val="2"/>
      <w:sz w:val="32"/>
      <w:szCs w:val="32"/>
      <w:lang w:eastAsia="zh-CN"/>
    </w:rPr>
  </w:style>
  <w:style w:type="paragraph" w:customStyle="1" w:styleId="79">
    <w:name w:val="22表格"/>
    <w:basedOn w:val="1"/>
    <w:qFormat/>
    <w:uiPriority w:val="0"/>
    <w:pPr>
      <w:widowControl w:val="0"/>
      <w:spacing w:after="0"/>
      <w:jc w:val="center"/>
    </w:pPr>
    <w:rPr>
      <w:rFonts w:ascii="Times New Roman" w:hAnsi="Times New Roman" w:eastAsia="仿宋_GB2312" w:cs="Times New Roman"/>
      <w:kern w:val="2"/>
      <w:lang w:eastAsia="zh-CN"/>
    </w:rPr>
  </w:style>
  <w:style w:type="paragraph" w:customStyle="1" w:styleId="80">
    <w:name w:val="List Paragraph"/>
    <w:basedOn w:val="1"/>
    <w:qFormat/>
    <w:uiPriority w:val="34"/>
    <w:pPr>
      <w:widowControl w:val="0"/>
      <w:spacing w:after="0"/>
      <w:ind w:firstLine="420" w:firstLineChars="200"/>
      <w:jc w:val="both"/>
    </w:pPr>
    <w:rPr>
      <w:kern w:val="2"/>
      <w:sz w:val="21"/>
      <w:szCs w:val="22"/>
      <w:lang w:eastAsia="zh-CN"/>
    </w:rPr>
  </w:style>
  <w:style w:type="character" w:customStyle="1" w:styleId="81">
    <w:name w:val="正文文本 字符"/>
    <w:basedOn w:val="23"/>
    <w:link w:val="3"/>
    <w:qFormat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231</Words>
  <Characters>1320</Characters>
  <Lines>11</Lines>
  <Paragraphs>3</Paragraphs>
  <ScaleCrop>false</ScaleCrop>
  <LinksUpToDate>false</LinksUpToDate>
  <CharactersWithSpaces>1548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2022-10-14T03:48:00Z</dcterms:created>
  <dc:creator>Justin</dc:creator>
  <cp:lastModifiedBy>郝晗之</cp:lastModifiedBy>
  <dcterms:modified xsi:type="dcterms:W3CDTF">2023-06-30T06:54:58Z</dcterms:modified>
  <dc:title>UiBot 部署说明书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2052-10.8.0.5761</vt:lpwstr>
  </property>
</Properties>
</file>