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val="en-US" w:eastAsia="zh-CN"/>
        </w:rPr>
        <w:t>自动打表</w:t>
      </w: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流程</w:t>
      </w:r>
      <w:r>
        <w:rPr>
          <w:rFonts w:hint="eastAsia" w:ascii="等线" w:hAnsi="等线" w:eastAsia="等线"/>
          <w:b/>
          <w:bCs/>
          <w:sz w:val="44"/>
          <w:szCs w:val="44"/>
          <w:lang w:val="en-US" w:eastAsia="zh-CN"/>
        </w:rPr>
        <w:t>垫资回款拆分</w:t>
      </w: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3"/>
        <w:tblW w:w="8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26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852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90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76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94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75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7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7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7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26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rFonts w:hint="eastAsia"/>
          <w:lang w:eastAsia="zh-CN"/>
        </w:rPr>
      </w:pPr>
    </w:p>
    <w:tbl>
      <w:tblPr>
        <w:tblStyle w:val="23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60"/>
        <w:gridCol w:w="991"/>
        <w:gridCol w:w="1698"/>
        <w:gridCol w:w="858"/>
        <w:gridCol w:w="1175"/>
        <w:gridCol w:w="1396"/>
        <w:gridCol w:w="1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5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效率提升（人员和时间）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righ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运营管理部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郝晗之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将垫资回款流水单独拆到一个导出表中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每工作日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0.5小时/1人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20230423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6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6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6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6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6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6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6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6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通过机器人在“新一代”、“统一TA现金”、“统一TA净值”系统中取数并按照模板生成对应的电子划款指令。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钉钉或邮件等方式确定格式和联系人</w:t>
            </w:r>
          </w:p>
        </w:tc>
      </w:tr>
    </w:tbl>
    <w:p/>
    <w:p>
      <w:pPr>
        <w:spacing w:after="0"/>
      </w:pPr>
      <w: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/一般用Visio画出业务流程图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3点“流程操作步骤详解”一一对应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《XXXRPA项目XX流程相关流程图.vsdx》文件的“需求流程图”中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numPr>
          <w:ilvl w:val="0"/>
          <w:numId w:val="3"/>
        </w:numPr>
        <w:tabs>
          <w:tab w:val="left" w:pos="2888"/>
        </w:tabs>
        <w:spacing w:after="20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取值</w:t>
      </w:r>
    </w:p>
    <w:p>
      <w:pPr>
        <w:numPr>
          <w:ilvl w:val="0"/>
          <w:numId w:val="0"/>
        </w:numPr>
        <w:tabs>
          <w:tab w:val="left" w:pos="2888"/>
        </w:tabs>
        <w:spacing w:after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取值部分与《光大理财RPA项目自动打表流程需求说明》一致。</w:t>
      </w:r>
    </w:p>
    <w:p>
      <w:pPr>
        <w:numPr>
          <w:ilvl w:val="0"/>
          <w:numId w:val="3"/>
        </w:numPr>
        <w:tabs>
          <w:tab w:val="left" w:pos="2888"/>
        </w:tabs>
        <w:spacing w:after="20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导表</w:t>
      </w:r>
    </w:p>
    <w:p>
      <w:pPr>
        <w:numPr>
          <w:ilvl w:val="0"/>
          <w:numId w:val="0"/>
        </w:numPr>
        <w:tabs>
          <w:tab w:val="left" w:pos="2888"/>
        </w:tabs>
        <w:spacing w:after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1）新增导出表《7804-垫资回款__日期》、//《2849-垫资回款__日期》。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2）将原导出表名称为《</w:t>
      </w:r>
      <w:bookmarkStart w:id="9" w:name="_GoBack"/>
      <w:r>
        <w:rPr>
          <w:rFonts w:hint="eastAsia"/>
          <w:lang w:val="en-US" w:eastAsia="zh-CN"/>
        </w:rPr>
        <w:t>7804-结算_行外_日期</w:t>
      </w:r>
      <w:bookmarkEnd w:id="9"/>
      <w:r>
        <w:rPr>
          <w:rFonts w:hint="eastAsia"/>
          <w:lang w:val="en-US" w:eastAsia="zh-CN"/>
        </w:rPr>
        <w:t>》、《2849-结算_行外_日期》中，资金类型为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5:垫资回款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的流水数据单独拆出，放入新导出表《7804-垫资回款__日期》、《2849-垫资回款__日期》中。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3）具体格式与《7804-结算_行外_日期》、《2849-结算_行外_日期》保持一致。</w:t>
      </w:r>
    </w:p>
    <w:p>
      <w:pPr>
        <w:numPr>
          <w:ilvl w:val="0"/>
          <w:numId w:val="0"/>
        </w:numPr>
        <w:tabs>
          <w:tab w:val="left" w:pos="2888"/>
        </w:tabs>
        <w:spacing w:after="200"/>
        <w:ind w:leftChars="0"/>
        <w:rPr>
          <w:rFonts w:hint="default"/>
          <w:lang w:val="en-US" w:eastAsia="zh-CN"/>
        </w:r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tbl>
      <w:tblPr>
        <w:tblStyle w:val="24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2378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7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59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取值</w:t>
            </w: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393950" cy="17462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如出现机器人不可运行，则需人工进行处理，具体处理流程与“2.2业务流程描述”一致。</w:t>
      </w: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3671"/>
        <w:gridCol w:w="45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8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</w:sdtPr>
    <w:sdtContent>
      <w:sdt>
        <w:sdtPr>
          <w:id w:val="-1796212147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4">
    <w:nsid w:val="63DB8248"/>
    <w:multiLevelType w:val="singleLevel"/>
    <w:tmpl w:val="63DB824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YjQ1MjAxNzAzMGUyMDMyOWZiMDA1MDlhMzUwM2IifQ=="/>
    <w:docVar w:name="KSO_WPS_MARK_KEY" w:val="d8063953-96be-42d4-8dc2-07451a3a6118"/>
  </w:docVars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67429"/>
    <w:rsid w:val="006A14E1"/>
    <w:rsid w:val="006C0B33"/>
    <w:rsid w:val="006C7B97"/>
    <w:rsid w:val="007136D2"/>
    <w:rsid w:val="00726CAA"/>
    <w:rsid w:val="00743366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0FA20A2"/>
    <w:rsid w:val="02400D24"/>
    <w:rsid w:val="04B17E6C"/>
    <w:rsid w:val="05364133"/>
    <w:rsid w:val="055E17B9"/>
    <w:rsid w:val="0B013438"/>
    <w:rsid w:val="0C7D206B"/>
    <w:rsid w:val="0EDB649F"/>
    <w:rsid w:val="0FDD4F8D"/>
    <w:rsid w:val="106F45A6"/>
    <w:rsid w:val="11804D3F"/>
    <w:rsid w:val="120D478D"/>
    <w:rsid w:val="137670B6"/>
    <w:rsid w:val="150317C5"/>
    <w:rsid w:val="165D5A3B"/>
    <w:rsid w:val="18064C48"/>
    <w:rsid w:val="18D23AE8"/>
    <w:rsid w:val="192322E6"/>
    <w:rsid w:val="19D33575"/>
    <w:rsid w:val="1D611629"/>
    <w:rsid w:val="1E004E07"/>
    <w:rsid w:val="1E121D12"/>
    <w:rsid w:val="1EBE636A"/>
    <w:rsid w:val="20025B37"/>
    <w:rsid w:val="20114C85"/>
    <w:rsid w:val="208169DD"/>
    <w:rsid w:val="20BA2963"/>
    <w:rsid w:val="26FA4B3F"/>
    <w:rsid w:val="28423B0D"/>
    <w:rsid w:val="28EA1271"/>
    <w:rsid w:val="30547F98"/>
    <w:rsid w:val="31833460"/>
    <w:rsid w:val="324C1DF3"/>
    <w:rsid w:val="32A0644D"/>
    <w:rsid w:val="333F2A45"/>
    <w:rsid w:val="336147F9"/>
    <w:rsid w:val="35071BB1"/>
    <w:rsid w:val="35FB6E90"/>
    <w:rsid w:val="366377E0"/>
    <w:rsid w:val="37F706FA"/>
    <w:rsid w:val="3C457294"/>
    <w:rsid w:val="3C63193B"/>
    <w:rsid w:val="3D193F9B"/>
    <w:rsid w:val="4290657D"/>
    <w:rsid w:val="445952C0"/>
    <w:rsid w:val="457B5BD5"/>
    <w:rsid w:val="483B1AE1"/>
    <w:rsid w:val="4A767978"/>
    <w:rsid w:val="4AF80B8E"/>
    <w:rsid w:val="4BBB61BE"/>
    <w:rsid w:val="4D241A43"/>
    <w:rsid w:val="4DEB72BB"/>
    <w:rsid w:val="52C850C2"/>
    <w:rsid w:val="54FD2CF5"/>
    <w:rsid w:val="56C8384F"/>
    <w:rsid w:val="574A784D"/>
    <w:rsid w:val="58000ECF"/>
    <w:rsid w:val="58467FE5"/>
    <w:rsid w:val="588F0746"/>
    <w:rsid w:val="59114ADB"/>
    <w:rsid w:val="5D7D35FF"/>
    <w:rsid w:val="5E382A3C"/>
    <w:rsid w:val="5F8C0069"/>
    <w:rsid w:val="60575199"/>
    <w:rsid w:val="635617C5"/>
    <w:rsid w:val="65293546"/>
    <w:rsid w:val="654B7E48"/>
    <w:rsid w:val="658F2506"/>
    <w:rsid w:val="65C738FD"/>
    <w:rsid w:val="66B20695"/>
    <w:rsid w:val="67C77592"/>
    <w:rsid w:val="6D0B43BB"/>
    <w:rsid w:val="6D542AA1"/>
    <w:rsid w:val="6D542BB4"/>
    <w:rsid w:val="6E0E6145"/>
    <w:rsid w:val="6E5222DE"/>
    <w:rsid w:val="6E851038"/>
    <w:rsid w:val="6EC20CBF"/>
    <w:rsid w:val="6F35208D"/>
    <w:rsid w:val="702F4A26"/>
    <w:rsid w:val="747C6B7E"/>
    <w:rsid w:val="77734DC0"/>
    <w:rsid w:val="77D23066"/>
    <w:rsid w:val="793F3B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table" w:styleId="24">
    <w:name w:val="Table Grid"/>
    <w:basedOn w:val="23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7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题注 Char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Char"/>
    <w:basedOn w:val="25"/>
    <w:link w:val="17"/>
    <w:qFormat/>
    <w:uiPriority w:val="0"/>
    <w:rPr>
      <w:sz w:val="18"/>
      <w:szCs w:val="18"/>
    </w:rPr>
  </w:style>
  <w:style w:type="character" w:customStyle="1" w:styleId="76">
    <w:name w:val="页脚 Char"/>
    <w:basedOn w:val="25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qFormat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qFormat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customStyle="1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Char"/>
    <w:basedOn w:val="25"/>
    <w:link w:val="3"/>
    <w:qFormat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1479</Words>
  <Characters>1544</Characters>
  <Lines>11</Lines>
  <Paragraphs>3</Paragraphs>
  <TotalTime>1</TotalTime>
  <ScaleCrop>false</ScaleCrop>
  <LinksUpToDate>false</LinksUpToDate>
  <CharactersWithSpaces>1563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user</cp:lastModifiedBy>
  <dcterms:modified xsi:type="dcterms:W3CDTF">2023-08-21T00:44:28Z</dcterms:modified>
  <dc:title>UiBot 部署说明书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372AFD9D608041928E086CB3B12DBA86</vt:lpwstr>
  </property>
</Properties>
</file>