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sz w:val="52"/>
          <w:szCs w:val="52"/>
        </w:rPr>
      </w:pPr>
      <w:bookmarkStart w:id="0" w:name="_Toc254870698"/>
      <w:bookmarkStart w:id="1" w:name="_Toc371084448"/>
      <w:bookmarkStart w:id="2" w:name="_Toc524959965"/>
      <w:r>
        <w:rPr>
          <w:b/>
          <w:sz w:val="44"/>
        </w:rPr>
        <w:drawing>
          <wp:inline distT="0" distB="0" distL="114300" distR="114300">
            <wp:extent cx="2962910" cy="575310"/>
            <wp:effectExtent l="0" t="0" r="8890" b="8890"/>
            <wp:docPr id="22" name="图片 2" descr="C:\Users\user\Desktop\mmexport1617677905550.pngmmexport161767790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C:\Users\user\Desktop\mmexport1617677905550.pngmmexport16176779055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  <w:szCs w:val="52"/>
        </w:rPr>
      </w:pPr>
    </w:p>
    <w:p>
      <w:pPr>
        <w:jc w:val="center"/>
        <w:rPr>
          <w:rFonts w:ascii="宋体" w:hAnsi="宋体"/>
          <w:sz w:val="52"/>
          <w:szCs w:val="52"/>
        </w:rPr>
      </w:pPr>
    </w:p>
    <w:p>
      <w:pPr>
        <w:jc w:val="center"/>
        <w:rPr>
          <w:rFonts w:ascii="宋体" w:hAnsi="宋体"/>
          <w:sz w:val="52"/>
          <w:szCs w:val="52"/>
        </w:rPr>
      </w:pPr>
    </w:p>
    <w:p>
      <w:pPr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RPA Commander系统</w:t>
      </w:r>
    </w:p>
    <w:p>
      <w:pPr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主备机房切换演练报告</w:t>
      </w:r>
    </w:p>
    <w:p>
      <w:pPr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b w:val="0"/>
          <w:bCs/>
          <w:sz w:val="32"/>
          <w:szCs w:val="32"/>
          <w:lang w:val="en-US" w:eastAsia="zh-CN"/>
        </w:rPr>
        <w:t>日期：202311</w:t>
      </w:r>
      <w:r>
        <w:rPr>
          <w:rFonts w:hint="eastAsia" w:ascii="宋体" w:hAnsi="宋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4541520</wp:posOffset>
                </wp:positionV>
                <wp:extent cx="3134995" cy="56070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光大理财有限公司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  <w:u w:val="single"/>
                              </w:rPr>
                              <w:t>2022年12月22日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1pt;margin-top:357.6pt;height:44.15pt;width:246.85pt;z-index:251660288;mso-width-relative:page;mso-height-relative:page;" filled="f" stroked="f" coordsize="21600,21600" o:gfxdata="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7A1HTbAAAACwEAAA8AAAAA&#10;AAAAAQAgAAAAIgAAAGRycy9kb3ducmV2LnhtbFBLAQIUABQAAAAIAIdO4kBvyDJUSgIAAI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</w:rPr>
                        <w:t>光大理财有限公司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  <w:u w:val="single"/>
                        </w:rPr>
                        <w:t>2022年12月22日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 w:val="0"/>
          <w:bCs/>
          <w:sz w:val="32"/>
          <w:szCs w:val="32"/>
          <w:lang w:val="en-US" w:eastAsia="zh-CN"/>
        </w:rPr>
        <w:t>21</w:t>
      </w:r>
    </w:p>
    <w:p>
      <w:pPr>
        <w:jc w:val="center"/>
        <w:rPr>
          <w:rStyle w:val="27"/>
          <w:rFonts w:hint="eastAsia" w:ascii="宋体" w:hAnsi="宋体"/>
          <w:bCs w:val="0"/>
          <w:sz w:val="52"/>
          <w:szCs w:val="52"/>
        </w:rPr>
      </w:pPr>
    </w:p>
    <w:p>
      <w:pPr>
        <w:widowControl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4541520</wp:posOffset>
                </wp:positionV>
                <wp:extent cx="3134995" cy="56070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光大理财有限公司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  <w:u w:val="single"/>
                              </w:rPr>
                              <w:t>2022年12月22日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1pt;margin-top:357.6pt;height:44.15pt;width:246.85pt;z-index:251659264;mso-width-relative:page;mso-height-relative:page;" filled="f" stroked="f" coordsize="21600,21600" o:gfxdata="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7A1HTbAAAACwEAAA8AAAAA&#10;AAAAAQAgAAAAIgAAAGRycy9kb3ducmV2LnhtbFBLAQIUABQAAAAIAIdO4kChisN4SgIAAI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</w:rPr>
                        <w:t>光大理财有限公司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  <w:u w:val="single"/>
                        </w:rPr>
                        <w:t>2022年12月22日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End w:id="0"/>
      <w:bookmarkEnd w:id="1"/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修订记录</w:t>
      </w:r>
    </w:p>
    <w:tbl>
      <w:tblPr>
        <w:tblStyle w:val="9"/>
        <w:tblpPr w:leftFromText="180" w:rightFromText="180" w:vertAnchor="text" w:horzAnchor="margin" w:tblpY="151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239"/>
        <w:gridCol w:w="3073"/>
        <w:gridCol w:w="1086"/>
        <w:gridCol w:w="1124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" w:hRule="atLeast"/>
        </w:trPr>
        <w:tc>
          <w:tcPr>
            <w:tcW w:w="1463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修订日期</w:t>
            </w:r>
          </w:p>
        </w:tc>
        <w:tc>
          <w:tcPr>
            <w:tcW w:w="1239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073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主要修订内容描述</w:t>
            </w:r>
          </w:p>
        </w:tc>
        <w:tc>
          <w:tcPr>
            <w:tcW w:w="1086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修订者</w:t>
            </w:r>
          </w:p>
        </w:tc>
        <w:tc>
          <w:tcPr>
            <w:tcW w:w="1124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审阅者</w:t>
            </w:r>
          </w:p>
        </w:tc>
        <w:tc>
          <w:tcPr>
            <w:tcW w:w="1213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审阅日期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20231121</w:t>
            </w:r>
          </w:p>
        </w:tc>
        <w:tc>
          <w:tcPr>
            <w:tcW w:w="1239" w:type="dxa"/>
            <w:vAlign w:val="center"/>
          </w:tcPr>
          <w:p>
            <w:pPr>
              <w:pStyle w:val="17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3073" w:type="dxa"/>
            <w:vAlign w:val="center"/>
          </w:tcPr>
          <w:p>
            <w:pPr>
              <w:pStyle w:val="17"/>
            </w:pPr>
            <w:r>
              <w:rPr>
                <w:rFonts w:hint="eastAsia"/>
              </w:rPr>
              <w:t>新建</w:t>
            </w:r>
          </w:p>
        </w:tc>
        <w:tc>
          <w:tcPr>
            <w:tcW w:w="1086" w:type="dxa"/>
            <w:vAlign w:val="center"/>
          </w:tcPr>
          <w:p>
            <w:pPr>
              <w:pStyle w:val="19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时爱家</w:t>
            </w:r>
          </w:p>
        </w:tc>
        <w:tc>
          <w:tcPr>
            <w:tcW w:w="1124" w:type="dxa"/>
            <w:vAlign w:val="center"/>
          </w:tcPr>
          <w:p>
            <w:pPr>
              <w:pStyle w:val="19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王斌</w:t>
            </w: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20231121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7"/>
            </w:pPr>
          </w:p>
        </w:tc>
        <w:tc>
          <w:tcPr>
            <w:tcW w:w="1239" w:type="dxa"/>
            <w:vAlign w:val="center"/>
          </w:tcPr>
          <w:p>
            <w:pPr>
              <w:pStyle w:val="17"/>
            </w:pPr>
          </w:p>
        </w:tc>
        <w:tc>
          <w:tcPr>
            <w:tcW w:w="3073" w:type="dxa"/>
            <w:vAlign w:val="center"/>
          </w:tcPr>
          <w:p>
            <w:pPr>
              <w:pStyle w:val="17"/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jc w:val="left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39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3073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39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3073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39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3073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39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3073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</w:tbl>
    <w:p/>
    <w:bookmarkEnd w:id="2"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123590115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_Toc29164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参与演练人员</w:t>
          </w:r>
          <w:r>
            <w:tab/>
          </w:r>
          <w:r>
            <w:fldChar w:fldCharType="begin"/>
          </w:r>
          <w:r>
            <w:instrText xml:space="preserve"> PAGEREF _Toc29164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_Toc998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演练主要场景</w:t>
          </w:r>
          <w:r>
            <w:tab/>
          </w:r>
          <w:r>
            <w:fldChar w:fldCharType="begin"/>
          </w:r>
          <w:r>
            <w:instrText xml:space="preserve"> PAGEREF _Toc998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_Toc32488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演练前准备</w:t>
          </w:r>
          <w:r>
            <w:tab/>
          </w:r>
          <w:r>
            <w:fldChar w:fldCharType="begin"/>
          </w:r>
          <w:r>
            <w:instrText xml:space="preserve"> PAGEREF _Toc32488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_Toc17152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t xml:space="preserve">4 </w:t>
          </w:r>
          <w:r>
            <w:rPr>
              <w:rFonts w:hint="eastAsia"/>
              <w:lang w:val="en-US" w:eastAsia="zh-CN"/>
            </w:rPr>
            <w:t>演练过程</w:t>
          </w:r>
          <w:r>
            <w:tab/>
          </w:r>
          <w:r>
            <w:fldChar w:fldCharType="begin"/>
          </w:r>
          <w:r>
            <w:instrText xml:space="preserve"> PAGEREF _Toc17152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_Toc16273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t xml:space="preserve">5 </w:t>
          </w:r>
          <w:r>
            <w:rPr>
              <w:rFonts w:hint="eastAsia"/>
            </w:rPr>
            <w:t>演练</w:t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_Toc16273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end"/>
          </w:r>
        </w:p>
        <w:p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/>
    <w:p>
      <w:pPr>
        <w:pStyle w:val="3"/>
        <w:numPr>
          <w:ilvl w:val="0"/>
          <w:numId w:val="1"/>
        </w:numPr>
      </w:pPr>
      <w:bookmarkStart w:id="3" w:name="_Toc29164"/>
      <w:r>
        <w:rPr>
          <w:rFonts w:hint="eastAsia"/>
        </w:rPr>
        <w:t>参与演练人员</w:t>
      </w:r>
      <w:bookmarkEnd w:id="3"/>
    </w:p>
    <w:tbl>
      <w:tblPr>
        <w:tblStyle w:val="9"/>
        <w:tblW w:w="92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1417"/>
        <w:gridCol w:w="48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tblHeader/>
        </w:trPr>
        <w:tc>
          <w:tcPr>
            <w:tcW w:w="2987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5"/>
              <w:ind w:firstLine="0" w:firstLineChars="0"/>
              <w:jc w:val="center"/>
              <w:rPr>
                <w:rFonts w:ascii="仿宋" w:hAnsi="仿宋" w:eastAsia="仿宋"/>
                <w:kern w:val="2"/>
                <w:sz w:val="24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角色</w:t>
            </w:r>
          </w:p>
        </w:tc>
        <w:tc>
          <w:tcPr>
            <w:tcW w:w="1417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5"/>
              <w:ind w:firstLine="0" w:firstLineChars="0"/>
              <w:jc w:val="center"/>
              <w:rPr>
                <w:rFonts w:hint="eastAsia" w:ascii="仿宋" w:hAnsi="仿宋" w:eastAsia="仿宋"/>
                <w:kern w:val="2"/>
                <w:sz w:val="24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人员</w:t>
            </w:r>
          </w:p>
        </w:tc>
        <w:tc>
          <w:tcPr>
            <w:tcW w:w="482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pStyle w:val="25"/>
              <w:ind w:firstLine="0" w:firstLineChars="0"/>
              <w:jc w:val="center"/>
              <w:rPr>
                <w:rFonts w:ascii="仿宋" w:hAnsi="仿宋" w:eastAsia="仿宋"/>
                <w:kern w:val="2"/>
                <w:sz w:val="24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演练职责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98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jc w:val="center"/>
              <w:rPr>
                <w:rFonts w:hint="default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科技部</w:t>
            </w: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负责人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jc w:val="left"/>
              <w:rPr>
                <w:rFonts w:hint="default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武金伟</w:t>
            </w:r>
          </w:p>
        </w:tc>
        <w:tc>
          <w:tcPr>
            <w:tcW w:w="482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jc w:val="left"/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指挥、决策应急处置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98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jc w:val="center"/>
              <w:rPr>
                <w:rFonts w:hint="default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 w:bidi="ar-SA"/>
              </w:rPr>
              <w:t>团队负责人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王斌</w:t>
            </w:r>
          </w:p>
        </w:tc>
        <w:tc>
          <w:tcPr>
            <w:tcW w:w="482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rPr>
                <w:rFonts w:hint="default" w:ascii="仿宋" w:hAnsi="仿宋" w:eastAsia="仿宋"/>
                <w:kern w:val="2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协调安排应急处置切换，</w:t>
            </w: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同时上报</w:t>
            </w: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相关负责领导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98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应用运维人员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时爱家</w:t>
            </w:r>
          </w:p>
          <w:p>
            <w:pPr>
              <w:widowControl w:val="0"/>
              <w:spacing w:line="360" w:lineRule="auto"/>
              <w:ind w:firstLine="240" w:firstLineChars="100"/>
              <w:rPr>
                <w:rFonts w:hint="default" w:ascii="仿宋" w:hAnsi="仿宋" w:eastAsia="仿宋"/>
                <w:kern w:val="2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郭峰</w:t>
            </w:r>
          </w:p>
        </w:tc>
        <w:tc>
          <w:tcPr>
            <w:tcW w:w="482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分析故障原因，并进行</w:t>
            </w: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执行</w:t>
            </w: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应急处置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98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jc w:val="center"/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系统</w:t>
            </w: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监控人员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rPr>
                <w:rFonts w:hint="default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 w:bidi="ar-SA"/>
              </w:rPr>
              <w:t>郭峰</w:t>
            </w:r>
          </w:p>
        </w:tc>
        <w:tc>
          <w:tcPr>
            <w:tcW w:w="482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发现系统异常，并通知应用运维人员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2987" w:type="dxa"/>
            <w:noWrap w:val="0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="仿宋" w:hAnsi="仿宋" w:eastAsia="仿宋"/>
                <w:kern w:val="2"/>
                <w:sz w:val="24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业务人员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jc w:val="left"/>
              <w:rPr>
                <w:rFonts w:hint="default" w:ascii="仿宋" w:hAnsi="仿宋" w:eastAsia="仿宋"/>
                <w:kern w:val="2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时爱家</w:t>
            </w:r>
          </w:p>
        </w:tc>
        <w:tc>
          <w:tcPr>
            <w:tcW w:w="4820" w:type="dxa"/>
            <w:noWrap w:val="0"/>
            <w:vAlign w:val="center"/>
          </w:tcPr>
          <w:p>
            <w:pPr>
              <w:widowControl w:val="0"/>
              <w:spacing w:line="360" w:lineRule="auto"/>
              <w:ind w:firstLine="240" w:firstLineChars="100"/>
              <w:jc w:val="left"/>
              <w:rPr>
                <w:rFonts w:hint="eastAsia" w:ascii="仿宋" w:hAnsi="仿宋" w:eastAsia="仿宋"/>
                <w:kern w:val="2"/>
                <w:sz w:val="24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24"/>
                <w:szCs w:val="32"/>
                <w:lang w:val="en-US" w:eastAsia="zh-CN"/>
              </w:rPr>
              <w:t>业务</w:t>
            </w:r>
            <w:r>
              <w:rPr>
                <w:rFonts w:hint="eastAsia" w:ascii="仿宋" w:hAnsi="仿宋" w:eastAsia="仿宋"/>
                <w:kern w:val="2"/>
                <w:sz w:val="24"/>
                <w:szCs w:val="32"/>
              </w:rPr>
              <w:t>验证应用可用性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4" w:name="_Toc998"/>
      <w:r>
        <w:rPr>
          <w:rFonts w:hint="eastAsia"/>
        </w:rPr>
        <w:t>演练主要场景</w:t>
      </w:r>
      <w:bookmarkEnd w:id="4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模拟生产机房整体瘫痪，需要数据库、中间件、服务全部切换到灾备机房，并保障业务灾备环境运行三日。</w:t>
      </w:r>
    </w:p>
    <w:p>
      <w:pPr>
        <w:pStyle w:val="3"/>
        <w:numPr>
          <w:ilvl w:val="0"/>
          <w:numId w:val="1"/>
        </w:numPr>
      </w:pPr>
      <w:bookmarkStart w:id="5" w:name="_Toc32488"/>
      <w:r>
        <w:rPr>
          <w:rFonts w:hint="eastAsia"/>
        </w:rPr>
        <w:t>演练前准备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为保证演练的有效性、可靠性，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提前准备</w:t>
      </w:r>
      <w:r>
        <w:rPr>
          <w:rFonts w:hint="eastAsia"/>
          <w:lang w:val="en-US" w:eastAsia="zh-CN"/>
        </w:rPr>
        <w:t>演练方案，并做好数据备份等工作。</w:t>
      </w:r>
    </w:p>
    <w:p>
      <w:pPr>
        <w:pStyle w:val="3"/>
        <w:numPr>
          <w:ilvl w:val="0"/>
          <w:numId w:val="1"/>
        </w:numPr>
      </w:pPr>
      <w:bookmarkStart w:id="6" w:name="_Toc17152"/>
      <w:r>
        <w:rPr>
          <w:rFonts w:hint="eastAsia"/>
          <w:lang w:val="en-US" w:eastAsia="zh-CN"/>
        </w:rPr>
        <w:t>演练过程</w:t>
      </w:r>
      <w:bookmarkEnd w:id="6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1、启动演练实际步骤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2023年11月17日 15:10，演练组织小组确定参演人员全部就位；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2023年11月17日 15:15，开始进行灾备环境切换演练；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2023年11月20日 14:15，开始进行恢复环境（灾备&gt;&gt;生产</w:t>
      </w:r>
      <w:bookmarkStart w:id="9" w:name="_GoBack"/>
      <w:bookmarkEnd w:id="9"/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2、应急处理</w:t>
      </w:r>
    </w:p>
    <w:p/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数据库进行自动切换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应用切换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切换前校验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确认所有系统服务程序进行版本校验。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59070" cy="2531745"/>
            <wp:effectExtent l="0" t="0" r="17780" b="190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2566035"/>
            <wp:effectExtent l="0" t="0" r="8255" b="571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RPA Commander系统主服务器停止运行</w:t>
      </w:r>
    </w:p>
    <w:p>
      <w:pPr>
        <w:jc w:val="both"/>
      </w:pPr>
      <w:r>
        <w:drawing>
          <wp:inline distT="0" distB="0" distL="114300" distR="114300">
            <wp:extent cx="5285740" cy="542925"/>
            <wp:effectExtent l="0" t="0" r="10160" b="952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检测系统异常后，系统由主节点自动切换为两个从节点其中一台服务器，维持环境正常运行</w:t>
      </w:r>
    </w:p>
    <w:p>
      <w:pPr>
        <w:rPr>
          <w:rFonts w:hint="default"/>
          <w:lang w:val="en-US" w:eastAsia="zh-CN"/>
        </w:rPr>
      </w:pPr>
      <w:bookmarkStart w:id="7" w:name="OLE_LINK4"/>
      <w:r>
        <w:rPr>
          <w:rFonts w:hint="eastAsia"/>
          <w:lang w:val="en-US" w:eastAsia="zh-CN"/>
        </w:rPr>
        <w:t>发现当前主节点为14.16.157.8,--由于14.16.157.7重启后自动切换为</w:t>
      </w:r>
      <w:bookmarkEnd w:id="7"/>
      <w:r>
        <w:rPr>
          <w:rFonts w:hint="eastAsia"/>
          <w:lang w:val="en-US" w:eastAsia="zh-CN"/>
        </w:rPr>
        <w:t>8</w:t>
      </w:r>
    </w:p>
    <w:p>
      <w:pPr>
        <w:jc w:val="both"/>
      </w:pPr>
      <w:r>
        <w:drawing>
          <wp:inline distT="0" distB="0" distL="114300" distR="114300">
            <wp:extent cx="5300345" cy="1980565"/>
            <wp:effectExtent l="0" t="0" r="14605" b="63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3、处理结果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应用已恢复，经业务验证可进行业务操作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登录机器人指挥官平台，可以正常登录：</w:t>
      </w:r>
    </w:p>
    <w:p>
      <w:r>
        <w:drawing>
          <wp:inline distT="0" distB="0" distL="114300" distR="114300">
            <wp:extent cx="5492750" cy="2599690"/>
            <wp:effectExtent l="0" t="0" r="12700" b="1016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流程运行正常：</w:t>
      </w:r>
    </w:p>
    <w:p>
      <w:r>
        <w:drawing>
          <wp:inline distT="0" distB="0" distL="114300" distR="114300">
            <wp:extent cx="4746625" cy="3983990"/>
            <wp:effectExtent l="0" t="0" r="15875" b="1651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8" w:name="_Toc16273"/>
      <w:r>
        <w:rPr>
          <w:rFonts w:hint="eastAsia"/>
        </w:rPr>
        <w:t>演练</w:t>
      </w:r>
      <w:r>
        <w:rPr>
          <w:rFonts w:hint="eastAsia"/>
          <w:lang w:val="en-US" w:eastAsia="zh-CN"/>
        </w:rPr>
        <w:t>总结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演练发现的问题：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演练过程中，服务器切换过程存在五分钟空窗期，影响生产环境正常运行。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整改意见：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手动切换前需通知业务人员，提前进行规避。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演练过程中，全体参演人员互相配合、协同作战，按照应急演练方案有条不紊地开展工作。通过此次应急演练，进一步强化了我司对于应用及数据库服务器应急应对能力，检验了预案的可行性、可操作性，对今后高效、有序开展应急工作奠定了坚实的基础。后续将针对发现的问题进行整改，确保业务连续性。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09886309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0BA21"/>
    <w:multiLevelType w:val="singleLevel"/>
    <w:tmpl w:val="E7B0BA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70A42EE"/>
    <w:multiLevelType w:val="multilevel"/>
    <w:tmpl w:val="370A42E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UxMTEwNGJkM2MxMmI1Y2MyZmUxYzMyNzgyMmRkZWMifQ=="/>
  </w:docVars>
  <w:rsids>
    <w:rsidRoot w:val="00BC0975"/>
    <w:rsid w:val="00036F00"/>
    <w:rsid w:val="000B39F6"/>
    <w:rsid w:val="001B32BA"/>
    <w:rsid w:val="001C40C5"/>
    <w:rsid w:val="002E1C10"/>
    <w:rsid w:val="003301FF"/>
    <w:rsid w:val="00380A1B"/>
    <w:rsid w:val="00385BDD"/>
    <w:rsid w:val="003C0A0A"/>
    <w:rsid w:val="003C6F7D"/>
    <w:rsid w:val="003C748D"/>
    <w:rsid w:val="0047368A"/>
    <w:rsid w:val="005F6C15"/>
    <w:rsid w:val="00621694"/>
    <w:rsid w:val="00632DBE"/>
    <w:rsid w:val="00695C24"/>
    <w:rsid w:val="00780F6A"/>
    <w:rsid w:val="0084160C"/>
    <w:rsid w:val="008C0811"/>
    <w:rsid w:val="008E616B"/>
    <w:rsid w:val="008F3402"/>
    <w:rsid w:val="00A72296"/>
    <w:rsid w:val="00A724DC"/>
    <w:rsid w:val="00A93D29"/>
    <w:rsid w:val="00AB53AE"/>
    <w:rsid w:val="00B7126C"/>
    <w:rsid w:val="00BA3871"/>
    <w:rsid w:val="00BC0975"/>
    <w:rsid w:val="00CE750F"/>
    <w:rsid w:val="00D06C75"/>
    <w:rsid w:val="00E416CE"/>
    <w:rsid w:val="00EF24B2"/>
    <w:rsid w:val="00F45C32"/>
    <w:rsid w:val="00F53A97"/>
    <w:rsid w:val="050C2B55"/>
    <w:rsid w:val="06D2091A"/>
    <w:rsid w:val="073E6DDD"/>
    <w:rsid w:val="0D766D04"/>
    <w:rsid w:val="11771EB9"/>
    <w:rsid w:val="13053B1E"/>
    <w:rsid w:val="132C5183"/>
    <w:rsid w:val="1576211D"/>
    <w:rsid w:val="15842CB6"/>
    <w:rsid w:val="167846DD"/>
    <w:rsid w:val="195E67AD"/>
    <w:rsid w:val="1C9E207F"/>
    <w:rsid w:val="1D1E6065"/>
    <w:rsid w:val="1DD71EEF"/>
    <w:rsid w:val="1E886D61"/>
    <w:rsid w:val="28CC6B68"/>
    <w:rsid w:val="2A3E00A5"/>
    <w:rsid w:val="30D54989"/>
    <w:rsid w:val="32661CEF"/>
    <w:rsid w:val="33B55FF9"/>
    <w:rsid w:val="3C6B35F6"/>
    <w:rsid w:val="3D774C1C"/>
    <w:rsid w:val="3EA17587"/>
    <w:rsid w:val="41B05A8E"/>
    <w:rsid w:val="422F2728"/>
    <w:rsid w:val="459F43A0"/>
    <w:rsid w:val="474D1906"/>
    <w:rsid w:val="4C0D1384"/>
    <w:rsid w:val="4F886FE7"/>
    <w:rsid w:val="4F9A2425"/>
    <w:rsid w:val="51751A4D"/>
    <w:rsid w:val="54DD4670"/>
    <w:rsid w:val="55DD0B99"/>
    <w:rsid w:val="57B96968"/>
    <w:rsid w:val="58AC4757"/>
    <w:rsid w:val="5CB7412E"/>
    <w:rsid w:val="5CCB3166"/>
    <w:rsid w:val="5ECA7402"/>
    <w:rsid w:val="669213FD"/>
    <w:rsid w:val="66EE4DEB"/>
    <w:rsid w:val="68B817F4"/>
    <w:rsid w:val="68C12644"/>
    <w:rsid w:val="6D40377B"/>
    <w:rsid w:val="70D75438"/>
    <w:rsid w:val="72DC26A9"/>
    <w:rsid w:val="731D1CC4"/>
    <w:rsid w:val="73363904"/>
    <w:rsid w:val="76297ECB"/>
    <w:rsid w:val="76A45B5F"/>
    <w:rsid w:val="7CD23197"/>
    <w:rsid w:val="7ED2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paragraph" w:customStyle="1" w:styleId="14">
    <w:name w:val="No Spacing"/>
    <w:link w:val="1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5">
    <w:name w:val="无间隔 字符"/>
    <w:basedOn w:val="10"/>
    <w:link w:val="14"/>
    <w:qFormat/>
    <w:uiPriority w:val="1"/>
    <w:rPr>
      <w:kern w:val="0"/>
      <w:sz w:val="22"/>
    </w:rPr>
  </w:style>
  <w:style w:type="paragraph" w:customStyle="1" w:styleId="16">
    <w:name w:val="表格标题1"/>
    <w:basedOn w:val="1"/>
    <w:qFormat/>
    <w:uiPriority w:val="0"/>
    <w:rPr>
      <w:rFonts w:ascii="华文细黑" w:hAnsi="华文细黑"/>
      <w:b/>
      <w:szCs w:val="21"/>
    </w:rPr>
  </w:style>
  <w:style w:type="paragraph" w:customStyle="1" w:styleId="17">
    <w:name w:val="表格正文1"/>
    <w:basedOn w:val="18"/>
    <w:qFormat/>
    <w:uiPriority w:val="0"/>
    <w:rPr>
      <w:rFonts w:ascii="宋体" w:hAnsi="宋体" w:eastAsia="宋体"/>
    </w:rPr>
  </w:style>
  <w:style w:type="paragraph" w:customStyle="1" w:styleId="18">
    <w:name w:val="表格内容"/>
    <w:basedOn w:val="1"/>
    <w:qFormat/>
    <w:uiPriority w:val="0"/>
    <w:rPr>
      <w:rFonts w:ascii="华文细黑" w:hAnsi="华文细黑" w:eastAsia="华文细黑"/>
    </w:rPr>
  </w:style>
  <w:style w:type="paragraph" w:customStyle="1" w:styleId="19">
    <w:name w:val="表格内容-居中"/>
    <w:basedOn w:val="18"/>
    <w:qFormat/>
    <w:uiPriority w:val="0"/>
    <w:pPr>
      <w:jc w:val="center"/>
    </w:pPr>
  </w:style>
  <w:style w:type="character" w:customStyle="1" w:styleId="20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绿盟科技--正文首行缩进"/>
    <w:basedOn w:val="26"/>
    <w:qFormat/>
    <w:uiPriority w:val="0"/>
    <w:pPr>
      <w:spacing w:after="50"/>
      <w:ind w:firstLine="200" w:firstLineChars="200"/>
    </w:pPr>
  </w:style>
  <w:style w:type="paragraph" w:customStyle="1" w:styleId="26">
    <w:name w:val="绿盟科技--正文"/>
    <w:qFormat/>
    <w:uiPriority w:val="0"/>
    <w:pPr>
      <w:spacing w:line="300" w:lineRule="auto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27">
    <w:name w:val="正文加粗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EA7B9-96C1-429D-9319-7E7A14765C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光大理财有限责任公司</Company>
  <Pages>7</Pages>
  <Words>547</Words>
  <Characters>3120</Characters>
  <Lines>26</Lines>
  <Paragraphs>7</Paragraphs>
  <TotalTime>1</TotalTime>
  <ScaleCrop>false</ScaleCrop>
  <LinksUpToDate>false</LinksUpToDate>
  <CharactersWithSpaces>3660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2023-05-18T03:21:00Z</dcterms:created>
  <dc:creator>作 者</dc:creator>
  <cp:lastModifiedBy>user</cp:lastModifiedBy>
  <dcterms:modified xsi:type="dcterms:W3CDTF">2023-11-21T09:19:39Z</dcterms:modified>
  <dc:title>系统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D921DFA9887F437F89F6AB5152678C0D_12</vt:lpwstr>
  </property>
</Properties>
</file>