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uia-do-programador"/>
      <w:r>
        <w:t xml:space="preserve">Guia do programador</w:t>
      </w:r>
      <w:bookmarkEnd w:id="20"/>
    </w:p>
    <w:p>
      <w:pPr>
        <w:pStyle w:val="Heading2"/>
      </w:pPr>
      <w:bookmarkStart w:id="21" w:name="diretórios"/>
      <w:r>
        <w:t xml:space="preserve">Diretórios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antena-arduino: contém o código Arduino</w:t>
      </w:r>
    </w:p>
    <w:p>
      <w:pPr>
        <w:pStyle w:val="Compact"/>
        <w:numPr>
          <w:numId w:val="1001"/>
          <w:ilvl w:val="0"/>
        </w:numPr>
      </w:pPr>
      <w:r>
        <w:t xml:space="preserve">build: contém o executável</w:t>
      </w:r>
    </w:p>
    <w:p>
      <w:pPr>
        <w:pStyle w:val="Compact"/>
        <w:numPr>
          <w:numId w:val="1001"/>
          <w:ilvl w:val="0"/>
        </w:numPr>
      </w:pPr>
      <w:r>
        <w:t xml:space="preserve">docs: especificações, relatórios</w:t>
      </w:r>
    </w:p>
    <w:p>
      <w:pPr>
        <w:pStyle w:val="Compact"/>
        <w:numPr>
          <w:numId w:val="1001"/>
          <w:ilvl w:val="0"/>
        </w:numPr>
      </w:pPr>
      <w:r>
        <w:t xml:space="preserve">doxygen: documentação gerada automaticamente</w:t>
      </w:r>
    </w:p>
    <w:p>
      <w:pPr>
        <w:pStyle w:val="Compact"/>
        <w:numPr>
          <w:numId w:val="1001"/>
          <w:ilvl w:val="0"/>
        </w:numPr>
      </w:pPr>
      <w:r>
        <w:t xml:space="preserve">spg4: biblioteca do DanRW com DateTime modificado</w:t>
      </w:r>
    </w:p>
    <w:p>
      <w:pPr>
        <w:pStyle w:val="Compact"/>
        <w:numPr>
          <w:numId w:val="1001"/>
          <w:ilvl w:val="0"/>
        </w:numPr>
      </w:pPr>
      <w:r>
        <w:t xml:space="preserve">src: código-fonte</w:t>
      </w:r>
    </w:p>
    <w:p>
      <w:pPr>
        <w:pStyle w:val="Compact"/>
        <w:numPr>
          <w:numId w:val="1002"/>
          <w:ilvl w:val="1"/>
        </w:numPr>
      </w:pPr>
      <w:r>
        <w:t xml:space="preserve">emmn-gui: código do projeto</w:t>
      </w:r>
    </w:p>
    <w:p>
      <w:pPr>
        <w:pStyle w:val="Compact"/>
        <w:numPr>
          <w:numId w:val="1002"/>
          <w:ilvl w:val="1"/>
        </w:numPr>
      </w:pPr>
      <w:r>
        <w:t xml:space="preserve">emmn-tests: unit tests</w:t>
      </w:r>
    </w:p>
    <w:p>
      <w:pPr>
        <w:pStyle w:val="Compact"/>
        <w:numPr>
          <w:numId w:val="1002"/>
          <w:ilvl w:val="1"/>
        </w:numPr>
      </w:pPr>
      <w:r>
        <w:t xml:space="preserve">includes: cabeçalhos das bibliotecas</w:t>
      </w:r>
    </w:p>
    <w:p>
      <w:pPr>
        <w:pStyle w:val="Compact"/>
        <w:numPr>
          <w:numId w:val="1002"/>
          <w:ilvl w:val="1"/>
        </w:numPr>
      </w:pPr>
      <w:r>
        <w:t xml:space="preserve">libs: arquivos</w:t>
      </w:r>
      <w:r>
        <w:t xml:space="preserve"> </w:t>
      </w:r>
      <w:r>
        <w:rPr>
          <w:rStyle w:val="VerbatimChar"/>
        </w:rPr>
        <w:t xml:space="preserve">.a</w:t>
      </w:r>
      <w:r>
        <w:t xml:space="preserve"> </w:t>
      </w:r>
      <w:r>
        <w:t xml:space="preserve">(bibliotecas estáticas)</w:t>
      </w:r>
    </w:p>
    <w:p>
      <w:pPr>
        <w:pStyle w:val="Heading2"/>
      </w:pPr>
      <w:bookmarkStart w:id="22" w:name="estrutura-do-código"/>
      <w:r>
        <w:t xml:space="preserve">Estrutura do código</w:t>
      </w:r>
      <w:bookmarkEnd w:id="22"/>
    </w:p>
    <w:p>
      <w:pPr>
        <w:pStyle w:val="FirstParagraph"/>
      </w:pPr>
      <w:r>
        <w:t xml:space="preserve">O ponto de entrada do programa está no arquivo main.cpp. Na função main, uma MainWindow é</w:t>
      </w:r>
      <w:r>
        <w:t xml:space="preserve"> </w:t>
      </w:r>
      <w:r>
        <w:t xml:space="preserve">instanciada e mostrada ao usuário. O construtor de MainWindow, por sua vez, instancia:</w:t>
      </w:r>
    </w:p>
    <w:p>
      <w:pPr>
        <w:pStyle w:val="Compact"/>
        <w:numPr>
          <w:numId w:val="1003"/>
          <w:ilvl w:val="0"/>
        </w:numPr>
      </w:pPr>
      <w:r>
        <w:t xml:space="preserve">Control: responsável pela movimentação da antena</w:t>
      </w:r>
    </w:p>
    <w:p>
      <w:pPr>
        <w:pStyle w:val="Compact"/>
        <w:numPr>
          <w:numId w:val="1003"/>
          <w:ilvl w:val="0"/>
        </w:numPr>
      </w:pPr>
      <w:r>
        <w:t xml:space="preserve">Network: responsável pela comunicação com a Internet para atualizar TLEs</w:t>
      </w:r>
    </w:p>
    <w:p>
      <w:pPr>
        <w:pStyle w:val="Compact"/>
        <w:numPr>
          <w:numId w:val="1003"/>
          <w:ilvl w:val="0"/>
        </w:numPr>
      </w:pPr>
      <w:r>
        <w:t xml:space="preserve">Logger: utilidade para salvar arquivos com dados de posição da antena e timestamps</w:t>
      </w:r>
    </w:p>
    <w:p>
      <w:pPr>
        <w:pStyle w:val="Heading3"/>
      </w:pPr>
      <w:bookmarkStart w:id="23" w:name="bibliotecas"/>
      <w:r>
        <w:t xml:space="preserve">Bibliotecas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SGP4: recebe TLEs e gera posições de azimute e elevação</w:t>
      </w:r>
    </w:p>
    <w:p>
      <w:pPr>
        <w:pStyle w:val="Compact"/>
        <w:numPr>
          <w:numId w:val="1004"/>
          <w:ilvl w:val="0"/>
        </w:numPr>
      </w:pPr>
      <w:r>
        <w:t xml:space="preserve">SolTrack: rastreia o sol</w:t>
      </w:r>
    </w:p>
    <w:p>
      <w:pPr>
        <w:pStyle w:val="Heading2"/>
      </w:pPr>
      <w:bookmarkStart w:id="24" w:name="documentação"/>
      <w:r>
        <w:t xml:space="preserve">Documentação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O projeto é documentado com Doxygen. Para gerar a documentação, rode o Doxywizard</w:t>
      </w:r>
    </w:p>
    <w:p>
      <w:pPr>
        <w:pStyle w:val="Compact"/>
        <w:numPr>
          <w:numId w:val="1006"/>
          <w:ilvl w:val="1"/>
        </w:numPr>
      </w:pPr>
      <w:r>
        <w:t xml:space="preserve">usando o prompt de comando (eu uso o Cmder),</w:t>
      </w:r>
      <w:r>
        <w:t xml:space="preserve"> </w:t>
      </w:r>
      <w:r>
        <w:rPr>
          <w:rStyle w:val="VerbatimChar"/>
        </w:rPr>
        <w:t xml:space="preserve">doxywizard.exe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doxywizard.exe Doxyfile</w:t>
      </w:r>
    </w:p>
    <w:p>
      <w:pPr>
        <w:pStyle w:val="Compact"/>
        <w:numPr>
          <w:numId w:val="1006"/>
          <w:ilvl w:val="1"/>
        </w:numPr>
      </w:pPr>
      <w:r>
        <w:t xml:space="preserve">através do Menu Iniciar: Digite</w:t>
      </w:r>
      <w:r>
        <w:t xml:space="preserve"> </w:t>
      </w:r>
      <w:r>
        <w:rPr>
          <w:rStyle w:val="VerbatimChar"/>
        </w:rPr>
        <w:t xml:space="preserve">Doxywizard</w:t>
      </w:r>
      <w:r>
        <w:t xml:space="preserve"> </w:t>
      </w:r>
      <w:r>
        <w:t xml:space="preserve">e localize o Doxyfile na pasta principal do projeto</w:t>
      </w:r>
    </w:p>
    <w:p>
      <w:pPr>
        <w:pStyle w:val="Compact"/>
        <w:numPr>
          <w:numId w:val="1005"/>
          <w:ilvl w:val="0"/>
        </w:numPr>
      </w:pPr>
      <w:r>
        <w:t xml:space="preserve">Para gerar um pdf da documentação (útil para colocar na biblioteca do INPE), vá para a pasta</w:t>
      </w:r>
      <w:r>
        <w:t xml:space="preserve"> </w:t>
      </w:r>
      <w:r>
        <w:t xml:space="preserve">doxygen/latex, execute make.bat ou rode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no Cmder.</w:t>
      </w:r>
    </w:p>
    <w:p>
      <w:pPr>
        <w:pStyle w:val="Heading2"/>
      </w:pPr>
      <w:bookmarkStart w:id="25" w:name="estilo"/>
      <w:r>
        <w:t xml:space="preserve">Estilo</w:t>
      </w:r>
      <w:bookmarkEnd w:id="25"/>
    </w:p>
    <w:p>
      <w:pPr>
        <w:pStyle w:val="FirstParagraph"/>
      </w:pPr>
      <w:r>
        <w:t xml:space="preserve">Você é livre para usar o estilo que quiser, mas caso queira continuar usando a formatação atual,</w:t>
      </w:r>
      <w:r>
        <w:t xml:space="preserve"> </w:t>
      </w:r>
      <w:r>
        <w:t xml:space="preserve">siga estes padrões:</w:t>
      </w:r>
    </w:p>
    <w:p>
      <w:pPr>
        <w:pStyle w:val="Compact"/>
        <w:numPr>
          <w:numId w:val="1007"/>
          <w:ilvl w:val="0"/>
        </w:numPr>
      </w:pPr>
      <w:r>
        <w:t xml:space="preserve">Quatro espaços para indentação</w:t>
      </w:r>
    </w:p>
    <w:p>
      <w:pPr>
        <w:pStyle w:val="Compact"/>
        <w:numPr>
          <w:numId w:val="1007"/>
          <w:ilvl w:val="0"/>
        </w:numPr>
      </w:pPr>
      <w:r>
        <w:t xml:space="preserve">Espaço entre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etc e</w:t>
      </w:r>
      <w:r>
        <w:t xml:space="preserve"> </w:t>
      </w:r>
      <w:r>
        <w:rPr>
          <w:rStyle w:val="VerbatimChar"/>
        </w:rPr>
        <w:t xml:space="preserve">(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na mesma linha:</w:t>
      </w:r>
      <w:r>
        <w:t xml:space="preserve"> </w:t>
      </w:r>
      <w:r>
        <w:rPr>
          <w:rStyle w:val="VerbatimChar"/>
        </w:rPr>
        <w:t xml:space="preserve">if (ele &gt; 180) {</w:t>
      </w:r>
      <w:r>
        <w:t xml:space="preserve">, exceto em construtores com</w:t>
      </w:r>
      <w:r>
        <w:t xml:space="preserve"> </w:t>
      </w:r>
      <w:hyperlink r:id="rId26">
        <w:r>
          <w:rPr>
            <w:rStyle w:val="Hyperlink"/>
          </w:rPr>
          <w:t xml:space="preserve">member initializer lists</w:t>
        </w:r>
      </w:hyperlink>
    </w:p>
    <w:p>
      <w:pPr>
        <w:pStyle w:val="Compact"/>
        <w:numPr>
          <w:numId w:val="1007"/>
          <w:ilvl w:val="0"/>
        </w:numPr>
      </w:pPr>
      <w:r>
        <w:t xml:space="preserve">switches são formatados de acordo com a</w:t>
      </w:r>
      <w:r>
        <w:t xml:space="preserve"> </w:t>
      </w:r>
      <w:hyperlink r:id="rId27">
        <w:r>
          <w:rPr>
            <w:rStyle w:val="Hyperlink"/>
          </w:rPr>
          <w:t xml:space="preserve">convenção do Java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switch (var) {</w:t>
      </w:r>
      <w:r>
        <w:br w:type="textWrapping"/>
      </w:r>
      <w:r>
        <w:rPr>
          <w:rStyle w:val="VerbatimChar"/>
        </w:rPr>
        <w:t xml:space="preserve">case 1:</w:t>
      </w:r>
      <w:r>
        <w:br w:type="textWrapping"/>
      </w:r>
      <w:r>
        <w:rPr>
          <w:rStyle w:val="VerbatimChar"/>
        </w:rPr>
        <w:t xml:space="preserve">   // alguma coisa</w:t>
      </w:r>
      <w:r>
        <w:br w:type="textWrapping"/>
      </w:r>
      <w:r>
        <w:rPr>
          <w:rStyle w:val="VerbatimChar"/>
        </w:rPr>
        <w:t xml:space="preserve">case 3:</w:t>
      </w:r>
      <w:r>
        <w:br w:type="textWrapping"/>
      </w:r>
      <w:r>
        <w:rPr>
          <w:rStyle w:val="VerbatimChar"/>
        </w:rPr>
        <w:t xml:space="preserve">   // outra coisa</w:t>
      </w:r>
      <w:r>
        <w:br w:type="textWrapping"/>
      </w:r>
      <w:r>
        <w:rPr>
          <w:rStyle w:val="VerbatimChar"/>
        </w:rPr>
        <w:t xml:space="preserve">default:</w:t>
      </w:r>
      <w:r>
        <w:br w:type="textWrapping"/>
      </w:r>
      <w:r>
        <w:rPr>
          <w:rStyle w:val="VerbatimChar"/>
        </w:rPr>
        <w:t xml:space="preserve">   // mais uma coisa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Código em inglês, comentários em português</w:t>
      </w:r>
    </w:p>
    <w:p>
      <w:pPr>
        <w:pStyle w:val="Compact"/>
        <w:numPr>
          <w:numId w:val="1008"/>
          <w:ilvl w:val="0"/>
        </w:numPr>
      </w:pPr>
      <w:r>
        <w:t xml:space="preserve">Mensagens de commit do Git em português</w:t>
      </w:r>
    </w:p>
    <w:p>
      <w:pPr>
        <w:pStyle w:val="Heading2"/>
      </w:pPr>
      <w:bookmarkStart w:id="28" w:name="miscelânea"/>
      <w:r>
        <w:t xml:space="preserve">Miscelânea</w:t>
      </w:r>
      <w:bookmarkEnd w:id="28"/>
    </w:p>
    <w:p>
      <w:pPr>
        <w:pStyle w:val="Compact"/>
        <w:numPr>
          <w:numId w:val="1009"/>
          <w:ilvl w:val="0"/>
        </w:numPr>
      </w:pPr>
      <w:r>
        <w:t xml:space="preserve">Ao mudar o diretório de build pelo Qt, é preciso copiar os arquivos dll do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(</w:t>
      </w:r>
      <w:r>
        <w:rPr>
          <w:rStyle w:val="VerbatimChar"/>
        </w:rPr>
        <w:t xml:space="preserve">libeay32.dll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ssleay32.dll</w:t>
      </w:r>
      <w:r>
        <w:t xml:space="preserve">) para o diretório que contém o executável.</w:t>
      </w:r>
    </w:p>
    <w:p>
      <w:pPr>
        <w:pStyle w:val="Heading2"/>
      </w:pPr>
      <w:bookmarkStart w:id="29" w:name="o-que-o-programa-deve-fazer-e-faz"/>
      <w:r>
        <w:t xml:space="preserve">O que o programa deve fazer e faz</w:t>
      </w:r>
      <w:bookmarkEnd w:id="29"/>
    </w:p>
    <w:p>
      <w:pPr>
        <w:pStyle w:val="Compact"/>
        <w:numPr>
          <w:numId w:val="1010"/>
          <w:ilvl w:val="0"/>
        </w:numPr>
      </w:pPr>
      <w:r>
        <w:t xml:space="preserve">Adicionar e remover satélites para rastreio</w:t>
      </w:r>
    </w:p>
    <w:p>
      <w:pPr>
        <w:pStyle w:val="Compact"/>
        <w:numPr>
          <w:numId w:val="1010"/>
          <w:ilvl w:val="0"/>
        </w:numPr>
      </w:pPr>
      <w:r>
        <w:t xml:space="preserve">Definir ordem de prioridade de satélites para rastreio</w:t>
      </w:r>
    </w:p>
    <w:p>
      <w:pPr>
        <w:pStyle w:val="Compact"/>
        <w:numPr>
          <w:numId w:val="1010"/>
          <w:ilvl w:val="0"/>
        </w:numPr>
      </w:pPr>
      <w:r>
        <w:t xml:space="preserve">Atualizar TLEs automaticamente todo dia</w:t>
      </w:r>
    </w:p>
    <w:p>
      <w:pPr>
        <w:pStyle w:val="Compact"/>
        <w:numPr>
          <w:numId w:val="1010"/>
          <w:ilvl w:val="0"/>
        </w:numPr>
      </w:pPr>
      <w:r>
        <w:t xml:space="preserve">Enviar comandos de apontamento (azimute e elevação) para o Arduino</w:t>
      </w:r>
    </w:p>
    <w:p>
      <w:pPr>
        <w:pStyle w:val="Compact"/>
        <w:numPr>
          <w:numId w:val="1010"/>
          <w:ilvl w:val="0"/>
        </w:numPr>
      </w:pPr>
      <w:r>
        <w:t xml:space="preserve">Controlar manualmente a antena (azimute e elevação arbitrários)</w:t>
      </w:r>
    </w:p>
    <w:p>
      <w:pPr>
        <w:pStyle w:val="Compact"/>
        <w:numPr>
          <w:numId w:val="1010"/>
          <w:ilvl w:val="0"/>
        </w:numPr>
      </w:pPr>
      <w:r>
        <w:t xml:space="preserve">Gravar histórico de posicionamento da antena em arquivos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Heading2"/>
      </w:pPr>
      <w:bookmarkStart w:id="30" w:name="o-que-o-programa-deve-fazer-e-ainda-não-faz"/>
      <w:r>
        <w:t xml:space="preserve">O que o programa deve fazer e (ainda) não faz</w:t>
      </w:r>
      <w:bookmarkEnd w:id="30"/>
    </w:p>
    <w:p>
      <w:pPr>
        <w:pStyle w:val="Compact"/>
        <w:numPr>
          <w:numId w:val="1011"/>
          <w:ilvl w:val="0"/>
        </w:numPr>
      </w:pPr>
      <w:r>
        <w:t xml:space="preserve">Várias coisas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en.cppreference.com/w/cpp/language/initializer_list" TargetMode="External" /><Relationship Type="http://schemas.openxmlformats.org/officeDocument/2006/relationships/hyperlink" Id="rId27" Target="http://www.oracle.com/technetwork/java/javase/documentation/codeconventions-142311.html#4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n.cppreference.com/w/cpp/language/initializer_list" TargetMode="External" /><Relationship Type="http://schemas.openxmlformats.org/officeDocument/2006/relationships/hyperlink" Id="rId27" Target="http://www.oracle.com/technetwork/java/javase/documentation/codeconventions-142311.html#4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2018-06-05T13:56:26Z</dcterms:created>
  <dcterms:modified xsi:type="dcterms:W3CDTF">2018-06-05T13:56:26Z</dcterms:modified>
</cp:coreProperties>
</file>