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6A8B1B5E"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Pr="00936D22">
        <w:rPr>
          <w:rFonts w:cstheme="minorHAnsi"/>
          <w:b/>
          <w:bCs/>
          <w:sz w:val="32"/>
          <w:szCs w:val="32"/>
        </w:rPr>
        <w:t>Candidato:</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750F7340" w14:textId="0A7A1FBD" w:rsidR="000A132C"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3675426" w:history="1">
            <w:r w:rsidR="000A132C" w:rsidRPr="008036F4">
              <w:rPr>
                <w:rStyle w:val="Collegamentoipertestuale"/>
                <w:noProof/>
              </w:rPr>
              <w:t>Introduzione</w:t>
            </w:r>
            <w:r w:rsidR="000A132C">
              <w:rPr>
                <w:noProof/>
                <w:webHidden/>
              </w:rPr>
              <w:tab/>
            </w:r>
            <w:r w:rsidR="000A132C">
              <w:rPr>
                <w:noProof/>
                <w:webHidden/>
              </w:rPr>
              <w:fldChar w:fldCharType="begin"/>
            </w:r>
            <w:r w:rsidR="000A132C">
              <w:rPr>
                <w:noProof/>
                <w:webHidden/>
              </w:rPr>
              <w:instrText xml:space="preserve"> PAGEREF _Toc53675426 \h </w:instrText>
            </w:r>
            <w:r w:rsidR="000A132C">
              <w:rPr>
                <w:noProof/>
                <w:webHidden/>
              </w:rPr>
            </w:r>
            <w:r w:rsidR="000A132C">
              <w:rPr>
                <w:noProof/>
                <w:webHidden/>
              </w:rPr>
              <w:fldChar w:fldCharType="separate"/>
            </w:r>
            <w:r w:rsidR="000A132C">
              <w:rPr>
                <w:noProof/>
                <w:webHidden/>
              </w:rPr>
              <w:t>3</w:t>
            </w:r>
            <w:r w:rsidR="000A132C">
              <w:rPr>
                <w:noProof/>
                <w:webHidden/>
              </w:rPr>
              <w:fldChar w:fldCharType="end"/>
            </w:r>
          </w:hyperlink>
        </w:p>
        <w:p w14:paraId="6CC55469" w14:textId="774205B8" w:rsidR="000A132C" w:rsidRDefault="000A132C">
          <w:pPr>
            <w:pStyle w:val="Sommario2"/>
            <w:tabs>
              <w:tab w:val="right" w:leader="dot" w:pos="9628"/>
            </w:tabs>
            <w:rPr>
              <w:noProof/>
              <w:lang w:eastAsia="it-IT"/>
            </w:rPr>
          </w:pPr>
          <w:hyperlink w:anchor="_Toc53675427" w:history="1">
            <w:r w:rsidRPr="008036F4">
              <w:rPr>
                <w:rStyle w:val="Collegamentoipertestuale"/>
                <w:noProof/>
              </w:rPr>
              <w:t>Dataset Utilizzato ai fini dell’indagine</w:t>
            </w:r>
            <w:r>
              <w:rPr>
                <w:noProof/>
                <w:webHidden/>
              </w:rPr>
              <w:tab/>
            </w:r>
            <w:r>
              <w:rPr>
                <w:noProof/>
                <w:webHidden/>
              </w:rPr>
              <w:fldChar w:fldCharType="begin"/>
            </w:r>
            <w:r>
              <w:rPr>
                <w:noProof/>
                <w:webHidden/>
              </w:rPr>
              <w:instrText xml:space="preserve"> PAGEREF _Toc53675427 \h </w:instrText>
            </w:r>
            <w:r>
              <w:rPr>
                <w:noProof/>
                <w:webHidden/>
              </w:rPr>
            </w:r>
            <w:r>
              <w:rPr>
                <w:noProof/>
                <w:webHidden/>
              </w:rPr>
              <w:fldChar w:fldCharType="separate"/>
            </w:r>
            <w:r>
              <w:rPr>
                <w:noProof/>
                <w:webHidden/>
              </w:rPr>
              <w:t>4</w:t>
            </w:r>
            <w:r>
              <w:rPr>
                <w:noProof/>
                <w:webHidden/>
              </w:rPr>
              <w:fldChar w:fldCharType="end"/>
            </w:r>
          </w:hyperlink>
        </w:p>
        <w:p w14:paraId="69442B37" w14:textId="4E1D2C19" w:rsidR="000A132C" w:rsidRDefault="000A132C">
          <w:pPr>
            <w:pStyle w:val="Sommario1"/>
            <w:tabs>
              <w:tab w:val="right" w:leader="dot" w:pos="9628"/>
            </w:tabs>
            <w:rPr>
              <w:noProof/>
              <w:lang w:eastAsia="it-IT"/>
            </w:rPr>
          </w:pPr>
          <w:hyperlink w:anchor="_Toc53675428" w:history="1">
            <w:r w:rsidRPr="008036F4">
              <w:rPr>
                <w:rStyle w:val="Collegamentoipertestuale"/>
                <w:noProof/>
              </w:rPr>
              <w:t>Analisi  Univariata – Colonna Binge – Drinking dataset Excel</w:t>
            </w:r>
            <w:r>
              <w:rPr>
                <w:noProof/>
                <w:webHidden/>
              </w:rPr>
              <w:tab/>
            </w:r>
            <w:r>
              <w:rPr>
                <w:noProof/>
                <w:webHidden/>
              </w:rPr>
              <w:fldChar w:fldCharType="begin"/>
            </w:r>
            <w:r>
              <w:rPr>
                <w:noProof/>
                <w:webHidden/>
              </w:rPr>
              <w:instrText xml:space="preserve"> PAGEREF _Toc53675428 \h </w:instrText>
            </w:r>
            <w:r>
              <w:rPr>
                <w:noProof/>
                <w:webHidden/>
              </w:rPr>
            </w:r>
            <w:r>
              <w:rPr>
                <w:noProof/>
                <w:webHidden/>
              </w:rPr>
              <w:fldChar w:fldCharType="separate"/>
            </w:r>
            <w:r>
              <w:rPr>
                <w:noProof/>
                <w:webHidden/>
              </w:rPr>
              <w:t>4</w:t>
            </w:r>
            <w:r>
              <w:rPr>
                <w:noProof/>
                <w:webHidden/>
              </w:rPr>
              <w:fldChar w:fldCharType="end"/>
            </w:r>
          </w:hyperlink>
        </w:p>
        <w:p w14:paraId="773ACC8C" w14:textId="7E43CFE2" w:rsidR="000A132C" w:rsidRDefault="000A132C">
          <w:pPr>
            <w:pStyle w:val="Sommario2"/>
            <w:tabs>
              <w:tab w:val="right" w:leader="dot" w:pos="9628"/>
            </w:tabs>
            <w:rPr>
              <w:noProof/>
              <w:lang w:eastAsia="it-IT"/>
            </w:rPr>
          </w:pPr>
          <w:hyperlink w:anchor="_Toc53675429" w:history="1">
            <w:r w:rsidRPr="008036F4">
              <w:rPr>
                <w:rStyle w:val="Collegamentoipertestuale"/>
                <w:noProof/>
              </w:rPr>
              <w:t>Passo 1 – Analisi Univariata – Diagramma di Pareto</w:t>
            </w:r>
            <w:r>
              <w:rPr>
                <w:noProof/>
                <w:webHidden/>
              </w:rPr>
              <w:tab/>
            </w:r>
            <w:r>
              <w:rPr>
                <w:noProof/>
                <w:webHidden/>
              </w:rPr>
              <w:fldChar w:fldCharType="begin"/>
            </w:r>
            <w:r>
              <w:rPr>
                <w:noProof/>
                <w:webHidden/>
              </w:rPr>
              <w:instrText xml:space="preserve"> PAGEREF _Toc53675429 \h </w:instrText>
            </w:r>
            <w:r>
              <w:rPr>
                <w:noProof/>
                <w:webHidden/>
              </w:rPr>
            </w:r>
            <w:r>
              <w:rPr>
                <w:noProof/>
                <w:webHidden/>
              </w:rPr>
              <w:fldChar w:fldCharType="separate"/>
            </w:r>
            <w:r>
              <w:rPr>
                <w:noProof/>
                <w:webHidden/>
              </w:rPr>
              <w:t>4</w:t>
            </w:r>
            <w:r>
              <w:rPr>
                <w:noProof/>
                <w:webHidden/>
              </w:rPr>
              <w:fldChar w:fldCharType="end"/>
            </w:r>
          </w:hyperlink>
        </w:p>
        <w:p w14:paraId="25C60275" w14:textId="694BCA48" w:rsidR="000A132C" w:rsidRDefault="000A132C">
          <w:pPr>
            <w:pStyle w:val="Sommario2"/>
            <w:tabs>
              <w:tab w:val="right" w:leader="dot" w:pos="9628"/>
            </w:tabs>
            <w:rPr>
              <w:noProof/>
              <w:lang w:eastAsia="it-IT"/>
            </w:rPr>
          </w:pPr>
          <w:hyperlink w:anchor="_Toc53675430" w:history="1">
            <w:r w:rsidRPr="008036F4">
              <w:rPr>
                <w:rStyle w:val="Collegamentoipertestuale"/>
                <w:noProof/>
              </w:rPr>
              <w:t>Passo 2 – Analisi univariata – Instogramma – Box Plot ad intaglio</w:t>
            </w:r>
            <w:r>
              <w:rPr>
                <w:noProof/>
                <w:webHidden/>
              </w:rPr>
              <w:tab/>
            </w:r>
            <w:r>
              <w:rPr>
                <w:noProof/>
                <w:webHidden/>
              </w:rPr>
              <w:fldChar w:fldCharType="begin"/>
            </w:r>
            <w:r>
              <w:rPr>
                <w:noProof/>
                <w:webHidden/>
              </w:rPr>
              <w:instrText xml:space="preserve"> PAGEREF _Toc53675430 \h </w:instrText>
            </w:r>
            <w:r>
              <w:rPr>
                <w:noProof/>
                <w:webHidden/>
              </w:rPr>
            </w:r>
            <w:r>
              <w:rPr>
                <w:noProof/>
                <w:webHidden/>
              </w:rPr>
              <w:fldChar w:fldCharType="separate"/>
            </w:r>
            <w:r>
              <w:rPr>
                <w:noProof/>
                <w:webHidden/>
              </w:rPr>
              <w:t>5</w:t>
            </w:r>
            <w:r>
              <w:rPr>
                <w:noProof/>
                <w:webHidden/>
              </w:rPr>
              <w:fldChar w:fldCharType="end"/>
            </w:r>
          </w:hyperlink>
        </w:p>
        <w:p w14:paraId="3859160D" w14:textId="1A41FA7E" w:rsidR="000A132C" w:rsidRDefault="000A132C">
          <w:pPr>
            <w:pStyle w:val="Sommario2"/>
            <w:tabs>
              <w:tab w:val="right" w:leader="dot" w:pos="9628"/>
            </w:tabs>
            <w:rPr>
              <w:noProof/>
              <w:lang w:eastAsia="it-IT"/>
            </w:rPr>
          </w:pPr>
          <w:hyperlink w:anchor="_Toc53675431" w:history="1">
            <w:r w:rsidRPr="008036F4">
              <w:rPr>
                <w:rStyle w:val="Collegamentoipertestuale"/>
                <w:noProof/>
              </w:rPr>
              <w:t>Passo 3 – Indici di centralità rispetto al campione</w:t>
            </w:r>
            <w:r>
              <w:rPr>
                <w:noProof/>
                <w:webHidden/>
              </w:rPr>
              <w:tab/>
            </w:r>
            <w:r>
              <w:rPr>
                <w:noProof/>
                <w:webHidden/>
              </w:rPr>
              <w:fldChar w:fldCharType="begin"/>
            </w:r>
            <w:r>
              <w:rPr>
                <w:noProof/>
                <w:webHidden/>
              </w:rPr>
              <w:instrText xml:space="preserve"> PAGEREF _Toc53675431 \h </w:instrText>
            </w:r>
            <w:r>
              <w:rPr>
                <w:noProof/>
                <w:webHidden/>
              </w:rPr>
            </w:r>
            <w:r>
              <w:rPr>
                <w:noProof/>
                <w:webHidden/>
              </w:rPr>
              <w:fldChar w:fldCharType="separate"/>
            </w:r>
            <w:r>
              <w:rPr>
                <w:noProof/>
                <w:webHidden/>
              </w:rPr>
              <w:t>7</w:t>
            </w:r>
            <w:r>
              <w:rPr>
                <w:noProof/>
                <w:webHidden/>
              </w:rPr>
              <w:fldChar w:fldCharType="end"/>
            </w:r>
          </w:hyperlink>
        </w:p>
        <w:p w14:paraId="349076C9" w14:textId="4CAFB881"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60924AF3" w14:textId="77777777" w:rsidR="00936D22" w:rsidRDefault="00936D22" w:rsidP="00936D22"/>
    <w:p w14:paraId="580E21BB" w14:textId="77777777" w:rsidR="00936D22" w:rsidRDefault="00936D22" w:rsidP="00936D22"/>
    <w:p w14:paraId="3AC34767" w14:textId="77777777" w:rsidR="00936D22" w:rsidRDefault="00936D22" w:rsidP="00936D22"/>
    <w:p w14:paraId="6FDF8EE9" w14:textId="77777777" w:rsidR="00936D22" w:rsidRDefault="00936D22" w:rsidP="00936D22"/>
    <w:p w14:paraId="6D1B11A9" w14:textId="77777777" w:rsidR="00936D22" w:rsidRDefault="00936D22" w:rsidP="00936D22"/>
    <w:p w14:paraId="7DB37960" w14:textId="77777777" w:rsidR="00936D22" w:rsidRDefault="00936D22" w:rsidP="00936D22"/>
    <w:p w14:paraId="7F4419CE" w14:textId="77777777" w:rsidR="00936D22" w:rsidRDefault="00936D22" w:rsidP="00936D22"/>
    <w:p w14:paraId="53AF3BDD" w14:textId="77777777" w:rsidR="00936D22" w:rsidRDefault="00936D22" w:rsidP="00936D22"/>
    <w:p w14:paraId="493608DB" w14:textId="77777777" w:rsidR="00936D22" w:rsidRDefault="00936D22" w:rsidP="00936D22"/>
    <w:p w14:paraId="41DF1F9A" w14:textId="1270BFA0" w:rsidR="006065E7" w:rsidRDefault="000F38A6" w:rsidP="000836C6">
      <w:pPr>
        <w:pStyle w:val="Titolo1"/>
      </w:pPr>
      <w:bookmarkStart w:id="1" w:name="_Toc53675426"/>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 xml:space="preserve">molto dettagliate in materia, prendendo in considerazione la popolazione di </w:t>
      </w:r>
      <w:proofErr w:type="gramStart"/>
      <w:r w:rsidR="00A66744">
        <w:t>11</w:t>
      </w:r>
      <w:proofErr w:type="gramEnd"/>
      <w:r w:rsidR="00A66744">
        <w:t xml:space="preserve">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 xml:space="preserve">utilizzare un Dataset che riporta il consumo di alcol secondo una scala di assiduità che va dal consumo moderato all’eccesso spericolato (valore di </w:t>
      </w:r>
      <w:proofErr w:type="spellStart"/>
      <w:r w:rsidR="00980FE7">
        <w:t>Binge</w:t>
      </w:r>
      <w:proofErr w:type="spellEnd"/>
      <w:r w:rsidR="00980FE7">
        <w:t xml:space="preserv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984"/>
        <w:gridCol w:w="1701"/>
        <w:gridCol w:w="1560"/>
        <w:gridCol w:w="1420"/>
      </w:tblGrid>
      <w:tr w:rsidR="000836C6" w:rsidRPr="000836C6" w14:paraId="4FD092E5" w14:textId="77777777" w:rsidTr="000836C6">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984"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gramStart"/>
            <w:r w:rsidRPr="000836C6">
              <w:rPr>
                <w:rFonts w:ascii="Calibri" w:eastAsia="Times New Roman" w:hAnsi="Calibri" w:cs="Times New Roman"/>
                <w:b/>
                <w:bCs/>
                <w:color w:val="000000"/>
                <w:lang w:eastAsia="it-IT"/>
              </w:rPr>
              <w:t xml:space="preserve">Eccedenza  </w:t>
            </w:r>
            <w:proofErr w:type="spellStart"/>
            <w:r w:rsidRPr="000836C6">
              <w:rPr>
                <w:rFonts w:ascii="Calibri" w:eastAsia="Times New Roman" w:hAnsi="Calibri" w:cs="Times New Roman"/>
                <w:b/>
                <w:bCs/>
                <w:color w:val="000000"/>
                <w:lang w:eastAsia="it-IT"/>
              </w:rPr>
              <w:t>abutuale</w:t>
            </w:r>
            <w:proofErr w:type="spellEnd"/>
            <w:proofErr w:type="gramEnd"/>
            <w:r w:rsidRPr="000836C6">
              <w:rPr>
                <w:rFonts w:ascii="Calibri" w:eastAsia="Times New Roman" w:hAnsi="Calibri" w:cs="Times New Roman"/>
                <w:b/>
                <w:bCs/>
                <w:color w:val="000000"/>
                <w:lang w:eastAsia="it-IT"/>
              </w:rPr>
              <w:t xml:space="preserv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0836C6" w:rsidRPr="000836C6" w14:paraId="3A6E6151"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984"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560"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984"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560"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984"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560"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984"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560"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984"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560"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984"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560"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984"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560"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984"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560"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984"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560"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984"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560"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984"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560"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984"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560"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984"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560"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984"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560"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984"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560"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984"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560"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984"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560"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984"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560"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984"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560"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984"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560"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0836C6">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984"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560"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3675427"/>
      <w:r>
        <w:t>Dataset Utilizzato ai fini dell’indagine</w:t>
      </w:r>
      <w:bookmarkEnd w:id="2"/>
    </w:p>
    <w:p w14:paraId="2FD70827" w14:textId="5E579088" w:rsidR="00936D22" w:rsidRDefault="00936D22" w:rsidP="00936D22"/>
    <w:p w14:paraId="60509270" w14:textId="77777777" w:rsidR="000A132C" w:rsidRDefault="000A132C" w:rsidP="00936D22"/>
    <w:p w14:paraId="42AC9B2B" w14:textId="7D949529" w:rsidR="006065E7" w:rsidRPr="006065E7" w:rsidRDefault="006065E7" w:rsidP="000836C6">
      <w:pPr>
        <w:pStyle w:val="Titolo1"/>
      </w:pPr>
      <w:bookmarkStart w:id="3" w:name="_Toc53675428"/>
      <w:proofErr w:type="gramStart"/>
      <w:r>
        <w:lastRenderedPageBreak/>
        <w:t xml:space="preserve">Analisi  </w:t>
      </w:r>
      <w:proofErr w:type="spellStart"/>
      <w:r w:rsidR="000836C6">
        <w:t>Univariata</w:t>
      </w:r>
      <w:proofErr w:type="spellEnd"/>
      <w:proofErr w:type="gramEnd"/>
      <w:r w:rsidR="000836C6">
        <w:t xml:space="preserve"> </w:t>
      </w:r>
      <w:r>
        <w:t xml:space="preserve">– Colonna </w:t>
      </w:r>
      <w:proofErr w:type="spellStart"/>
      <w:r>
        <w:t>Binge</w:t>
      </w:r>
      <w:proofErr w:type="spellEnd"/>
      <w:r>
        <w:t xml:space="preserv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3675429"/>
      <w:r>
        <w:t xml:space="preserve">Passo 1 – Analisi </w:t>
      </w:r>
      <w:proofErr w:type="spellStart"/>
      <w:r w:rsidR="00764272">
        <w:t>Univariata</w:t>
      </w:r>
      <w:proofErr w:type="spellEnd"/>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proofErr w:type="spellStart"/>
            <w:r w:rsidRPr="000836C6">
              <w:rPr>
                <w:rFonts w:ascii="Calibri" w:eastAsia="Times New Roman" w:hAnsi="Calibri" w:cs="Times New Roman"/>
                <w:b/>
                <w:bCs/>
                <w:color w:val="000000"/>
                <w:lang w:eastAsia="it-IT"/>
              </w:rPr>
              <w:t>Binge</w:t>
            </w:r>
            <w:proofErr w:type="spellEnd"/>
            <w:r w:rsidRPr="000836C6">
              <w:rPr>
                <w:rFonts w:ascii="Calibri" w:eastAsia="Times New Roman" w:hAnsi="Calibri" w:cs="Times New Roman"/>
                <w:b/>
                <w:bCs/>
                <w:color w:val="000000"/>
                <w:lang w:eastAsia="it-IT"/>
              </w:rPr>
              <w:t xml:space="preserv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 xml:space="preserve">Dall’analisi del diagramma di Pareto realizzato con il dataset riportato (variabile </w:t>
      </w:r>
      <w:proofErr w:type="spellStart"/>
      <w:r>
        <w:t>Binge_Drinking</w:t>
      </w:r>
      <w:proofErr w:type="spellEnd"/>
      <w:r>
        <w:t xml:space="preserve">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 xml:space="preserve">la maggior affluenza di dati in termini relativi è visibile in </w:t>
      </w:r>
      <w:proofErr w:type="gramStart"/>
      <w:r>
        <w:t>5</w:t>
      </w:r>
      <w:proofErr w:type="gramEnd"/>
      <w:r>
        <w:t xml:space="preserve">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w:t>
      </w:r>
      <w:proofErr w:type="gramStart"/>
      <w:r>
        <w:t>Emilia Romagna</w:t>
      </w:r>
      <w:proofErr w:type="gramEnd"/>
      <w:r>
        <w:t xml:space="preserve">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3675430"/>
      <w:r>
        <w:lastRenderedPageBreak/>
        <w:t>Passo 2 – Analis</w:t>
      </w:r>
      <w:r w:rsidR="00B73993">
        <w:t xml:space="preserve">i </w:t>
      </w:r>
      <w:proofErr w:type="spellStart"/>
      <w:r w:rsidR="00B73993">
        <w:t>univ</w:t>
      </w:r>
      <w:r>
        <w:t>ariata</w:t>
      </w:r>
      <w:proofErr w:type="spellEnd"/>
      <w:r>
        <w:t xml:space="preserve"> – </w:t>
      </w:r>
      <w:proofErr w:type="spellStart"/>
      <w:r>
        <w:t>Instogramma</w:t>
      </w:r>
      <w:proofErr w:type="spellEnd"/>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 xml:space="preserve">ogni classe considera un intervallo di </w:t>
      </w:r>
      <w:proofErr w:type="gramStart"/>
      <w:r w:rsidR="00054358">
        <w:t>100</w:t>
      </w:r>
      <w:proofErr w:type="gramEnd"/>
      <w:r w:rsidR="00054358">
        <w:t xml:space="preserve">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 xml:space="preserve">Parametri estratti dall’istogramma (classi, </w:t>
      </w:r>
      <w:proofErr w:type="spellStart"/>
      <w:r>
        <w:t>Counts</w:t>
      </w:r>
      <w:proofErr w:type="spellEnd"/>
      <w:r>
        <w:t xml:space="preserve">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 xml:space="preserve">Frequenze relative delle </w:t>
      </w:r>
      <w:proofErr w:type="gramStart"/>
      <w:r>
        <w:t>8</w:t>
      </w:r>
      <w:proofErr w:type="gramEnd"/>
      <w:r>
        <w:t xml:space="preserve">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proofErr w:type="spellStart"/>
      <w:r>
        <w:t>Cio</w:t>
      </w:r>
      <w:proofErr w:type="spellEnd"/>
      <w:r>
        <w:t xml:space="preserve"> è riscontrabile anche matematicamente considerando </w:t>
      </w:r>
      <w:proofErr w:type="spellStart"/>
      <w:r>
        <w:t>da prima</w:t>
      </w:r>
      <w:proofErr w:type="spellEnd"/>
      <w:r>
        <w:t xml:space="preserve"> una prima analisi dei quartili riportati dal diagramma di </w:t>
      </w:r>
      <w:proofErr w:type="spellStart"/>
      <w:r>
        <w:t>pareto</w:t>
      </w:r>
      <w:proofErr w:type="spellEnd"/>
      <w:r>
        <w:t>.</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xml:space="preserve">) </w:t>
      </w:r>
      <w:proofErr w:type="gramStart"/>
      <w:r>
        <w:rPr>
          <w:rStyle w:val="fontstyle41"/>
        </w:rPr>
        <w:t>=  7</w:t>
      </w:r>
      <w:r w:rsidR="00251DFB">
        <w:rPr>
          <w:rStyle w:val="fontstyle41"/>
        </w:rPr>
        <w:t>3</w:t>
      </w:r>
      <w:proofErr w:type="gramEnd"/>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proofErr w:type="gramStart"/>
      <w:r>
        <w:t>)  =</w:t>
      </w:r>
      <w:proofErr w:type="gramEnd"/>
      <w:r>
        <w:t xml:space="preserve">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3675431"/>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33F7CAD2" w14:textId="7D33A2F5" w:rsidR="0071052E" w:rsidRDefault="0071052E" w:rsidP="0071052E">
      <w:pPr>
        <w:jc w:val="both"/>
      </w:pPr>
      <w:r>
        <w:t>Come prima considerato, essendo la media &gt; della mediana campionaria, si deduce che il campione ordinato è fortemente sbilanciato verso destra.</w:t>
      </w:r>
    </w:p>
    <w:p w14:paraId="0018BDE9" w14:textId="503A3297" w:rsidR="0071052E" w:rsidRDefault="0071052E" w:rsidP="0071052E">
      <w:pPr>
        <w:jc w:val="center"/>
      </w:pPr>
    </w:p>
    <w:p w14:paraId="63B3A55E" w14:textId="7DDBFECE" w:rsidR="0071052E" w:rsidRDefault="0071052E" w:rsidP="0071052E">
      <w:pPr>
        <w:jc w:val="center"/>
      </w:pPr>
    </w:p>
    <w:p w14:paraId="7BCB281B" w14:textId="3BCE9D01" w:rsidR="0071052E" w:rsidRDefault="0071052E" w:rsidP="0071052E">
      <w:pPr>
        <w:jc w:val="center"/>
      </w:pPr>
    </w:p>
    <w:p w14:paraId="0069F952" w14:textId="7C8E7CFA" w:rsidR="0071052E" w:rsidRDefault="0071052E" w:rsidP="0071052E">
      <w:pPr>
        <w:jc w:val="center"/>
      </w:pPr>
    </w:p>
    <w:p w14:paraId="015D79E3" w14:textId="7A19AD16" w:rsidR="0071052E" w:rsidRDefault="0071052E" w:rsidP="0071052E">
      <w:pPr>
        <w:jc w:val="center"/>
      </w:pPr>
    </w:p>
    <w:p w14:paraId="686820A4" w14:textId="6554BBDC" w:rsidR="0071052E" w:rsidRDefault="0071052E" w:rsidP="0071052E">
      <w:r>
        <w:lastRenderedPageBreak/>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lastRenderedPageBreak/>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FED1802" w:rsidR="005A5B3F" w:rsidRDefault="005A5B3F" w:rsidP="0071052E">
      <w:pPr>
        <w:tabs>
          <w:tab w:val="left" w:pos="5832"/>
        </w:tabs>
      </w:pPr>
      <w:r>
        <w:t xml:space="preserve">Possiamo osservare come la </w:t>
      </w:r>
      <w:r w:rsidR="00A93D16">
        <w:t>modalità data classe (100, 200] sia la mediana per frequenze, della nostra analisi.</w:t>
      </w: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Hlk53684027"/>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 xml:space="preserve">Se si considera il </w:t>
      </w:r>
      <w:proofErr w:type="spellStart"/>
      <w:r>
        <w:t>boxplot</w:t>
      </w:r>
      <w:proofErr w:type="spellEnd"/>
      <w:r>
        <w:t xml:space="preserve">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 xml:space="preserve">Osservando attentamente il </w:t>
      </w:r>
      <w:proofErr w:type="spellStart"/>
      <w:r>
        <w:t>summary</w:t>
      </w:r>
      <w:proofErr w:type="spellEnd"/>
      <w:r>
        <w:t xml:space="preserve">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66BC15" w14:textId="5FC4BCD4" w:rsidR="002C6BF1" w:rsidRDefault="002C6BF1" w:rsidP="00260464">
      <w:pPr>
        <w:tabs>
          <w:tab w:val="left" w:pos="5832"/>
        </w:tabs>
        <w:jc w:val="both"/>
      </w:pPr>
      <w:r>
        <w:t xml:space="preserve">Essendo che la variabile </w:t>
      </w:r>
      <w:proofErr w:type="spellStart"/>
      <w:r>
        <w:t>Binge_Drinking</w:t>
      </w:r>
      <w:proofErr w:type="spellEnd"/>
      <w:r>
        <w:t xml:space="preserve"> considerata, indica la pericolosità massima per il consumo di alcol in Italia, sarebbe davvero utile capire effettivamente quali regioni necessitano di maggior attenzione.</w:t>
      </w:r>
    </w:p>
    <w:p w14:paraId="5D1A8900" w14:textId="77777777" w:rsidR="00296CB6" w:rsidRDefault="00296CB6" w:rsidP="00260464">
      <w:pPr>
        <w:tabs>
          <w:tab w:val="left" w:pos="5832"/>
        </w:tabs>
        <w:jc w:val="both"/>
        <w:rPr>
          <w:i/>
          <w:iCs/>
        </w:rPr>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367D85EE" w14:textId="77777777" w:rsidR="00655034" w:rsidRDefault="00655034" w:rsidP="00260464">
      <w:pPr>
        <w:tabs>
          <w:tab w:val="left" w:pos="5832"/>
        </w:tabs>
        <w:jc w:val="both"/>
        <w:rPr>
          <w:i/>
          <w:iCs/>
        </w:rPr>
      </w:pP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473AF5" w:rsidRDefault="00473AF5">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473AF5" w:rsidRDefault="00473AF5">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20D8683C" w14:textId="292396F2" w:rsidR="00655034" w:rsidRDefault="00655034" w:rsidP="00655034">
      <w:pPr>
        <w:tabs>
          <w:tab w:val="left" w:pos="6323"/>
        </w:tabs>
        <w:jc w:val="both"/>
      </w:pPr>
    </w:p>
    <w:p w14:paraId="556290E3" w14:textId="7A186A99" w:rsidR="00655034" w:rsidRDefault="00655034" w:rsidP="00655034">
      <w:pPr>
        <w:tabs>
          <w:tab w:val="left" w:pos="6323"/>
        </w:tabs>
        <w:jc w:val="both"/>
      </w:pPr>
      <w:r w:rsidRPr="00473AF5">
        <w:t>Questi dati, da tutti i dettagli osservati, sicuramente innalzano di molto la soglia di rischio che nel 2019 è stata rilevata in Italia.</w:t>
      </w:r>
      <w:r w:rsidR="00473AF5">
        <w:t xml:space="preserve"> Quindi sicuramente, potrebbero rendere il valore medio più uniforme.</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4F2319B0" w14:textId="2DC69B0D" w:rsidR="0070177E" w:rsidRDefault="0070177E" w:rsidP="0070177E">
      <w:pPr>
        <w:tabs>
          <w:tab w:val="left" w:pos="5832"/>
        </w:tabs>
        <w:jc w:val="both"/>
      </w:pPr>
    </w:p>
    <w:p w14:paraId="02370D86" w14:textId="77777777" w:rsidR="00473AF5" w:rsidRDefault="00473AF5" w:rsidP="0070177E">
      <w:pPr>
        <w:tabs>
          <w:tab w:val="left" w:pos="5832"/>
        </w:tabs>
        <w:jc w:val="both"/>
      </w:pPr>
    </w:p>
    <w:p w14:paraId="67FF32E5" w14:textId="77777777" w:rsidR="00473AF5" w:rsidRDefault="00473AF5" w:rsidP="0070177E">
      <w:pPr>
        <w:tabs>
          <w:tab w:val="left" w:pos="5832"/>
        </w:tabs>
        <w:jc w:val="both"/>
      </w:pPr>
    </w:p>
    <w:p w14:paraId="3737162B" w14:textId="150E7DDD" w:rsidR="0070177E" w:rsidRDefault="0070177E" w:rsidP="0070177E">
      <w:pPr>
        <w:tabs>
          <w:tab w:val="left" w:pos="5832"/>
        </w:tabs>
        <w:jc w:val="both"/>
      </w:pPr>
      <w:r>
        <w:lastRenderedPageBreak/>
        <w:t>Deviazione Standard</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2F95F86D"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27684B8F" w14:textId="67277E3F" w:rsidR="00473AF5" w:rsidRDefault="00473AF5" w:rsidP="0070177E">
      <w:pPr>
        <w:tabs>
          <w:tab w:val="left" w:pos="5832"/>
        </w:tabs>
        <w:jc w:val="both"/>
      </w:pPr>
    </w:p>
    <w:p w14:paraId="712313CC" w14:textId="14F8808A"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p>
    <w:p w14:paraId="1C67FAF0" w14:textId="5C1283A1" w:rsidR="00473AF5" w:rsidRDefault="00473AF5" w:rsidP="0070177E">
      <w:pPr>
        <w:tabs>
          <w:tab w:val="left" w:pos="5832"/>
        </w:tabs>
        <w:jc w:val="both"/>
      </w:pPr>
    </w:p>
    <w:p w14:paraId="4D50AB67" w14:textId="75078A94" w:rsidR="00473AF5" w:rsidRPr="00473AF5" w:rsidRDefault="00473AF5" w:rsidP="0070177E">
      <w:pPr>
        <w:tabs>
          <w:tab w:val="left" w:pos="5832"/>
        </w:tabs>
        <w:jc w:val="both"/>
        <w:rPr>
          <w:i/>
          <w:iCs/>
          <w:color w:val="44546A" w:themeColor="text2"/>
        </w:rPr>
      </w:pPr>
      <w:r w:rsidRPr="00473AF5">
        <w:rPr>
          <w:i/>
          <w:iCs/>
          <w:color w:val="44546A" w:themeColor="text2"/>
        </w:rPr>
        <w:t>Essendo che gli scarti dalla media contribuiscono in primo luogo al calcolo degli indicatori di dispersione, questi valori diminuiscono se i valori critici prima individuati, assumessero valori più simili alla media attuale?</w:t>
      </w:r>
    </w:p>
    <w:p w14:paraId="3D5C33CC" w14:textId="153BDF78" w:rsidR="00473AF5" w:rsidRDefault="00473AF5" w:rsidP="0070177E">
      <w:pPr>
        <w:tabs>
          <w:tab w:val="left" w:pos="5832"/>
        </w:tabs>
        <w:jc w:val="both"/>
        <w:rPr>
          <w:i/>
          <w:iCs/>
        </w:rPr>
      </w:pPr>
    </w:p>
    <w:p w14:paraId="34F8C793" w14:textId="7E4CB0E4" w:rsidR="00473AF5" w:rsidRDefault="00473AF5" w:rsidP="0070177E">
      <w:pPr>
        <w:tabs>
          <w:tab w:val="left" w:pos="5832"/>
        </w:tabs>
        <w:jc w:val="both"/>
      </w:pPr>
      <w:r>
        <w:t xml:space="preserve">Supponendo di sostituire i valori critici delle </w:t>
      </w:r>
      <w:proofErr w:type="gramStart"/>
      <w:r>
        <w:t>5</w:t>
      </w:r>
      <w:proofErr w:type="gramEnd"/>
      <w:r>
        <w:t xml:space="preserve">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48655763">
            <wp:extent cx="6120130" cy="341884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418840"/>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090295"/>
                    </a:xfrm>
                    <a:prstGeom prst="rect">
                      <a:avLst/>
                    </a:prstGeom>
                  </pic:spPr>
                </pic:pic>
              </a:graphicData>
            </a:graphic>
          </wp:inline>
        </w:drawing>
      </w:r>
    </w:p>
    <w:p w14:paraId="03140A5B" w14:textId="33EE794D" w:rsidR="003B73E2" w:rsidRDefault="003B73E2" w:rsidP="0070177E">
      <w:pPr>
        <w:tabs>
          <w:tab w:val="left" w:pos="5832"/>
        </w:tabs>
        <w:jc w:val="both"/>
      </w:pPr>
      <w:r>
        <w:lastRenderedPageBreak/>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6CE0E1F4" w:rsidR="006A27F6" w:rsidRDefault="006A27F6" w:rsidP="0070177E">
      <w:pPr>
        <w:tabs>
          <w:tab w:val="left" w:pos="5832"/>
        </w:tabs>
        <w:jc w:val="both"/>
      </w:pPr>
    </w:p>
    <w:p w14:paraId="0A494CCC" w14:textId="7ECEB3C0" w:rsidR="006A27F6" w:rsidRPr="00473AF5" w:rsidRDefault="006A27F6" w:rsidP="0070177E">
      <w:pPr>
        <w:tabs>
          <w:tab w:val="left" w:pos="5832"/>
        </w:tabs>
        <w:jc w:val="both"/>
      </w:pPr>
      <w:r>
        <w:rPr>
          <w:noProof/>
        </w:rPr>
        <w:drawing>
          <wp:anchor distT="0" distB="0" distL="114300" distR="114300" simplePos="0" relativeHeight="251696128" behindDoc="0" locked="0" layoutInCell="1" allowOverlap="1" wp14:anchorId="1AB59B47" wp14:editId="3108DB2A">
            <wp:simplePos x="0" y="0"/>
            <wp:positionH relativeFrom="column">
              <wp:posOffset>879</wp:posOffset>
            </wp:positionH>
            <wp:positionV relativeFrom="paragraph">
              <wp:posOffset>-879</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7"/>
    </w:p>
    <w:sectPr w:rsidR="006A27F6" w:rsidRPr="00473AF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10C7D" w14:textId="77777777" w:rsidR="00082A7E" w:rsidRDefault="00082A7E" w:rsidP="0071052E">
      <w:pPr>
        <w:spacing w:after="0" w:line="240" w:lineRule="auto"/>
      </w:pPr>
      <w:r>
        <w:separator/>
      </w:r>
    </w:p>
  </w:endnote>
  <w:endnote w:type="continuationSeparator" w:id="0">
    <w:p w14:paraId="3E10BCE8" w14:textId="77777777" w:rsidR="00082A7E" w:rsidRDefault="00082A7E"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D1547" w14:textId="77777777" w:rsidR="00082A7E" w:rsidRDefault="00082A7E" w:rsidP="0071052E">
      <w:pPr>
        <w:spacing w:after="0" w:line="240" w:lineRule="auto"/>
      </w:pPr>
      <w:r>
        <w:separator/>
      </w:r>
    </w:p>
  </w:footnote>
  <w:footnote w:type="continuationSeparator" w:id="0">
    <w:p w14:paraId="59D24F64" w14:textId="77777777" w:rsidR="00082A7E" w:rsidRDefault="00082A7E"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1"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82A7E"/>
    <w:rsid w:val="000836C6"/>
    <w:rsid w:val="000A132C"/>
    <w:rsid w:val="000F38A6"/>
    <w:rsid w:val="00154CC2"/>
    <w:rsid w:val="001765E9"/>
    <w:rsid w:val="001D3303"/>
    <w:rsid w:val="002339EB"/>
    <w:rsid w:val="00251DFB"/>
    <w:rsid w:val="00260464"/>
    <w:rsid w:val="00287AC2"/>
    <w:rsid w:val="00296CB6"/>
    <w:rsid w:val="002C6BF1"/>
    <w:rsid w:val="002F54C8"/>
    <w:rsid w:val="00344145"/>
    <w:rsid w:val="003B73E2"/>
    <w:rsid w:val="00473AF5"/>
    <w:rsid w:val="00484C21"/>
    <w:rsid w:val="004E188D"/>
    <w:rsid w:val="005A5B3F"/>
    <w:rsid w:val="006065E7"/>
    <w:rsid w:val="00655034"/>
    <w:rsid w:val="006A27F6"/>
    <w:rsid w:val="006A7C20"/>
    <w:rsid w:val="0070177E"/>
    <w:rsid w:val="00703CF4"/>
    <w:rsid w:val="0071052E"/>
    <w:rsid w:val="007318AE"/>
    <w:rsid w:val="0075665B"/>
    <w:rsid w:val="00764272"/>
    <w:rsid w:val="00936D22"/>
    <w:rsid w:val="00980FE7"/>
    <w:rsid w:val="00993D1A"/>
    <w:rsid w:val="009D286F"/>
    <w:rsid w:val="00A50459"/>
    <w:rsid w:val="00A66744"/>
    <w:rsid w:val="00A93D16"/>
    <w:rsid w:val="00B73993"/>
    <w:rsid w:val="00C07791"/>
    <w:rsid w:val="00C4240F"/>
    <w:rsid w:val="00C646F7"/>
    <w:rsid w:val="00CA0C47"/>
    <w:rsid w:val="00CA31CC"/>
    <w:rsid w:val="00CA4BA5"/>
    <w:rsid w:val="00D02C4D"/>
    <w:rsid w:val="00E14CCF"/>
    <w:rsid w:val="00F70861"/>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13</Pages>
  <Words>2054</Words>
  <Characters>11709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13</cp:revision>
  <dcterms:created xsi:type="dcterms:W3CDTF">2020-10-13T09:51:00Z</dcterms:created>
  <dcterms:modified xsi:type="dcterms:W3CDTF">2020-10-15T17:55:00Z</dcterms:modified>
</cp:coreProperties>
</file>