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480" w:lineRule="auto"/>
        <w:ind w:firstLine="708"/>
        <w:rPr>
          <w:rFonts w:ascii="Arial" w:hAnsi="Arial" w:eastAsia="Arial" w:cs="Arial"/>
          <w:sz w:val="28"/>
          <w:szCs w:val="28"/>
          <w:highlight w:val="none"/>
        </w:rPr>
      </w:pPr>
      <w:r/>
      <w:r>
        <w:rPr>
          <w:rFonts w:ascii="Arial" w:hAnsi="Arial" w:eastAsia="Arial" w:cs="Arial"/>
          <w:sz w:val="28"/>
          <w:highlight w:val="white"/>
        </w:rPr>
        <w:t xml:space="preserve">Educational attainment is a key predictor of life outcomes. Despite this, access to opportunity within the American education system remains inequitable. </w:t>
      </w:r>
      <w:r>
        <w:rPr>
          <w:rFonts w:ascii="Arial" w:hAnsi="Arial" w:eastAsia="Arial" w:cs="Arial"/>
          <w:sz w:val="28"/>
          <w:highlight w:val="white"/>
        </w:rPr>
        <w:t xml:space="preserve">Specifically, this analysis looks to answer the following question: among U.S. adults born from 1980 to 1984, how does the intersection of race/ethnicity and parental education affect highest educational milestone completed (ages 33-37)? This question is o</w:t>
      </w:r>
      <w:r>
        <w:rPr>
          <w:rFonts w:ascii="Arial" w:hAnsi="Arial" w:eastAsia="Arial" w:cs="Arial"/>
          <w:sz w:val="28"/>
          <w:highlight w:val="white"/>
        </w:rPr>
        <w:t xml:space="preserve">f particular interest as educational inequality is rampant in the United States and can affect all facets of life, from wealth to health (</w:t>
      </w:r>
      <w:r>
        <w:rPr>
          <w:rFonts w:ascii="Arial" w:hAnsi="Arial" w:eastAsia="Arial" w:cs="Arial"/>
          <w:sz w:val="28"/>
          <w:highlight w:val="white"/>
        </w:rPr>
        <w:t xml:space="preserve">Lurie et al. 2021</w:t>
      </w:r>
      <w:r/>
      <w:r>
        <w:rPr>
          <w:rFonts w:ascii="Arial" w:hAnsi="Arial" w:eastAsia="Arial" w:cs="Arial"/>
          <w:sz w:val="28"/>
          <w:highlight w:val="none"/>
        </w:rPr>
        <w:t xml:space="preserve">; </w:t>
      </w:r>
      <w:r>
        <w:rPr>
          <w:rFonts w:ascii="Arial" w:hAnsi="Arial" w:eastAsia="Arial" w:cs="Arial"/>
          <w:sz w:val="28"/>
          <w:highlight w:val="white"/>
        </w:rPr>
        <w:t xml:space="preserve">Zajacova &amp; Lawrence 2018). To answer this question, data</w:t>
      </w:r>
      <w:r>
        <w:rPr>
          <w:rFonts w:ascii="Arial" w:hAnsi="Arial" w:eastAsia="Arial" w:cs="Arial"/>
          <w:sz w:val="28"/>
          <w:highlight w:val="white"/>
        </w:rPr>
        <w:t xml:space="preserve"> from the National Longitudinal Survey of Youth 1997 (NLSY97) was analyzed. Prior research has highlighted racial disparities in school funding, disciplinary outcomes, and post-secondary access, as we</w:t>
      </w:r>
      <w:r>
        <w:rPr>
          <w:rFonts w:ascii="Arial" w:hAnsi="Arial" w:eastAsia="Arial" w:cs="Arial"/>
          <w:sz w:val="28"/>
          <w:highlight w:val="white"/>
        </w:rPr>
        <w:t xml:space="preserve">ll as the effects of parental education on individual success. However, the interaction between the aforementioned variables remains under-explored in cohort-based analyses.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spacing w:line="480" w:lineRule="auto"/>
        <w:ind w:firstLine="708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highlight w:val="white"/>
        </w:rPr>
        <w:t xml:space="preserve">This study applied multiple imputations through chained expressions (MICE) via predictive mean matching (PMM) and proportional odds logistic regr</w:t>
      </w:r>
      <w:r>
        <w:rPr>
          <w:rFonts w:ascii="Arial" w:hAnsi="Arial" w:eastAsia="Arial" w:cs="Arial"/>
          <w:sz w:val="28"/>
          <w:highlight w:val="white"/>
        </w:rPr>
        <w:t xml:space="preserve">ession (POLR) to model how educational attainment of residential parents, combined with race, influenced respondents’ highest educational outcome completed by ages 33-37. </w:t>
      </w:r>
      <w:r>
        <w:rPr>
          <w:rFonts w:ascii="Arial" w:hAnsi="Arial" w:eastAsia="Arial" w:cs="Arial"/>
          <w:sz w:val="28"/>
          <w:highlight w:val="none"/>
        </w:rPr>
        <w:t xml:space="preserve">Prior to</w:t>
      </w:r>
      <w:r>
        <w:rPr>
          <w:rFonts w:ascii="Arial" w:hAnsi="Arial" w:eastAsia="Arial" w:cs="Arial"/>
          <w:sz w:val="28"/>
          <w:highlight w:val="none"/>
        </w:rPr>
        <w:t xml:space="preserve"> MICE, data was cleaned and prepared using R via the tidyverse package and tested for the nature of missingness via </w:t>
      </w:r>
      <w:r>
        <w:rPr>
          <w:rFonts w:ascii="Arial" w:hAnsi="Arial" w:eastAsia="Arial" w:cs="Arial"/>
          <w:sz w:val="28"/>
          <w:highlight w:val="none"/>
        </w:rPr>
        <w:t xml:space="preserve">Jamshidian and Jalal</w:t>
      </w:r>
      <w:r>
        <w:rPr>
          <w:rFonts w:ascii="Arial" w:hAnsi="Arial" w:eastAsia="Arial" w:cs="Arial"/>
          <w:sz w:val="28"/>
          <w:highlight w:val="none"/>
        </w:rPr>
        <w:t xml:space="preserve">’s (</w:t>
      </w:r>
      <w:r>
        <w:rPr>
          <w:rFonts w:ascii="Arial" w:hAnsi="Arial" w:eastAsia="Arial" w:cs="Arial"/>
          <w:sz w:val="28"/>
          <w:highlight w:val="none"/>
        </w:rPr>
        <w:t xml:space="preserve">2010)</w:t>
      </w:r>
      <w:r/>
      <w:r>
        <w:rPr>
          <w:rFonts w:ascii="Arial" w:hAnsi="Arial" w:eastAsia="Arial" w:cs="Arial"/>
          <w:sz w:val="28"/>
          <w:highlight w:val="none"/>
        </w:rPr>
        <w:t xml:space="preserve"> proposed methodology.</w:t>
      </w:r>
      <w:r>
        <w:rPr>
          <w:rFonts w:ascii="Arial" w:hAnsi="Arial" w:eastAsia="Arial" w:cs="Arial"/>
          <w:sz w:val="28"/>
          <w:szCs w:val="28"/>
          <w:highlight w:val="white"/>
        </w:rPr>
      </w:r>
    </w:p>
    <w:p>
      <w:pPr>
        <w:pBdr/>
        <w:spacing w:line="480" w:lineRule="auto"/>
        <w:ind w:firstLine="708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highlight w:val="none"/>
        </w:rPr>
        <w:t xml:space="preserve">S</w:t>
      </w:r>
      <w:r>
        <w:rPr>
          <w:rFonts w:ascii="Arial" w:hAnsi="Arial" w:eastAsia="Arial" w:cs="Arial"/>
          <w:sz w:val="28"/>
          <w:highlight w:val="white"/>
        </w:rPr>
        <w:t xml:space="preserve">egmented assimilation theory</w:t>
      </w:r>
      <w:r>
        <w:rPr>
          <w:rFonts w:ascii="Arial" w:hAnsi="Arial" w:eastAsia="Arial" w:cs="Arial"/>
          <w:sz w:val="28"/>
          <w:highlight w:val="none"/>
        </w:rPr>
        <w:t xml:space="preserve"> was utilized to interpret results (Portes &amp; Zhou 1993).</w:t>
      </w:r>
      <w:r>
        <w:rPr>
          <w:rFonts w:ascii="Arial" w:hAnsi="Arial" w:eastAsia="Arial" w:cs="Arial"/>
          <w:sz w:val="28"/>
          <w:highlight w:val="none"/>
        </w:rPr>
        <w:t xml:space="preserve"> Portes and Zhou examined second generation immigrant households, arguing that not </w:t>
      </w: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  <w:t xml:space="preserve">all immigrant groups follow the same upward trajectory of class mobility. Instead, assimilation </w:t>
      </w: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  <w:t xml:space="preserve">pathways are shaped by numerous structural factors, such as race and community support </w:t>
      </w: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  <w:t xml:space="preserve">structures. This often leads to outcomes that diverge in effects, from downward class mobility to </w:t>
      </w: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  <w:t xml:space="preserve">assimilation of cultural ideas</w:t>
      </w: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</w:r>
      <w:r/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  <w:t xml:space="preserve">.</w:t>
      </w:r>
      <w:r>
        <w:rPr>
          <w:rFonts w:ascii="Arial" w:hAnsi="Arial" w:eastAsia="Arial" w:cs="Arial"/>
          <w:sz w:val="28"/>
          <w:highlight w:val="none"/>
        </w:rPr>
      </w:r>
    </w:p>
    <w:p>
      <w:pPr>
        <w:pBdr/>
        <w:spacing w:line="480" w:lineRule="auto"/>
        <w:ind w:firstLine="708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highlight w:val="none"/>
        </w:rPr>
        <w:t xml:space="preserve">Additionally, </w:t>
      </w:r>
      <w:r>
        <w:rPr>
          <w:rFonts w:ascii="Arial" w:hAnsi="Arial" w:eastAsia="Arial" w:cs="Arial"/>
          <w:sz w:val="28"/>
          <w:highlight w:val="none"/>
        </w:rPr>
        <w:t xml:space="preserve">a critical framework for this analyses was intersectionality. Developed by Kimberle Crenshaw, intersectionality looks to explain the compounding effects of discrimination from multiple sources and institutions (Carbado et al. 2013; Crenshaw</w:t>
      </w:r>
      <w:r>
        <w:rPr>
          <w:rFonts w:ascii="Arial" w:hAnsi="Arial" w:eastAsia="Arial" w:cs="Arial"/>
          <w:sz w:val="28"/>
          <w:highlight w:val="none"/>
        </w:rPr>
        <w:t xml:space="preserve"> 1991). In the context of this analysis, intersectionality is critical in examining how racial discrimination, educational discrimination, and socioeconomic status compound to reproduce educational disparities.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/>
        <w:spacing w:line="480" w:lineRule="auto"/>
        <w:ind w:firstLine="708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highlight w:val="none"/>
        </w:rPr>
        <w:t xml:space="preserve">Critical to this study was the prior work of Assari (2018), who conducted a similar study on educational attainment. The present study</w:t>
      </w:r>
      <w:r>
        <w:rPr>
          <w:rFonts w:ascii="Arial" w:hAnsi="Arial" w:eastAsia="Arial" w:cs="Arial"/>
          <w:sz w:val="28"/>
          <w:highlight w:val="none"/>
        </w:rPr>
        <w:t xml:space="preserve"> differentiates itself by including intersectionality, a different dataset, and utilizing a longitudinal design. Additionally, alternative methods of analysis were explored, primarily POLR over OLS regressions.</w:t>
      </w:r>
      <w:r>
        <w:rPr>
          <w:rFonts w:ascii="Arial" w:hAnsi="Arial" w:eastAsia="Arial" w:cs="Arial"/>
          <w:sz w:val="28"/>
          <w:highlight w:val="none"/>
        </w:rPr>
      </w:r>
    </w:p>
    <w:p>
      <w:pPr>
        <w:pBdr/>
        <w:spacing w:line="480" w:lineRule="auto"/>
        <w:ind w:firstLine="708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highlight w:val="none"/>
        </w:rPr>
        <w:t xml:space="preserve">Citations: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hanging="48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Assari, Shervin. 2018. “Parental Education Attainment and Educational Upward Mobility; Role of Race and Gender.”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Behavioral Sciences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8(11):107. doi:</w:t>
      </w:r>
      <w:hyperlink r:id="rId8" w:tooltip="https://doi.org/10.3390/bs811010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10.3390/bs8110107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hanging="48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van Buuren, Stef. 2018.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Flexible Imputation of Missing 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2nd ed. Chapman and Hall/CRC.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hanging="48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Carbado, Devon W., Kimberlé Williams Crenshaw, Vickie M. Mays, and Barbara Tomlinson. 2013. “Intersectionality: Mapping the Movements of a Theory.”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Du Bois Review : Social Science Research on Race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10(2):303–12. doi:</w:t>
      </w:r>
      <w:hyperlink r:id="rId9" w:tooltip="https://doi.org/10.1017/S1742058X1300034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10.1017/S1742058X13000349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hanging="48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Crenshaw, Kimberle. 1991. “Mapping the Margins: Intersectionality, Identity Politics, and Violence against Women of Color.”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Stanford Law Review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43(6):1241–99. doi:</w:t>
      </w:r>
      <w:hyperlink r:id="rId10" w:tooltip="https://doi.org/10.2307/122903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10.2307/1229039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hanging="48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 Toro, Juan, Kamilah Legette, N. Keita Christophe, Michelle Pasco, Dana Miller-Cotto, and Ming-Te Wang. 2024. “When Ethnic–Racial Discrimination from Math Teachers Spills over and Predicts the Math Adjustment of Nondiscriminated Adolescents: The Mediati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 Role of Math Classroom Climate Perceptions.”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Developmental Psychology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60(12):2242–57. doi:</w:t>
      </w:r>
      <w:hyperlink r:id="rId11" w:tooltip="https://doi.org/10.1037/dev000183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10.1037/dev0001833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hanging="48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Jamshidian, Mortaza, and Siavash Jalal. 2010. “Tests of Homoscedasticity, Normality, and Missing Completely at Random for Incomplete Multivariate Data.”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Psychometrika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75(4):649–74. doi:</w:t>
      </w:r>
      <w:hyperlink r:id="rId12" w:tooltip="https://doi.org/10.1007/s11336-010-9175-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10.1007/s11336-010-9175-3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hanging="48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Lurie, Lucy A., McKenzie P. Hagen, Katie A. McLaughlin, Margaret A. Sheridan, Andrew N. Meltzoff, and Maya L. Rosen. 2021. “Mechanisms Linking Socioeconomic Status and Academic Achievement in Early Childhood: Cognitive Stimulation and Language.”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Cognitive Development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58:101045. doi:</w:t>
      </w:r>
      <w:hyperlink r:id="rId13" w:tooltip="https://doi.org/10.1016/j.cogdev.2021.10104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10.1016/j.cogdev.2021.101045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hanging="48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Pearman, Francis A. 2022. “Collective Racial Bias and the Black-White Test Score Gap.”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Race and Social Problems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14(4):283–92. doi:</w:t>
      </w:r>
      <w:hyperlink r:id="rId14" w:tooltip="https://doi.org/10.1007/s12552-021-09347-y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10.1007/s12552-021-09347-y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9" w:line="324" w:lineRule="atLeast"/>
        <w:ind w:right="0" w:hanging="48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Portes, Alejandro, and Min Zhou. 1993. “The New Second Generation: Segmented Assimilation and Its Variants.”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The Annals of the American Academy of Political and Social Science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530:74–96. doi:</w:t>
      </w:r>
      <w:hyperlink r:id="rId15" w:tooltip="https://doi.org/10.1177/000271629353000100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10.1177/0002716293530001006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24" w:lineRule="atLeast"/>
        <w:ind w:right="0" w:hanging="48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Zajacova, Anna, and Elizabeth M. Lawrence. 2018. “The Relationship Between Education and Health: Reducing Disparities Through a Contextual Approach.”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Annual Review of Public Health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39(1):273–89. doi:</w:t>
      </w:r>
      <w:hyperlink r:id="rId16" w:tooltip="https://doi.org/10.1146/annurev-publhealth-031816-04462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10.1146/annurev-publhealth-031816-044628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 w:line="480" w:lineRule="auto"/>
        <w:ind w:firstLine="708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</w:r>
    </w:p>
    <w:p>
      <w:pPr>
        <w:pBdr/>
        <w:spacing w:line="480" w:lineRule="auto"/>
        <w:ind w:firstLine="708"/>
        <w:rPr>
          <w:highlight w:val="none"/>
        </w:rPr>
      </w:pP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</w:r>
      <w:r>
        <w:rPr>
          <w:rFonts w:ascii="Arial" w:hAnsi="Arial" w:eastAsia="Arial" w:cs="Arial"/>
          <w:sz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doi.org/10.3390/bs8110107" TargetMode="External"/><Relationship Id="rId9" Type="http://schemas.openxmlformats.org/officeDocument/2006/relationships/hyperlink" Target="https://doi.org/10.1017/S1742058X13000349" TargetMode="External"/><Relationship Id="rId10" Type="http://schemas.openxmlformats.org/officeDocument/2006/relationships/hyperlink" Target="https://doi.org/10.2307/1229039" TargetMode="External"/><Relationship Id="rId11" Type="http://schemas.openxmlformats.org/officeDocument/2006/relationships/hyperlink" Target="https://doi.org/10.1037/dev0001833" TargetMode="External"/><Relationship Id="rId12" Type="http://schemas.openxmlformats.org/officeDocument/2006/relationships/hyperlink" Target="https://doi.org/10.1007/s11336-010-9175-3" TargetMode="External"/><Relationship Id="rId13" Type="http://schemas.openxmlformats.org/officeDocument/2006/relationships/hyperlink" Target="https://doi.org/10.1016/j.cogdev.2021.101045" TargetMode="External"/><Relationship Id="rId14" Type="http://schemas.openxmlformats.org/officeDocument/2006/relationships/hyperlink" Target="https://doi.org/10.1007/s12552-021-09347-y" TargetMode="External"/><Relationship Id="rId15" Type="http://schemas.openxmlformats.org/officeDocument/2006/relationships/hyperlink" Target="https://doi.org/10.1177/0002716293530001006" TargetMode="External"/><Relationship Id="rId16" Type="http://schemas.openxmlformats.org/officeDocument/2006/relationships/hyperlink" Target="https://doi.org/10.1146/annurev-publhealth-031816-044628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2025-11-02T06:47:06Z</dcterms:modified>
</cp:coreProperties>
</file>