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vice-report-device.linearit.co"/>
    <w:p>
      <w:pPr>
        <w:pStyle w:val="Heading1"/>
      </w:pPr>
      <w:r>
        <w:t xml:space="preserve">Device Report —</w:t>
      </w:r>
      <w:r>
        <w:t xml:space="preserve"> </w:t>
      </w:r>
      <w:r>
        <w:rPr>
          <w:rStyle w:val="VerbatimChar"/>
        </w:rPr>
        <w:t xml:space="preserve">device.linearit.co</w:t>
      </w:r>
    </w:p>
    <w:p>
      <w:pPr>
        <w:pStyle w:val="FirstParagraph"/>
      </w:pPr>
      <w:r>
        <w:t xml:space="preserve">A one-tap, browser-based device report. A client or tech opens the page</w:t>
      </w:r>
      <w:r>
        <w:t xml:space="preserve"> </w:t>
      </w:r>
      <w:r>
        <w:rPr>
          <w:bCs/>
          <w:b/>
        </w:rPr>
        <w:t xml:space="preserve">on the</w:t>
      </w:r>
      <w:r>
        <w:rPr>
          <w:bCs/>
          <w:b/>
        </w:rPr>
        <w:t xml:space="preserve"> </w:t>
      </w:r>
      <w:r>
        <w:rPr>
          <w:bCs/>
          <w:b/>
        </w:rPr>
        <w:t xml:space="preserve">device in question</w:t>
      </w:r>
      <w:r>
        <w:t xml:space="preserve">, taps</w:t>
      </w:r>
      <w:r>
        <w:t xml:space="preserve"> </w:t>
      </w:r>
      <w:r>
        <w:rPr>
          <w:bCs/>
          <w:b/>
        </w:rPr>
        <w:t xml:space="preserve">Run device report</w:t>
      </w:r>
      <w:r>
        <w:t xml:space="preserve">, and the page reads everything</w:t>
      </w:r>
      <w:r>
        <w:t xml:space="preserve"> </w:t>
      </w:r>
      <w:r>
        <w:t xml:space="preserve">the browser is allowed to expose — then offers a</w:t>
      </w:r>
      <w:r>
        <w:t xml:space="preserve"> </w:t>
      </w:r>
      <w:r>
        <w:rPr>
          <w:bCs/>
          <w:b/>
        </w:rPr>
        <w:t xml:space="preserve">Send report to Linear IT</w:t>
      </w:r>
      <w:r>
        <w:t xml:space="preserve"> </w:t>
      </w:r>
      <w:r>
        <w:t xml:space="preserve">button that opens a pre-filled email to</w:t>
      </w:r>
      <w:r>
        <w:t xml:space="preserve"> </w:t>
      </w:r>
      <w:r>
        <w:rPr>
          <w:rStyle w:val="VerbatimChar"/>
        </w:rPr>
        <w:t xml:space="preserve">support@linearit.co</w:t>
      </w:r>
      <w:r>
        <w:t xml:space="preserve">.</w:t>
      </w:r>
    </w:p>
    <w:p>
      <w:pPr>
        <w:pStyle w:val="BodyText"/>
      </w:pPr>
      <w:r>
        <w:t xml:space="preserve">Nothing is installed, nothing is uploaded automatically, and nothing is sent</w:t>
      </w:r>
      <w:r>
        <w:t xml:space="preserve"> </w:t>
      </w:r>
      <w:r>
        <w:t xml:space="preserve">unless the user taps</w:t>
      </w:r>
      <w:r>
        <w:t xml:space="preserve"> </w:t>
      </w:r>
      <w:r>
        <w:rPr>
          <w:iCs/>
          <w:i/>
        </w:rPr>
        <w:t xml:space="preserve">Send</w:t>
      </w:r>
      <w:r>
        <w:t xml:space="preserve">.</w:t>
      </w:r>
    </w:p>
    <w:p>
      <w:pPr>
        <w:pStyle w:val="BodyText"/>
      </w:pPr>
      <w:r>
        <w:t xml:space="preserve">Lives at:</w:t>
      </w:r>
      <w:r>
        <w:t xml:space="preserve"> </w:t>
      </w:r>
      <w:r>
        <w:rPr>
          <w:rStyle w:val="VerbatimChar"/>
          <w:bCs/>
          <w:b/>
        </w:rPr>
        <w:t xml:space="preserve">/device/index.html</w:t>
      </w:r>
      <w:r>
        <w:t xml:space="preserve"> </w:t>
      </w:r>
      <w:r>
        <w:t xml:space="preserve">→ served at</w:t>
      </w:r>
      <w:r>
        <w:t xml:space="preserve"> </w:t>
      </w:r>
      <w:r>
        <w:rPr>
          <w:rStyle w:val="VerbatimChar"/>
        </w:rPr>
        <w:t xml:space="preserve">https://www.linearit.co/device/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pointing-device.linearit.co-here"/>
    <w:p>
      <w:pPr>
        <w:pStyle w:val="Heading2"/>
      </w:pPr>
      <w:r>
        <w:t xml:space="preserve">Pointing</w:t>
      </w:r>
      <w:r>
        <w:t xml:space="preserve"> </w:t>
      </w:r>
      <w:r>
        <w:rPr>
          <w:rStyle w:val="VerbatimChar"/>
        </w:rPr>
        <w:t xml:space="preserve">device.linearit.co</w:t>
      </w:r>
      <w:r>
        <w:t xml:space="preserve"> </w:t>
      </w:r>
      <w:r>
        <w:t xml:space="preserve">here</w:t>
      </w:r>
    </w:p>
    <w:p>
      <w:pPr>
        <w:pStyle w:val="FirstParagraph"/>
      </w:pPr>
      <w:r>
        <w:t xml:space="preserve">GitHub Pages only serves the single custom domain in the repo’s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www.linearit.co</w:t>
      </w:r>
      <w:r>
        <w:t xml:space="preserve">), so the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subdomain has to be wired in Cloudflare</w:t>
      </w:r>
      <w:r>
        <w:t xml:space="preserve"> </w:t>
      </w:r>
      <w:r>
        <w:t xml:space="preserve">(where the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DNS already lives). Pick one:</w:t>
      </w:r>
    </w:p>
    <w:bookmarkStart w:id="22" w:name="Xe0cb84156012f79ed87aaa75cd6b94eaae79530"/>
    <w:p>
      <w:pPr>
        <w:pStyle w:val="Heading3"/>
      </w:pPr>
      <w:r>
        <w:t xml:space="preserve">Option A — Cloudflare Worker (recommended, built &amp; ready)</w:t>
      </w:r>
    </w:p>
    <w:p>
      <w:pPr>
        <w:pStyle w:val="FirstParagraph"/>
      </w:pPr>
      <w:r>
        <w:t xml:space="preserve">A ready-to-deploy Worker is committed at</w:t>
      </w:r>
      <w:r>
        <w:t xml:space="preserve"> </w:t>
      </w:r>
      <w:hyperlink r:id="rId20">
        <w:r>
          <w:rPr>
            <w:rStyle w:val="VerbatimChar"/>
          </w:rPr>
          <w:t xml:space="preserve">../device-worker/</w:t>
        </w:r>
      </w:hyperlink>
      <w:r>
        <w:t xml:space="preserve">.</w:t>
      </w:r>
      <w:r>
        <w:t xml:space="preserve"> </w:t>
      </w:r>
      <w:r>
        <w:t xml:space="preserve">It reverse-proxies this page so the address bar stays</w:t>
      </w:r>
      <w:r>
        <w:t xml:space="preserve"> </w:t>
      </w:r>
      <w:r>
        <w:rPr>
          <w:rStyle w:val="VerbatimChar"/>
        </w:rPr>
        <w:t xml:space="preserve">device.linearit.co</w:t>
      </w:r>
      <w:r>
        <w:t xml:space="preserve">, and a</w:t>
      </w:r>
      <w:r>
        <w:t xml:space="preserve"> </w:t>
      </w:r>
      <w:r>
        <w:t xml:space="preserve">single deploy provisions the domain + DNS automatically: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device-worker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t xml:space="preserve">Full steps (and an auto-deploy-on-push option) are in</w:t>
      </w:r>
      <w:r>
        <w:t xml:space="preserve"> </w:t>
      </w:r>
      <w:hyperlink r:id="rId21">
        <w:r>
          <w:rPr>
            <w:rStyle w:val="VerbatimChar"/>
          </w:rPr>
          <w:t xml:space="preserve">../device-worker/README.md</w:t>
        </w:r>
      </w:hyperlink>
      <w:r>
        <w:t xml:space="preserve">.</w:t>
      </w:r>
    </w:p>
    <w:bookmarkEnd w:id="22"/>
    <w:bookmarkStart w:id="23" w:name="option-b-redirect-rule-no-worker"/>
    <w:p>
      <w:pPr>
        <w:pStyle w:val="Heading3"/>
      </w:pPr>
      <w:r>
        <w:t xml:space="preserve">Option B — Redirect rule (no Worker)</w:t>
      </w:r>
    </w:p>
    <w:p>
      <w:pPr>
        <w:pStyle w:val="FirstParagraph"/>
      </w:pPr>
      <w:r>
        <w:t xml:space="preserve">Cloudflare →</w:t>
      </w:r>
      <w:r>
        <w:t xml:space="preserve"> </w:t>
      </w:r>
      <w:r>
        <w:rPr>
          <w:bCs/>
          <w:b/>
        </w:rPr>
        <w:t xml:space="preserve">Rules → Redirect Rules → Create rule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When</w:t>
      </w:r>
      <w:r>
        <w:t xml:space="preserve">: Hostname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rPr>
          <w:rStyle w:val="VerbatimChar"/>
        </w:rPr>
        <w:t xml:space="preserve">device.linearit.co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Then</w:t>
      </w:r>
      <w:r>
        <w:t xml:space="preserve">: Static redirect →</w:t>
      </w:r>
      <w:r>
        <w:t xml:space="preserve"> </w:t>
      </w:r>
      <w:r>
        <w:rPr>
          <w:rStyle w:val="VerbatimChar"/>
        </w:rPr>
        <w:t xml:space="preserve">https://www.linearit.co/device/</w:t>
      </w:r>
      <w:r>
        <w:t xml:space="preserve"> </w:t>
      </w:r>
      <w:r>
        <w:t xml:space="preserve">— Status</w:t>
      </w:r>
      <w:r>
        <w:t xml:space="preserve"> </w:t>
      </w:r>
      <w:r>
        <w:rPr>
          <w:rStyle w:val="VerbatimChar"/>
        </w:rPr>
        <w:t xml:space="preserve">301</w:t>
      </w:r>
      <w:r>
        <w:t xml:space="preserve"> </w:t>
      </w:r>
      <w:r>
        <w:t xml:space="preserve">- Add a DNS record so the hostname resolves:</w:t>
      </w:r>
      <w:r>
        <w:t xml:space="preserve"> </w:t>
      </w:r>
      <w:r>
        <w:rPr>
          <w:bCs/>
          <w:b/>
        </w:rPr>
        <w:t xml:space="preserve">DNS → Add record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CNAME  device  →  www.linearit.co</w:t>
      </w:r>
      <w:r>
        <w:t xml:space="preserve"> </w:t>
      </w:r>
      <w:r>
        <w:t xml:space="preserve">(Proxied / orange cloud).</w:t>
      </w:r>
    </w:p>
    <w:p>
      <w:pPr>
        <w:pStyle w:val="BodyText"/>
      </w:pPr>
      <w:r>
        <w:t xml:space="preserve">Visitors typing</w:t>
      </w:r>
      <w:r>
        <w:t xml:space="preserve"> </w:t>
      </w:r>
      <w:r>
        <w:rPr>
          <w:rStyle w:val="VerbatimChar"/>
        </w:rPr>
        <w:t xml:space="preserve">device.linearit.co</w:t>
      </w:r>
      <w:r>
        <w:t xml:space="preserve"> </w:t>
      </w:r>
      <w:r>
        <w:t xml:space="preserve">land on the report, but the address bar then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www.linearit.co/device/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it-can-and-cant-read"/>
    <w:p>
      <w:pPr>
        <w:pStyle w:val="Heading2"/>
      </w:pPr>
      <w:r>
        <w:t xml:space="preserve">What it can and can’t read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web page</w:t>
      </w:r>
      <w:r>
        <w:t xml:space="preserve">, so it’s limited to what browsers expose.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replacement for the NinjaOne agent — it’s a fast, zero-install snapshot.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13"/>
        <w:gridCol w:w="3080"/>
        <w:gridCol w:w="1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Live/Approx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City/region/ISP from IP; optional precise GPS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type &amp;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factor, OS + version, model (Chromium),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Best-effort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filters that announce themselves (e.g. NetFree); manual confirm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cores &amp;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count + in-browser single-thread benchmark. Clock speed isn’t exposed to browsers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Approx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navigator.deviceMemory</w:t>
            </w:r>
            <w:r>
              <w:t xml:space="preserve"> </w:t>
            </w:r>
            <w:r>
              <w:t xml:space="preserve">— coarse, Chromium caps the report at 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download test (Cloudflare) +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storage quota only —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full drive size (agent-only)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Session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power-on uptime is agent-only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/ standard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Agent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account inventory is not visible to any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Agent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Browsers can’t list installed programs (privacy)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/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Resolution, pixel ratio, GPU (WebGL)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/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+ charging (where supported)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/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Browser, timezone, languages, theme, cookies, online</w:t>
            </w:r>
          </w:p>
        </w:tc>
      </w:tr>
    </w:tbl>
    <w:p>
      <w:pPr>
        <w:pStyle w:val="BodyText"/>
      </w:pPr>
      <w:r>
        <w:t xml:space="preserve">Items marked</w:t>
      </w:r>
      <w:r>
        <w:t xml:space="preserve"> </w:t>
      </w:r>
      <w:r>
        <w:rPr>
          <w:bCs/>
          <w:b/>
        </w:rPr>
        <w:t xml:space="preserve">Agent required</w:t>
      </w:r>
      <w:r>
        <w:t xml:space="preserve"> </w:t>
      </w:r>
      <w:r>
        <w:t xml:space="preserve">are shown honestly rather than faked; they come</w:t>
      </w:r>
      <w:r>
        <w:t xml:space="preserve"> </w:t>
      </w:r>
      <w:r>
        <w:t xml:space="preserve">from the RMM agent already deployed on managed devices.</w:t>
      </w:r>
    </w:p>
    <w:bookmarkEnd w:id="25"/>
    <w:bookmarkStart w:id="26" w:name="changing-the-recipient-email"/>
    <w:p>
      <w:pPr>
        <w:pStyle w:val="Heading2"/>
      </w:pPr>
      <w:r>
        <w:t xml:space="preserve">Changing the recipient email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search for</w:t>
      </w:r>
      <w:r>
        <w:t xml:space="preserve"> </w:t>
      </w:r>
      <w:r>
        <w:rPr>
          <w:rStyle w:val="VerbatimChar"/>
        </w:rPr>
        <w:t xml:space="preserve">SEND_TO</w:t>
      </w:r>
      <w:r>
        <w:t xml:space="preserve"> </w:t>
      </w:r>
      <w:r>
        <w:t xml:space="preserve">and change the address. It’s used for both</w:t>
      </w:r>
      <w:r>
        <w:t xml:space="preserve"> </w:t>
      </w:r>
      <w:r>
        <w:t xml:space="preserve">the nav</w:t>
      </w:r>
      <w:r>
        <w:t xml:space="preserve"> </w:t>
      </w:r>
      <w:r>
        <w:rPr>
          <w:bCs/>
          <w:b/>
        </w:rPr>
        <w:t xml:space="preserve">Send to Linear IT</w:t>
      </w:r>
      <w:r>
        <w:t xml:space="preserve"> </w:t>
      </w:r>
      <w:r>
        <w:t xml:space="preserve">button and the bottom</w:t>
      </w:r>
      <w:r>
        <w:t xml:space="preserve"> </w:t>
      </w:r>
      <w:r>
        <w:rPr>
          <w:bCs/>
          <w:b/>
        </w:rPr>
        <w:t xml:space="preserve">Send report</w:t>
      </w:r>
      <w:r>
        <w:t xml:space="preserve"> </w:t>
      </w:r>
      <w:r>
        <w:t xml:space="preserve">button.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device-worker/" TargetMode="External" /><Relationship Type="http://schemas.openxmlformats.org/officeDocument/2006/relationships/hyperlink" Id="rId21" Target="../device-worker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device-worker/" TargetMode="External" /><Relationship Type="http://schemas.openxmlformats.org/officeDocument/2006/relationships/hyperlink" Id="rId21" Target="../device-worker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2026-10-06T15:30:21Z</dcterms:created>
  <dcterms:modified xsi:type="dcterms:W3CDTF">2026-10-06T15:30:21Z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