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SPRINKLER S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İSTEMİ NEDİR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Sulu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öndürme sistemleri,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başladığı anda otomatik olarak devreye giren, su ile yangını bastıran ve yayılmasını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önleyen sistemlerdir. En yayg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kullanılan otomatik sabit yangın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öndürme sistemidir.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🔍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TEMEL B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LE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ENLER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Sprinkler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şlıkları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ıya duyarlıdır, belirli sıcaklıkta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Cam tüplü veya fusible link (eriyebilir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ğlantı) sistemlidir.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Tipleri: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Pendent (a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 doğru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üskürtür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tavana monte)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Upright (yukar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doğru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üskürtür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tavanlar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Sidewall (duvara monte edilir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koridorlar,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 odalar)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Boru Hatlar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Galvanizli çelik, siyah çelik veya PPRC olabilir.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Ana hat, bran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şman hattı ve sprinkler bağlantıları.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Pompa Grubu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Ana pompa (dizel veya elektrik motorlu)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Jockey pompa (bas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ıncı dengeler)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Yedek pompa (acil durumlarda devreye girer)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Su Kayna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Şehir şebekesi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Yer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üstü su deposu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Su tank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veya hidrant hattı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Alarm Vanas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Grubu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Su 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 başladığında alarm sistemini tetikler</w:t>
        <w:br/>
        <w:t xml:space="preserve">Basın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göstergeleri, test vanalar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sirk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ülasyon vanas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Kontrol Panelleri ve Alarm Sistemleri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Sesli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ışıklı uyarı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SCADA/BMS entegrasyonu mümkündür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32"/>
          <w:shd w:fill="auto" w:val="clear"/>
        </w:rPr>
        <w:t xml:space="preserve">🧯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STEM T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PLER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 DETAYLARI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Sistem Tipi       | Özellikler | Uygulama Alanlar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|------------------|------------|-------------------|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Islak Borulu | Borular daima su doludur | Ofisler, AVM, konutlar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Kuru Borulu | Borularda hava/azot, su valf arkas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ındadır | Soğuk hava depoları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Pre-action   | Alg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ılama + sprinkler tetikleme gerekir | Arşivler, veri merkezleri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Deluge       | Tüm sprinklerlar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ık, yangın algılanınca su serbest | Rafineriler, tehlikeli kimyasal alanlar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32"/>
          <w:shd w:fill="auto" w:val="clear"/>
        </w:rPr>
        <w:t xml:space="preserve">📐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 TASARIM VE HESAPLAMA KR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TERLER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Risk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ınıflandırması: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Hafif Tehlike (ofis, konut): 2.0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 mm/dk su yo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ğunluğu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Orta Tehlike (depo, atölye): 5.0 mm/dk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Yüksek Tehlike (fabrika,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madde): 8.0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12.0 mm/dk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Sprinkler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Tipik: 3 m x 3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~9 m² kapsama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En fazla: 12 m² (standart tipte)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Sprinkler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 Sıcaklığı: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- 57°C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°C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Renk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österilir (örn: turuncu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°C)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ve Debi: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Sistemin minimum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bar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ğlaması gerekir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Toplam su ihtiyac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risk grubuna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hesaplan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32"/>
          <w:shd w:fill="auto" w:val="clear"/>
        </w:rPr>
        <w:t xml:space="preserve">📊 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ÖRNEK TASARI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Uygulama: 1.000 m² depo (Orta Tehlike Grup 2)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ğunluk: 5 mm/dk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Sprinkler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şlık Sayısı: ~111 adet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İhtiyacı: 15.000 litre/dk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Pompası: 37 kW, 100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³/saat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 Deposu: En az 90.000 litre (6 dakika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EE0000"/>
          <w:spacing w:val="0"/>
          <w:position w:val="0"/>
          <w:sz w:val="3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32"/>
          <w:shd w:fill="auto" w:val="clear"/>
        </w:rPr>
        <w:t xml:space="preserve"> AVANTAJLARI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erken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üdahale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şletme maliyeti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Elektrik gerektirmeyen mekanik aktivasyon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Yüksek sigorta indirimi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Uzun ömürlü (bak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üzenli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ılırsa 20+ yıl)</w:t>
        <w:br/>
        <w:br/>
      </w:r>
      <w:r>
        <w:rPr>
          <w:rFonts w:ascii="Segoe UI Symbol" w:hAnsi="Segoe UI Symbol" w:cs="Segoe UI Symbol" w:eastAsia="Segoe UI Symbol"/>
          <w:b/>
          <w:color w:val="EE0000"/>
          <w:spacing w:val="0"/>
          <w:position w:val="0"/>
          <w:sz w:val="28"/>
          <w:shd w:fill="auto" w:val="clear"/>
        </w:rPr>
        <w:t xml:space="preserve">⚠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D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KKAT ED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LMES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GEREKENLER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 hasar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oluşturabileceği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hassas alanlara uygun olmayabilir (pre-action tercih edilir).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 riski olan alanlarda kuru sistem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ılmalıdır.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Sprinkler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ıkanmamalı veya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önleri engellenmemelidir.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ılda en az 1 kez bakım yapılmalıdır (TS EN 12845 standardına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EE0000"/>
          <w:spacing w:val="0"/>
          <w:position w:val="0"/>
          <w:sz w:val="28"/>
          <w:shd w:fill="auto" w:val="clear"/>
        </w:rPr>
        <w:t xml:space="preserve">📘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 SONU</w:t>
      </w:r>
      <w:r>
        <w:rPr>
          <w:rFonts w:ascii="Calibri" w:hAnsi="Calibri" w:cs="Calibri" w:eastAsia="Calibri"/>
          <w:b/>
          <w:color w:val="EE0000"/>
          <w:spacing w:val="0"/>
          <w:position w:val="0"/>
          <w:sz w:val="28"/>
          <w:shd w:fill="auto" w:val="clear"/>
        </w:rPr>
        <w:t xml:space="preserve">Ç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Sulu söndürme sistemleri, özellikle 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hızla yayılabileceği ticari, 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üstriyel ve konut binalar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üksek koruma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ğlar. Uygun risk analizleri ile doğru sistem tipi ve tasarım parametreleri belirlendiğinde, hem can hem de mal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 düzeyde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ğlanmış olur.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