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dairy),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N</w:t>
      </w:r>
      <w:r>
        <w:t xml:space="preserve">O): The percentage of manure allocated to each management system (pasture, solid storage, liquid, etc.). If you are uncertain about the allocation itself, the Manure_Management tab also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(enteric, manure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that do not match the template, the tool offers an</w:t>
      </w:r>
      <w:r>
        <w:t xml:space="preserve"> </w:t>
      </w:r>
      <w:r>
        <w:t xml:space="preserve"> </w:t>
      </w:r>
      <w:r>
        <w:t xml:space="preserve">that does the column-mapping and unit-conversion work for you. It is a small chat panel on the Resources tab; you upload your data and the AI proposes a mapping, asks any clarifying questions, and produces a filled template you can download.</w:t>
      </w:r>
    </w:p>
    <w:p>
      <w:pPr>
        <w:pStyle w:val="BodyText"/>
      </w:pPr>
    </w:p>
    <w:p>
      <w:pPr>
        <w:pStyle w:val="BodyText"/>
      </w:pPr>
      <w:r>
        <w:t xml:space="preserve"> </w:t>
      </w:r>
      <w:r>
        <w:t xml:space="preserve">The translator is most useful when (a) your data is in a non-standard shape,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w:t>
      </w: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r>
        <w:t xml:space="preserve"> </w:t>
      </w:r>
      <w:r>
        <w:t xml:space="preserve">: this is the canonical name (matches IPCC Vol.4 Ch.10 Eq. 10.13’s</w:t>
      </w:r>
      <w:r>
        <w:t xml:space="preserve"> </w:t>
      </w:r>
      <w:r>
        <w:t xml:space="preserve">“% females pregnant”</w:t>
      </w:r>
      <w:r>
        <w:t xml:space="preserve"> </w:t>
      </w:r>
      <w:r>
        <w:t xml:space="preserve">— includes pregnant heifers that have not yet calved). Legacy column names</w:t>
      </w:r>
      <w:r>
        <w:t xml:space="preserve"> </w:t>
      </w:r>
      <w:r>
        <w:t xml:space="preserve"> </w:t>
      </w:r>
      <w:r>
        <w:t xml:space="preserve">and</w:t>
      </w:r>
      <w:r>
        <w:t xml:space="preserve"> </w:t>
      </w:r>
      <w:r>
        <w:t xml:space="preserve"> </w:t>
      </w:r>
      <w:r>
        <w:t xml:space="preserve">are automatically renamed to</w:t>
      </w:r>
      <w:r>
        <w:t xml:space="preserve"> </w:t>
      </w:r>
      <w:r>
        <w:t xml:space="preserve"> </w:t>
      </w:r>
      <w:r>
        <w:t xml:space="preserve">on upload, so existing templates continue to work without edits.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Download the template from the</w:t>
      </w:r>
      <w:r>
        <w:t xml:space="preserve"> </w:t>
      </w:r>
      <w:r>
        <w:rPr>
          <w:b/>
          <w:bCs/>
        </w:rPr>
        <w:t xml:space="preserve">Data Input</w:t>
      </w:r>
      <w:r>
        <w:t xml:space="preserve"> </w:t>
      </w:r>
      <w:r>
        <w:t xml:space="preserve">tab (Tab 1) by clicking</w:t>
      </w:r>
      <w:r>
        <w:t xml:space="preserve"> </w:t>
      </w:r>
      <w:r>
        <w:t xml:space="preserve">“Download Excel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who and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 if you uploaded a template downloaded before this region field was split out (i.e. only the old single</w:t>
      </w:r>
      <w:r>
        <w:t xml:space="preserve"> </w:t>
      </w:r>
      <w:r>
        <w:rPr>
          <w:rStyle w:val="VerbatimChar"/>
        </w:rPr>
        <w:t xml:space="preserve">Country / region'' cell), the parser maps common country names (Zimbabwe, India, Brazil, …) to the right continent automatically. Anything unrecognised falls back to \texttt{global} (no false BW warnings; the QA message will just say</w:t>
      </w:r>
      <w:r>
        <w:t xml:space="preserve">global’’). Re-downloading the current template is recommended but not required.</w:t>
      </w:r>
    </w:p>
    <w:p>
      <w:pPr>
        <w:pStyle w:val="BodyText"/>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w:t>
      </w:r>
    </w:p>
    <w:bookmarkEnd w:id="17"/>
    <w:bookmarkStart w:id="18" w:name="defining-sub-categories"/>
    <w:p>
      <w:pPr>
        <w:pStyle w:val="Heading2"/>
      </w:pPr>
      <w:r>
        <w:t xml:space="preserve">Defining sub-categories</w:t>
      </w:r>
    </w:p>
    <w:p>
      <w:pPr>
        <w:pStyle w:val="FirstParagraph"/>
      </w:pPr>
      <w:r>
        <w:t xml:space="preserve">Sub-categories should match your national inventory.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all relevant parameters.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w:t>
      </w:r>
    </w:p>
    <w:bookmarkEnd w:id="18"/>
    <w:bookmarkStart w:id="19" w:name="obtaining-uncertainty-estimates"/>
    <w:p>
      <w:pPr>
        <w:pStyle w:val="Heading2"/>
      </w:pPr>
      <w:r>
        <w:t xml:space="preserve">Obtaining uncertainty estimates</w:t>
      </w:r>
    </w:p>
    <w:p>
      <w:pPr>
        <w:pStyle w:val="FirstParagraph"/>
      </w:pPr>
    </w:p>
    <w:p>
      <w:pPr>
        <w:pStyle w:val="Compact"/>
        <w:numPr>
          <w:ilvl w:val="0"/>
          <w:numId w:val="1007"/>
        </w:numPr>
      </w:pPr>
      <w:r>
        <w:t xml:space="preserve">: If populations are estimated from livestock surveys, the survey sampling error provides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lower / upper bounds for several emission factors (e.g. EF</w:t>
      </w:r>
      <w:r>
        <w:t xml:space="preserve">, Ym, MCF). The template pre-fills these where IPCC publishes them; where IPCC does not publish a CI,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possible, supply country-specific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is applied</w:t>
      </w:r>
      <w:r>
        <w:t xml:space="preserve"> </w:t>
      </w:r>
      <w:r>
        <w:t xml:space="preserve"> </w:t>
      </w:r>
      <w:r>
        <w:t xml:space="preserve">— the one parameter for which the tool keeps a defensible continental IPCC table lookup (Annex Tables 10A.1 dairy / 10A.2 non-dairy / 10A.3 buffalo). Milk, MW, DE, Ym, Bo no longer fire benchmark warnings — the 2019 Refinement publishes these by production system rather than continent, so any single mid-point comparison was misleading. They are still pre-filled with IPCC defaults when missing (flagged</w:t>
      </w:r>
      <w:r>
        <w:t xml:space="preserve"> </w:t>
      </w:r>
      <w:r>
        <w:t xml:space="preserve">), they just no longer raise</w:t>
      </w:r>
      <w:r>
        <w:t xml:space="preserve"> </w:t>
      </w:r>
      <w:r>
        <w:t xml:space="preserve"> </w:t>
      </w:r>
      <w:r>
        <w:t xml:space="preserve">purely for differing from a heuristic mid-point.</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The value is within ±50% of the IPCC default for the parameter (Vol.4 Ch.10 / Ch.11).</w:t>
      </w:r>
    </w:p>
    <w:p>
      <w:pPr>
        <w:pStyle w:val="BodyText"/>
      </w:pPr>
      <w:r>
        <w:t xml:space="preserve">: The value deviates 50–200% from the IPCC default</w:t>
      </w:r>
      <w:r>
        <w:t xml:space="preserve"> </w:t>
      </w:r>
      <w:r>
        <w:t xml:space="preserve">, or another non-fatal QA condition fired (e.g. asymmetric-bounds reminder for EF</w:t>
      </w:r>
      <w:r>
        <w:t xml:space="preserve">/Frac_GASM_PRP/Frac_LEACH_PRP, sub-category auto-match). Possible actions:</w:t>
      </w:r>
    </w:p>
    <w:p>
      <w:pPr>
        <w:pStyle w:val="BodyText"/>
      </w:pPr>
      <w:r>
        <w:t xml:space="preserve">: The value deviates more than 200% from the IPCC default. Most often this means a data-entry error (e.g. a live weight of 50,000 kg, a DE% of 150%). Correct the value before proceeding.</w:t>
      </w:r>
    </w:p>
    <w:p>
      <w:pPr>
        <w:pStyle w:val="BodyText"/>
      </w:pPr>
      <w:r>
        <w:t xml:space="preserve">: A required parameter was not found in the upload. The tool has auto-filled it with the IPCC default value from PARAM_CATALOGUE (the value and the IPCC equation/table source are shown in the Tab 1 notification). Review whether the default is appropriate for your country context and, where possible, replace it with country-specific data.</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p>
      <w:pPr>
        <w:pStyle w:val="FirstParagraph"/>
      </w:pPr>
      <w:r>
        <w:t xml:space="preserve"> </w:t>
      </w:r>
      <w:r>
        <w:t xml:space="preserve">For a side-by-side worked comparison of all four correlation modes applied to the Country X / Country Y built-in examples — including how each mode changes the 95% confidence interval on total CO</w:t>
      </w:r>
      <m:oMath>
        <m:sSub>
          <m:e>
            <m:r>
              <m:t>​</m:t>
            </m:r>
          </m:e>
          <m:sub>
            <m:r>
              <m:t>2</m:t>
            </m:r>
          </m:sub>
        </m:sSub>
      </m:oMath>
      <w:r>
        <w:t xml:space="preserve">eq, the structural-defaults heatmap with per-pair sources, and the common mistakes to avoid —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 Legacy aliases such as</w:t>
      </w:r>
      <w:r>
        <w:t xml:space="preserve"> </w:t>
      </w:r>
      <w:r>
        <w:t xml:space="preserve"> </w:t>
      </w:r>
      <w:r>
        <w:t xml:space="preserve">are resolved on the</w:t>
      </w:r>
      <w:r>
        <w:t xml:space="preserve"> </w:t>
      </w:r>
      <w:r>
        <w:t xml:space="preserve"> </w:t>
      </w:r>
      <w:r>
        <w:t xml:space="preserve">upload only; on the correlation matrix they need to be the canonical names listed above.</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is set to</w:t>
      </w:r>
      <w:r>
        <w:t xml:space="preserve"> </w:t>
      </w:r>
      <m:oMath>
        <m:r>
          <m:rPr>
            <m:sty m:val="p"/>
          </m:rPr>
          <m:t>−</m:t>
        </m:r>
        <m:r>
          <m:t>0.50</m:t>
        </m:r>
      </m:oMath>
      <w:r>
        <w:t xml:space="preserve"> </w:t>
      </w:r>
      <w:r>
        <w:t xml:space="preserve">rather than</w:t>
      </w:r>
      <w:r>
        <w:t xml:space="preserve"> </w:t>
      </w:r>
      <m:oMath>
        <m:r>
          <m:rPr>
            <m:sty m:val="p"/>
          </m:rPr>
          <m:t>−</m:t>
        </m:r>
        <m:r>
          <m:t>0.40</m:t>
        </m:r>
      </m:oMath>
      <w:r>
        <w:t xml:space="preserve"> </w:t>
      </w:r>
      <w:r>
        <w:t xml:space="preserve">(cross-diet meta-analyses); Cfi</w:t>
      </w:r>
      <w:r>
        <w:t xml:space="preserve"> </w:t>
      </w:r>
      <m:oMath>
        <m:r>
          <m:rPr>
            <m:sty m:val="p"/>
          </m:rPr>
          <m:t>↔</m:t>
        </m:r>
      </m:oMath>
      <w:r>
        <w:t xml:space="preserve"> </w:t>
      </w:r>
      <w:r>
        <w:t xml:space="preserve">Ca is set to</w:t>
      </w:r>
      <w:r>
        <w:t xml:space="preserve"> </w:t>
      </w:r>
      <m:oMath>
        <m:r>
          <m:t>0.30</m:t>
        </m:r>
      </m:oMath>
      <w:r>
        <w:t xml:space="preserve"> </w:t>
      </w:r>
      <w:r>
        <w:t xml:space="preserve">rather than</w:t>
      </w:r>
      <w:r>
        <w:t xml:space="preserve"> </w:t>
      </w:r>
      <m:oMath>
        <m:r>
          <m:t>0.60</m:t>
        </m:r>
      </m:oMath>
      <w:r>
        <w:t xml:space="preserve"> </w:t>
      </w:r>
      <w:r>
        <w:t xml:space="preserve">(Cfi and Ca are independent inputs in IPCC Eq 10.3 / 10.4); BW</w:t>
      </w:r>
      <w:r>
        <w:t xml:space="preserve"> </w:t>
      </w:r>
      <m:oMath>
        <m:r>
          <m:rPr>
            <m:sty m:val="p"/>
          </m:rPr>
          <m:t>↔</m:t>
        </m:r>
      </m:oMath>
      <w:r>
        <w:t xml:space="preserve"> </w:t>
      </w:r>
      <w:r>
        <w:t xml:space="preserve">MW is set to</w:t>
      </w:r>
      <w:r>
        <w:t xml:space="preserve"> </w:t>
      </w:r>
      <m:oMath>
        <m:r>
          <m:t>0.50</m:t>
        </m:r>
      </m:oMath>
      <w:r>
        <w:t xml:space="preserve"> </w:t>
      </w:r>
      <w:r>
        <w:t xml:space="preserve">rather than</w:t>
      </w:r>
      <w:r>
        <w:t xml:space="preserve"> </w:t>
      </w:r>
      <m:oMath>
        <m:r>
          <m:t>0.85</m:t>
        </m:r>
      </m:oMath>
      <w:r>
        <w:t xml:space="preserve"> </w:t>
      </w:r>
      <w:r>
        <w:t xml:space="preserve">(typical mixed-source data provenance);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Milk</w:t>
      </w:r>
      <w:r>
        <w:t xml:space="preserve"> </w:t>
      </w:r>
      <m:oMath>
        <m:r>
          <m:rPr>
            <m:sty m:val="p"/>
          </m:rPr>
          <m:t>↔</m:t>
        </m:r>
      </m:oMath>
      <w:r>
        <w:t xml:space="preserve"> </w:t>
      </w:r>
      <w:r>
        <w:t xml:space="preserve">pct_pregnant is not included (sign ambiguous).</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pPr>
        <w:pStyle w:val="BodyText"/>
      </w:pP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AR5 (CH</w:t>
      </w:r>
      <w:r>
        <w:t xml:space="preserve"> </w:t>
      </w:r>
      <w:r>
        <w:t xml:space="preserve">GWP = 28, N</w:t>
      </w:r>
      <w:r>
        <w:t xml:space="preserve">O = 265) and AR6 (CH</w:t>
      </w:r>
      <w:r>
        <w:t xml:space="preserve"> </w:t>
      </w:r>
      <w:r>
        <w:t xml:space="preserve">GWP = 27.9, N</w:t>
      </w:r>
      <w:r>
        <w:t xml:space="preserve">O = 273).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(most common) or Trend (multi-year time series).</w:t>
      </w:r>
    </w:p>
    <w:p>
      <w:pPr>
        <w:pStyle w:val="BodyText"/>
      </w:pPr>
      <w:r>
        <w:t xml:space="preserve">: Tick all sources applicable to your inventory. Unticked sources contribute zero emissions to the total.</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series (the typical case — either IPCC defaults or one national estimation), then a high-Ym draw in your base year should also be a high-Ym draw in the current year. The coefficient uncertainty then cancels when you compare the two years, so the trend uncertainty reflects only the activity-data changes. This is what IPCC V1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 now labelled explicitly so there is no ambiguity:</w:t>
      </w:r>
    </w:p>
    <w:p>
      <w:pPr>
        <w:pStyle w:val="BodyText"/>
      </w:pPr>
      <w:r>
        <w:t xml:space="preserve">: Following IPCC Table 3.3 conventions, all values are expressed as the half-width of the 95% confidence interval divided by the mean, multiplied by 100 — i.e. </w:t>
      </w:r>
      <w:r>
        <w:t xml:space="preserve">. CV (</w:t>
      </w:r>
      <w:r>
        <w:t xml:space="preserve">) is a different metric and is</w:t>
      </w:r>
      <w:r>
        <w:t xml:space="preserve"> </w:t>
      </w:r>
      <w:r>
        <w:t xml:space="preserve"> </w:t>
      </w:r>
      <w:r>
        <w:t xml:space="preserve">what IPCC Annex 7 expects in this column.</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would compare against the IPCC 2019 Refinement defaults (Vol.4 Ch.10 / Ch.11), and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80585C53-3070-4F49-BA35-4CEDD54E02DF}"/>
</file>

<file path=customXml/itemProps2.xml><?xml version="1.0" encoding="utf-8"?>
<ds:datastoreItem xmlns:ds="http://schemas.openxmlformats.org/officeDocument/2006/customXml" ds:itemID="{487B59AF-BD50-4008-811C-A82F919C11E3}"/>
</file>

<file path=customXml/itemProps3.xml><?xml version="1.0" encoding="utf-8"?>
<ds:datastoreItem xmlns:ds="http://schemas.openxmlformats.org/officeDocument/2006/customXml" ds:itemID="{BF1E7E33-3C1D-4562-A5BE-4BCED988E55B}"/>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2026-06-04T10:03:27Z</dcterms:created>
  <dcterms:modified xsi:type="dcterms:W3CDTF">2026-06-04T10:03:27Z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MediaServiceImageTags">
    <vt:lpwstr/>
  </property>
  <property fmtid="{D5CDD505-2E9C-101B-9397-08002B2CF9AE}" pid="9" name="ContentTypeId">
    <vt:lpwstr>0x0101006AAA32E7549EE6449AC68337FF671C5A</vt:lpwstr>
  </property>
</Properties>
</file>