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that do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 Warn / Fail thresholds based on ±50% and ±200% from the IPCC default) is applied</w:t>
      </w:r>
      <w:r>
        <w:t xml:space="preserve"> </w:t>
      </w:r>
      <w:r>
        <w:t xml:space="preserve"> </w:t>
      </w:r>
      <w:r>
        <w:t xml:space="preserve">— the one parameter for which the tool keeps a defensible continental IPCC table lookup: Annex Tables 10A.1 (dairy cows), 10A.2 (non-dairy cattle), and 10A.3 (buffalo). Earlier versions of the tool also flagged deviations on Milk, MW, DE, Ym, and Bo, but those benchmarks were heuristic mid-points derived from the same Annex 10A tables rather than direct IPCC defaults — a reviewer auditing the QA tab could not locate the cited values in the guidelines, so they were removed (Andreas Wilkes review, May 2026). The remaining parameters are still auto-filled with the catalogue IPCC default when missing (flagged</w:t>
      </w:r>
      <w:r>
        <w:t xml:space="preserve"> </w:t>
      </w:r>
      <w:r>
        <w:t xml:space="preserve">); they just no longer raise a</w:t>
      </w:r>
      <w:r>
        <w:t xml:space="preserve"> </w:t>
      </w:r>
      <w:r>
        <w:t xml:space="preserve"> </w:t>
      </w:r>
      <w:r>
        <w:t xml:space="preserve">purely for differing from a mid-point that was not citable to a published IPCC table. Reinstating per-parameter benchmarks properly would require a multi-dimensional lookup (parameter × continent × IPCC version × production system × animal sub-category) and is deferred to a future release.</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50–200%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Either the</w:t>
      </w:r>
      <w:r>
        <w:t xml:space="preserve"> </w:t>
      </w:r>
      <w:r>
        <w:t xml:space="preserve"> </w:t>
      </w:r>
      <w:r>
        <w:t xml:space="preserve">mean deviates more than 200% from the continental IPCC default (likely a data-entry error such as a live weight of 50,000 kg), or another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w:t>
      </w:r>
      <w:r>
        <w:t xml:space="preserve"> </w:t>
      </w:r>
      <m:oMath>
        <m:r>
          <m:t>l</m:t>
        </m:r>
        <m:r>
          <m:t>o</m:t>
        </m:r>
        <m:r>
          <m:t>w</m:t>
        </m:r>
        <m:r>
          <m:t>e</m:t>
        </m:r>
        <m:r>
          <m:t>r</m:t>
        </m:r>
        <m:r>
          <m:rPr>
            <m:sty m:val="p"/>
          </m:rPr>
          <m:t>&gt;</m:t>
        </m:r>
        <m:r>
          <m:t>u</m:t>
        </m:r>
        <m:r>
          <m:t>p</m:t>
        </m:r>
        <m:r>
          <m:t>p</m:t>
        </m:r>
        <m:r>
          <m:t>e</m:t>
        </m:r>
        <m:r>
          <m:t>r</m:t>
        </m:r>
      </m:oMath>
      <w:r>
        <w:t xml:space="preserve">; an MMS fraction-sum more than 1% off 100%; or a Beta configured with mean outside</w:t>
      </w:r>
      <w:r>
        <w:t xml:space="preserve"> </w:t>
      </w:r>
      <m:oMath>
        <m:r>
          <m:rPr>
            <m:sty m:val="p"/>
          </m:rPr>
          <m:t>(</m:t>
        </m:r>
        <m:r>
          <m:t>0</m:t>
        </m:r>
        <m:r>
          <m:rPr>
            <m:sty m:val="p"/>
          </m:rPr>
          <m:t>,</m:t>
        </m:r>
        <m:r>
          <m:t>1</m:t>
        </m:r>
        <m:r>
          <m:rPr>
            <m:sty m:val="p"/>
          </m:rPr>
          <m:t>)</m:t>
        </m:r>
      </m:oMath>
      <w:r>
        <w:t xml:space="preserve">. Correct the value before proceeding.</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3F844087-D36B-4442-888C-2CE6916839AA}"/>
</file>

<file path=customXml/itemProps2.xml><?xml version="1.0" encoding="utf-8"?>
<ds:datastoreItem xmlns:ds="http://schemas.openxmlformats.org/officeDocument/2006/customXml" ds:itemID="{A33119A9-FC5E-4976-806C-FC3E218BC154}"/>
</file>

<file path=customXml/itemProps3.xml><?xml version="1.0" encoding="utf-8"?>
<ds:datastoreItem xmlns:ds="http://schemas.openxmlformats.org/officeDocument/2006/customXml" ds:itemID="{7896D686-07F0-4824-8B6A-AB2FDD9FC159}"/>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2026-06-09T12:43:42Z</dcterms:created>
  <dcterms:modified xsi:type="dcterms:W3CDTF">2026-06-09T12:43:42Z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