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custom.xml" ContentType="application/vnd.openxmlformats-officedocument.custom-properties+xml"/>
  <Override PartName="/word/settings.xml" ContentType="application/vnd.openxmlformats-officedocument.wordprocessingml.settings+xml"/>
  <Override PartName="/docProps/app.xml" ContentType="application/vnd.openxmlformats-officedocument.extended-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IPCC Tier 2 Livestock GHG Uncertainty Calculator</w:t>
      </w:r>
    </w:p>
    <w:p>
      <w:pPr>
        <w:pStyle w:val="Subtitle"/>
      </w:pPr>
      <w:r>
        <w:t xml:space="preserve">Technical Methodology: Equations, Monte Carlo Procedure, and Uncertainty Reporting</w:t>
      </w:r>
    </w:p>
    <w:p>
      <w:pPr>
        <w:pStyle w:val="Author"/>
      </w:pPr>
      <w:r>
        <w:t xml:space="preserve">CIAT / CGIAR Alliance, ClimateActionNetZero</w:t>
      </w:r>
    </w:p>
    <w:p>
      <w:r>
        <w:br w:type="page"/>
      </w:r>
    </w:p>
    <w:p>
      <w:r>
        <w:br w:type="page"/>
      </w:r>
    </w:p>
    <w:bookmarkStart w:id="12" w:name="introduction"/>
    <w:p>
      <w:pPr>
        <w:pStyle w:val="Heading1"/>
      </w:pPr>
      <w:r>
        <w:t xml:space="preserve">Introduction</w:t>
      </w:r>
    </w:p>
    <w:bookmarkStart w:id="9" w:name="purpose"/>
    <w:p>
      <w:pPr>
        <w:pStyle w:val="Heading2"/>
      </w:pPr>
      <w:r>
        <w:t xml:space="preserve">Purpose</w:t>
      </w:r>
    </w:p>
    <w:p>
      <w:pPr>
        <w:pStyle w:val="FirstParagraph"/>
      </w:pPr>
      <w:r>
        <w:t xml:space="preserve">The</w:t>
      </w:r>
      <w:r>
        <w:t xml:space="preserve"> </w:t>
      </w:r>
      <w:r>
        <w:rPr>
          <w:b/>
          <w:bCs/>
        </w:rPr>
        <w:t xml:space="preserve">IPCC Tier 2 Livestock GHG Uncertainty Calculator</w:t>
      </w:r>
      <w:r>
        <w:t xml:space="preserve"> </w:t>
      </w:r>
      <w:r>
        <w:t xml:space="preserve">is a web-based tool that enables national inventory compilers to quantify the uncertainty in cattle greenhouse gas (GHG) emission estimates produced using the IPCC Tier 2 methodology. The tool implements the Monte Carlo (Approach 2) uncertainty framework described in IPCC (2006) Volume 1, Chapter 3, applied to the full emission equation chain of IPCC (2006) Volume 4, Chapter 10 and Chapter 11 for pasture N</w:t>
      </w:r>
      <m:oMath>
        <m:sSub>
          <m:e>
            <m:r>
              <m:t>​</m:t>
            </m:r>
          </m:e>
          <m:sub>
            <m:r>
              <m:t>2</m:t>
            </m:r>
          </m:sub>
        </m:sSub>
      </m:oMath>
      <w:r>
        <w:t xml:space="preserve">O.</w:t>
      </w:r>
    </w:p>
    <w:p>
      <w:pPr>
        <w:pStyle w:val="BodyText"/>
      </w:pPr>
      <w:r>
        <w:t xml:space="preserve">Under the Paris Agreement Enhanced Transparency Framework (ETF), national inventory reports are expected to include quantitative uncertainty estimates alongside emission totals. This tool automates that process, from parameter sampling to the formatted IPCC Table 3.3 output, for inventories of GHG emissions from one or more sub-categories of cattle.</w:t>
      </w:r>
    </w:p>
    <w:bookmarkEnd w:id="9"/>
    <w:bookmarkStart w:id="10" w:name="scope"/>
    <w:p>
      <w:pPr>
        <w:pStyle w:val="Heading2"/>
      </w:pPr>
      <w:r>
        <w:t xml:space="preserve">Scope</w:t>
      </w:r>
    </w:p>
    <w:p>
      <w:pPr>
        <w:pStyle w:val="FirstParagraph"/>
      </w:pPr>
      <w:r>
        <w:t xml:space="preserve">The tool covers six emission sources for cattle (or buffalo):</w:t>
      </w:r>
    </w:p>
    <w:p>
      <w:pPr>
        <w:pStyle w:val="Compact"/>
        <w:numPr>
          <w:ilvl w:val="0"/>
          <w:numId w:val="1001"/>
        </w:numPr>
      </w:pPr>
      <w:r>
        <w:rPr>
          <w:b/>
          <w:bCs/>
        </w:rPr>
        <w:t xml:space="preserve">Enteric fermentation CH</w:t>
      </w:r>
      <m:oMath>
        <m:sSub>
          <m:e>
            <m:r>
              <m:t>​</m:t>
            </m:r>
          </m:e>
          <m:sub>
            <m:r>
              <m:t>4</m:t>
            </m:r>
          </m:sub>
        </m:sSub>
      </m:oMath>
      <w:r>
        <w:t xml:space="preserve">: methane produced during enteric fermentation in the rumen</w:t>
      </w:r>
    </w:p>
    <w:p>
      <w:pPr>
        <w:pStyle w:val="Compact"/>
        <w:numPr>
          <w:ilvl w:val="0"/>
          <w:numId w:val="1001"/>
        </w:numPr>
      </w:pPr>
      <w:r>
        <w:rPr>
          <w:b/>
          <w:bCs/>
        </w:rPr>
        <w:t xml:space="preserve">Manure management CH</w:t>
      </w:r>
      <m:oMath>
        <m:sSub>
          <m:e>
            <m:r>
              <m:t>​</m:t>
            </m:r>
          </m:e>
          <m:sub>
            <m:r>
              <m:t>4</m:t>
            </m:r>
          </m:sub>
        </m:sSub>
      </m:oMath>
      <w:r>
        <w:t xml:space="preserve">: methane from anaerobic decomposition of manure in storage systems</w:t>
      </w:r>
    </w:p>
    <w:p>
      <w:pPr>
        <w:pStyle w:val="Compact"/>
        <w:numPr>
          <w:ilvl w:val="0"/>
          <w:numId w:val="1001"/>
        </w:numPr>
      </w:pPr>
      <w:r>
        <w:rPr>
          <w:b/>
          <w:bCs/>
        </w:rPr>
        <w:t xml:space="preserve">Manure management N</w:t>
      </w:r>
      <m:oMath>
        <m:sSub>
          <m:e>
            <m:r>
              <m:t>​</m:t>
            </m:r>
          </m:e>
          <m:sub>
            <m:r>
              <m:t>2</m:t>
            </m:r>
          </m:sub>
        </m:sSub>
      </m:oMath>
      <w:r>
        <w:rPr>
          <w:b/>
          <w:bCs/>
        </w:rPr>
        <w:t xml:space="preserve">O (direct)</w:t>
      </w:r>
      <w:r>
        <w:t xml:space="preserve">: direct nitrous oxide from nitrogen in managed manure</w:t>
      </w:r>
    </w:p>
    <w:p>
      <w:pPr>
        <w:pStyle w:val="Compact"/>
        <w:numPr>
          <w:ilvl w:val="0"/>
          <w:numId w:val="1001"/>
        </w:numPr>
      </w:pPr>
      <w:r>
        <w:rPr>
          <w:b/>
          <w:bCs/>
        </w:rPr>
        <w:t xml:space="preserve">Manure management N</w:t>
      </w:r>
      <m:oMath>
        <m:sSub>
          <m:e>
            <m:r>
              <m:t>​</m:t>
            </m:r>
          </m:e>
          <m:sub>
            <m:r>
              <m:t>2</m:t>
            </m:r>
          </m:sub>
        </m:sSub>
      </m:oMath>
      <w:r>
        <w:rPr>
          <w:b/>
          <w:bCs/>
        </w:rPr>
        <w:t xml:space="preserve">O (indirect)</w:t>
      </w:r>
      <w:r>
        <w:t xml:space="preserve">: indirect N</w:t>
      </w:r>
      <m:oMath>
        <m:sSub>
          <m:e>
            <m:r>
              <m:t>​</m:t>
            </m:r>
          </m:e>
          <m:sub>
            <m:r>
              <m:t>2</m:t>
            </m:r>
          </m:sub>
        </m:sSub>
      </m:oMath>
      <w:r>
        <w:t xml:space="preserve">O via atmospheric deposition and leaching from managed manure</w:t>
      </w:r>
    </w:p>
    <w:p>
      <w:pPr>
        <w:pStyle w:val="Compact"/>
        <w:numPr>
          <w:ilvl w:val="0"/>
          <w:numId w:val="1001"/>
        </w:numPr>
      </w:pPr>
      <w:r>
        <w:rPr>
          <w:b/>
          <w:bCs/>
        </w:rPr>
        <w:t xml:space="preserve">Pasture/range/paddock N</w:t>
      </w:r>
      <m:oMath>
        <m:sSub>
          <m:e>
            <m:r>
              <m:t>​</m:t>
            </m:r>
          </m:e>
          <m:sub>
            <m:r>
              <m:t>2</m:t>
            </m:r>
          </m:sub>
        </m:sSub>
      </m:oMath>
      <w:r>
        <w:rPr>
          <w:b/>
          <w:bCs/>
        </w:rPr>
        <w:t xml:space="preserve">O (direct)</w:t>
      </w:r>
      <w:r>
        <w:t xml:space="preserve">: direct N</w:t>
      </w:r>
      <m:oMath>
        <m:sSub>
          <m:e>
            <m:r>
              <m:t>​</m:t>
            </m:r>
          </m:e>
          <m:sub>
            <m:r>
              <m:t>2</m:t>
            </m:r>
          </m:sub>
        </m:sSub>
      </m:oMath>
      <w:r>
        <w:t xml:space="preserve">O from dung and urine deposited on pasture</w:t>
      </w:r>
    </w:p>
    <w:p>
      <w:pPr>
        <w:pStyle w:val="Compact"/>
        <w:numPr>
          <w:ilvl w:val="0"/>
          <w:numId w:val="1001"/>
        </w:numPr>
      </w:pPr>
      <w:r>
        <w:rPr>
          <w:b/>
          <w:bCs/>
        </w:rPr>
        <w:t xml:space="preserve">Pasture/range/paddock N</w:t>
      </w:r>
      <m:oMath>
        <m:sSub>
          <m:e>
            <m:r>
              <m:t>​</m:t>
            </m:r>
          </m:e>
          <m:sub>
            <m:r>
              <m:t>2</m:t>
            </m:r>
          </m:sub>
        </m:sSub>
      </m:oMath>
      <w:r>
        <w:rPr>
          <w:b/>
          <w:bCs/>
        </w:rPr>
        <w:t xml:space="preserve">O (indirect)</w:t>
      </w:r>
      <w:r>
        <w:t xml:space="preserve">: indirect N</w:t>
      </w:r>
      <m:oMath>
        <m:sSub>
          <m:e>
            <m:r>
              <m:t>​</m:t>
            </m:r>
          </m:e>
          <m:sub>
            <m:r>
              <m:t>2</m:t>
            </m:r>
          </m:sub>
        </m:sSub>
      </m:oMath>
      <w:r>
        <w:t xml:space="preserve">O from dung and urine on pasture</w:t>
      </w:r>
    </w:p>
    <w:p>
      <w:pPr>
        <w:pStyle w:val="FirstParagraph"/>
      </w:pPr>
      <w:r>
        <w:t xml:space="preserve">The tool supports multiple cattle sub-categories (e.g. dairy cows, beef bulls, heifers, growing males, calves) within a single inventory run, with results aggregated to national totals and to per-cattle-type subtotals (dairy, non-dairy), and with a per-sub-category breakdown that users can use to represent production systems, regions, or animal classes.</w:t>
      </w:r>
    </w:p>
    <w:bookmarkEnd w:id="10"/>
    <w:bookmarkStart w:id="11" w:name="ipcc-tier-classification"/>
    <w:p>
      <w:pPr>
        <w:pStyle w:val="Heading2"/>
      </w:pPr>
      <w:r>
        <w:t xml:space="preserve">IPCC Tier Classification</w:t>
      </w:r>
    </w:p>
    <w:p>
      <w:pPr>
        <w:pStyle w:val="FirstParagraph"/>
      </w:pPr>
      <w:r>
        <w:t xml:space="preserve">The tool implements</w:t>
      </w:r>
      <w:r>
        <w:t xml:space="preserve"> </w:t>
      </w:r>
      <w:r>
        <w:rPr>
          <w:b/>
          <w:bCs/>
        </w:rPr>
        <w:t xml:space="preserve">Tier 2</w:t>
      </w:r>
      <w:r>
        <w:t xml:space="preserve"> </w:t>
      </w:r>
      <w:r>
        <w:t xml:space="preserve">methods throughout the emission chain. Tier 2 enteric fermentation outputs (GE, DE, CP) feed the manure CH</w:t>
      </w:r>
      <m:oMath>
        <m:sSub>
          <m:e>
            <m:r>
              <m:t>​</m:t>
            </m:r>
          </m:e>
          <m:sub>
            <m:r>
              <m:t>4</m:t>
            </m:r>
          </m:sub>
        </m:sSub>
      </m:oMath>
      <w:r>
        <w:t xml:space="preserve"> </w:t>
      </w:r>
      <w:r>
        <w:t xml:space="preserve">and N</w:t>
      </w:r>
      <m:oMath>
        <m:sSub>
          <m:e>
            <m:r>
              <m:t>​</m:t>
            </m:r>
          </m:e>
          <m:sub>
            <m:r>
              <m:t>2</m:t>
            </m:r>
          </m:sub>
        </m:sSub>
      </m:oMath>
      <w:r>
        <w:t xml:space="preserve">O calculations, so the whole chain is classified as Tier 2. The uncertainty analysis itself follows the</w:t>
      </w:r>
      <w:r>
        <w:t xml:space="preserve"> </w:t>
      </w:r>
      <w:r>
        <w:rPr>
          <w:b/>
          <w:bCs/>
        </w:rPr>
        <w:t xml:space="preserve">Approach 2</w:t>
      </w:r>
      <w:r>
        <w:t xml:space="preserve"> </w:t>
      </w:r>
      <w:r>
        <w:t xml:space="preserve">(Monte Carlo) framework, which is the more accurate of the two IPCC uncertainty methods and is recommended when non-linear equation chains are involved.</w:t>
      </w:r>
    </w:p>
    <w:p>
      <w:r>
        <w:br w:type="page"/>
      </w:r>
    </w:p>
    <w:bookmarkEnd w:id="11"/>
    <w:bookmarkEnd w:id="12"/>
    <w:bookmarkStart w:id="13" w:name="input-parameters"/>
    <w:p>
      <w:pPr>
        <w:pStyle w:val="Heading1"/>
      </w:pPr>
      <w:r>
        <w:t xml:space="preserve">Input Parameters</w:t>
      </w:r>
    </w:p>
    <w:p>
      <w:pPr>
        <w:pStyle w:val="FirstParagraph"/>
      </w:pPr>
      <w:r>
        <w:t xml:space="preserve">All parameters are entered via an Excel template (one row per parameter per cattle sub-category) and loaded into the tool. Each parameter requires a central value, an uncertainty specification (distribution type and bounds or percentage), and an optional IPCC reference.</w:t>
      </w:r>
    </w:p>
    <w:p>
      <w:pPr>
        <w:pStyle w:val="BodyText"/>
      </w:pPr>
      <w:r>
        <w:t xml:space="preserve">Table</w:t>
      </w:r>
      <w:r>
        <w:t xml:space="preserve"> </w:t>
      </w:r>
      <w:r>
        <w:t xml:space="preserve"> </w:t>
      </w:r>
      <w:r>
        <w:t xml:space="preserve">lists all parameters used in the calculation chain, their units, the IPCC equation in which they appear, the default value pre-loaded in the tool (sourced from the IPCC Guidelines), and an indication of potentially suitable probability distributions that can be applied in uncertainty analysis. Where the 2006 Guidelines and the 2019 Refinement give different defaults, both are shown.</w:t>
      </w:r>
    </w:p>
    <w:p>
      <w:r>
        <w:br w:type="page"/>
      </w:r>
    </w:p>
    <w:bookmarkEnd w:id="13"/>
    <w:bookmarkStart w:id="34" w:name="ipcc-tier-2-emission-equations"/>
    <w:p>
      <w:pPr>
        <w:pStyle w:val="Heading1"/>
      </w:pPr>
      <w:r>
        <w:t xml:space="preserve">IPCC Tier 2 Emission Equations</w:t>
      </w:r>
    </w:p>
    <w:p>
      <w:pPr>
        <w:pStyle w:val="FirstParagraph"/>
      </w:pPr>
      <w:r>
        <w:t xml:space="preserve">This section presents the complete equation chain implemented in the tool, following IPCC (2006) Volume 4, Chapter 10. All equations are evaluated for each cattle sub-category independently; results are then aggregated to national totals by summing across sub-categories.</w:t>
      </w:r>
    </w:p>
    <w:bookmarkStart w:id="14" w:name="net-energy-for-maintenance"/>
    <w:p>
      <w:pPr>
        <w:pStyle w:val="Heading2"/>
      </w:pPr>
      <w:r>
        <w:t xml:space="preserve">Net Energy for Maintenance</w:t>
      </w:r>
    </w:p>
    <w:p>
      <w:pPr>
        <w:pStyle w:val="FirstParagraph"/>
      </w:pPr>
      <w:r>
        <w:t xml:space="preserve">The daily net energy requirement for maintenance (</w:t>
      </w:r>
      <m:oMath>
        <m:r>
          <m:t>N</m:t>
        </m:r>
        <m:sSub>
          <m:e>
            <m:r>
              <m:t>E</m:t>
            </m:r>
          </m:e>
          <m:sub>
            <m:r>
              <m:t>m</m:t>
            </m:r>
          </m:sub>
        </m:sSub>
      </m:oMath>
      <w:r>
        <w:t xml:space="preserve">, MJ head</w:t>
      </w:r>
      <m:oMath>
        <m:sSup>
          <m:e>
            <m:r>
              <m:t>​</m:t>
            </m:r>
          </m:e>
          <m:sup>
            <m:r>
              <m:rPr>
                <m:sty m:val="p"/>
              </m:rPr>
              <m:t>−</m:t>
            </m:r>
            <m:r>
              <m:t>1</m:t>
            </m:r>
          </m:sup>
        </m:sSup>
      </m:oMath>
      <w:r>
        <w:t xml:space="preserve"> </w:t>
      </w:r>
      <w:r>
        <w:t xml:space="preserve">day</w:t>
      </w:r>
      <m:oMath>
        <m:sSup>
          <m:e>
            <m:r>
              <m:t>​</m:t>
            </m:r>
          </m:e>
          <m:sup>
            <m:r>
              <m:rPr>
                <m:sty m:val="p"/>
              </m:rPr>
              <m:t>−</m:t>
            </m:r>
            <m:r>
              <m:t>1</m:t>
            </m:r>
          </m:sup>
        </m:sSup>
      </m:oMath>
      <w:r>
        <w:t xml:space="preserve">) is given by IPCC Eq. 10.3:</w:t>
      </w:r>
    </w:p>
    <w:p>
      <w:pPr>
        <w:pStyle w:val="BodyText"/>
      </w:pPr>
      <m:oMathPara>
        <m:oMathParaPr>
          <m:jc m:val="center"/>
        </m:oMathParaPr>
        <m:oMath>
          <m:r>
            <m:t>N</m:t>
          </m:r>
          <m:sSub>
            <m:e>
              <m:r>
                <m:t>E</m:t>
              </m:r>
            </m:e>
            <m:sub>
              <m:r>
                <m:t>m</m:t>
              </m:r>
            </m:sub>
          </m:sSub>
          <m:r>
            <m:rPr>
              <m:sty m:val="p"/>
            </m:rPr>
            <m:t>=</m:t>
          </m:r>
          <m:sSub>
            <m:e>
              <m:r>
                <m:t>C</m:t>
              </m:r>
            </m:e>
            <m:sub>
              <m:r>
                <m:t>f</m:t>
              </m:r>
              <m:r>
                <m:t>i</m:t>
              </m:r>
              <m:r>
                <m:rPr>
                  <m:sty m:val="p"/>
                </m:rPr>
                <m:t>,</m:t>
              </m:r>
              <m:r>
                <m:rPr>
                  <m:nor/>
                  <m:sty m:val="p"/>
                </m:rPr>
                <m:t>adj</m:t>
              </m:r>
            </m:sub>
          </m:sSub>
          <m:r>
            <m:rPr>
              <m:sty m:val="p"/>
            </m:rPr>
            <m:t>×</m:t>
          </m:r>
          <m:r>
            <m:t>B</m:t>
          </m:r>
          <m:sSup>
            <m:e>
              <m:r>
                <m:t>W</m:t>
              </m:r>
            </m:e>
            <m:sup>
              <m:r>
                <m:t>0.75</m:t>
              </m:r>
            </m:sup>
          </m:sSup>
        </m:oMath>
      </m:oMathPara>
    </w:p>
    <w:p>
      <w:pPr>
        <w:pStyle w:val="FirstParagraph"/>
      </w:pPr>
      <w:r>
        <w:t xml:space="preserve">where</w:t>
      </w:r>
      <w:r>
        <w:t xml:space="preserve"> </w:t>
      </w:r>
      <m:oMath>
        <m:r>
          <m:t>B</m:t>
        </m:r>
        <m:r>
          <m:t>W</m:t>
        </m:r>
      </m:oMath>
      <w:r>
        <w:t xml:space="preserve"> </w:t>
      </w:r>
      <w:r>
        <w:t xml:space="preserve">is the mean live body weight (kg head</w:t>
      </w:r>
      <m:oMath>
        <m:sSup>
          <m:e>
            <m:r>
              <m:t>​</m:t>
            </m:r>
          </m:e>
          <m:sup>
            <m:r>
              <m:rPr>
                <m:sty m:val="p"/>
              </m:rPr>
              <m:t>−</m:t>
            </m:r>
            <m:r>
              <m:t>1</m:t>
            </m:r>
          </m:sup>
        </m:sSup>
      </m:oMath>
      <w:r>
        <w:t xml:space="preserve">) and</w:t>
      </w:r>
      <w:r>
        <w:t xml:space="preserve"> </w:t>
      </w:r>
      <m:oMath>
        <m:sSub>
          <m:e>
            <m:r>
              <m:t>C</m:t>
            </m:r>
          </m:e>
          <m:sub>
            <m:r>
              <m:t>f</m:t>
            </m:r>
            <m:r>
              <m:t>i</m:t>
            </m:r>
          </m:sub>
        </m:sSub>
      </m:oMath>
      <w:r>
        <w:t xml:space="preserve"> </w:t>
      </w:r>
      <w:r>
        <w:t xml:space="preserve">is a sex/condition coefficient (MJ kg</w:t>
      </w:r>
      <m:oMath>
        <m:sSup>
          <m:e>
            <m:r>
              <m:t>​</m:t>
            </m:r>
          </m:e>
          <m:sup>
            <m:r>
              <m:rPr>
                <m:sty m:val="p"/>
              </m:rPr>
              <m:t>−</m:t>
            </m:r>
            <m:r>
              <m:t>0.75</m:t>
            </m:r>
          </m:sup>
        </m:sSup>
      </m:oMath>
      <w:r>
        <w:t xml:space="preserve"> </w:t>
      </w:r>
      <w:r>
        <w:t xml:space="preserve">day</w:t>
      </w:r>
      <m:oMath>
        <m:sSup>
          <m:e>
            <m:r>
              <m:t>​</m:t>
            </m:r>
          </m:e>
          <m:sup>
            <m:r>
              <m:rPr>
                <m:sty m:val="p"/>
              </m:rPr>
              <m:t>−</m:t>
            </m:r>
            <m:r>
              <m:t>1</m:t>
            </m:r>
          </m:sup>
        </m:sSup>
      </m:oMath>
      <w:r>
        <w:t xml:space="preserve">). For open-lot cattle in colder climates the 2006 Guidelines (Vol.4 Ch.10, retained unchanged in the 2019 Refinement) prescribe a linear adjustment of</w:t>
      </w:r>
      <w:r>
        <w:t xml:space="preserve"> </w:t>
      </w:r>
      <m:oMath>
        <m:sSub>
          <m:e>
            <m:r>
              <m:t>C</m:t>
            </m:r>
          </m:e>
          <m:sub>
            <m:r>
              <m:t>f</m:t>
            </m:r>
            <m:r>
              <m:t>i</m:t>
            </m:r>
          </m:sub>
        </m:sSub>
      </m:oMath>
      <w:r>
        <w:t xml:space="preserve">: IPCC Eq.~10.2, ``Coefficient for calculating net energy for maintenance’’, based on the mean daily winter temperature:</w:t>
      </w:r>
    </w:p>
    <w:p>
      <w:pPr>
        <w:pStyle w:val="BodyText"/>
      </w:pPr>
      <m:oMathPara>
        <m:oMathParaPr>
          <m:jc m:val="center"/>
        </m:oMathParaPr>
        <m:oMath>
          <m:sSub>
            <m:e>
              <m:r>
                <m:t>C</m:t>
              </m:r>
            </m:e>
            <m:sub>
              <m:r>
                <m:t>f</m:t>
              </m:r>
              <m:r>
                <m:t>i</m:t>
              </m:r>
              <m:r>
                <m:rPr>
                  <m:sty m:val="p"/>
                </m:rPr>
                <m:t>,</m:t>
              </m:r>
              <m:r>
                <m:rPr>
                  <m:nor/>
                  <m:sty m:val="p"/>
                </m:rPr>
                <m:t>adj</m:t>
              </m:r>
            </m:sub>
          </m:sSub>
          <m:r>
            <m:rPr>
              <m:sty m:val="p"/>
            </m:rPr>
            <m:t>=</m:t>
          </m:r>
          <m:sSub>
            <m:e>
              <m:r>
                <m:t>C</m:t>
              </m:r>
            </m:e>
            <m:sub>
              <m:r>
                <m:t>f</m:t>
              </m:r>
              <m:r>
                <m:t>i</m:t>
              </m:r>
            </m:sub>
          </m:sSub>
          <m:r>
            <m:rPr>
              <m:sty m:val="p"/>
            </m:rPr>
            <m:t>+</m:t>
          </m:r>
          <m:r>
            <m:t>0.0048</m:t>
          </m:r>
          <m:r>
            <m:rPr>
              <m:sty m:val="p"/>
            </m:rPr>
            <m:t>×</m:t>
          </m:r>
          <m:r>
            <m:rPr>
              <m:sty m:val="p"/>
            </m:rPr>
            <m:t>(</m:t>
          </m:r>
          <m:r>
            <m:t>20</m:t>
          </m:r>
          <m:r>
            <m:rPr>
              <m:sty m:val="p"/>
            </m:rPr>
            <m:t>−</m:t>
          </m:r>
          <m:sSub>
            <m:e>
              <m:r>
                <m:t>T</m:t>
              </m:r>
            </m:e>
            <m:sub>
              <m:r>
                <m:t>w</m:t>
              </m:r>
            </m:sub>
          </m:sSub>
          <m:r>
            <m:rPr>
              <m:sty m:val="p"/>
            </m:rPr>
            <m:t>)</m:t>
          </m:r>
          <m:r>
            <m:t> </m:t>
          </m:r>
          <m:r>
            <m:rPr>
              <m:nor/>
              <m:sty m:val="p"/>
            </m:rPr>
            <m:t>when </m:t>
          </m:r>
          <m:sSub>
            <m:e>
              <m:r>
                <m:t>T</m:t>
              </m:r>
            </m:e>
            <m:sub>
              <m:r>
                <m:t>w</m:t>
              </m:r>
            </m:sub>
          </m:sSub>
          <m:r>
            <m:rPr>
              <m:sty m:val="p"/>
            </m:rPr>
            <m:t>&lt;</m:t>
          </m:r>
          <m:r>
            <m:t>20</m:t>
          </m:r>
          <m:r>
            <m:rPr>
              <m:nor/>
              <m:sty m:val="p"/>
            </m:rPr>
            <m:t>°C</m:t>
          </m:r>
        </m:oMath>
      </m:oMathPara>
    </w:p>
    <w:p>
      <w:pPr>
        <w:pStyle w:val="FirstParagraph"/>
      </w:pPr>
      <w:r>
        <w:t xml:space="preserve">otherwise</w:t>
      </w:r>
      <w:r>
        <w:t xml:space="preserve"> </w:t>
      </w:r>
      <m:oMath>
        <m:sSub>
          <m:e>
            <m:r>
              <m:t>C</m:t>
            </m:r>
          </m:e>
          <m:sub>
            <m:r>
              <m:t>f</m:t>
            </m:r>
            <m:r>
              <m:t>i</m:t>
            </m:r>
            <m:r>
              <m:rPr>
                <m:sty m:val="p"/>
              </m:rPr>
              <m:t>,</m:t>
            </m:r>
            <m:r>
              <m:rPr>
                <m:nor/>
                <m:sty m:val="p"/>
              </m:rPr>
              <m:t>adj</m:t>
            </m:r>
          </m:sub>
        </m:sSub>
        <m:r>
          <m:rPr>
            <m:sty m:val="p"/>
          </m:rPr>
          <m:t>=</m:t>
        </m:r>
        <m:sSub>
          <m:e>
            <m:r>
              <m:t>C</m:t>
            </m:r>
          </m:e>
          <m:sub>
            <m:r>
              <m:t>f</m:t>
            </m:r>
            <m:r>
              <m:t>i</m:t>
            </m:r>
          </m:sub>
        </m:sSub>
      </m:oMath>
      <w:r>
        <w:t xml:space="preserve">. This adjustment increases the maintenance energy requirement by approximately 0.48% per degree below 20°C. The same linear formula is implemented in the IPCC Inventory Software (v2.95).</w:t>
      </w:r>
    </w:p>
    <w:bookmarkEnd w:id="14"/>
    <w:bookmarkStart w:id="15" w:name="net-energy-for-activity"/>
    <w:p>
      <w:pPr>
        <w:pStyle w:val="Heading2"/>
      </w:pPr>
      <w:r>
        <w:t xml:space="preserve">Net Energy for Activity</w:t>
      </w:r>
    </w:p>
    <w:p>
      <w:pPr>
        <w:pStyle w:val="FirstParagraph"/>
      </w:pPr>
      <w:r>
        <w:t xml:space="preserve">The net energy for physical activity (</w:t>
      </w:r>
      <m:oMath>
        <m:r>
          <m:t>N</m:t>
        </m:r>
        <m:sSub>
          <m:e>
            <m:r>
              <m:t>E</m:t>
            </m:r>
          </m:e>
          <m:sub>
            <m:r>
              <m:t>a</m:t>
            </m:r>
          </m:sub>
        </m:sSub>
      </m:oMath>
      <w:r>
        <w:t xml:space="preserve">, MJ head</w:t>
      </w:r>
      <m:oMath>
        <m:sSup>
          <m:e>
            <m:r>
              <m:t>​</m:t>
            </m:r>
          </m:e>
          <m:sup>
            <m:r>
              <m:rPr>
                <m:sty m:val="p"/>
              </m:rPr>
              <m:t>−</m:t>
            </m:r>
            <m:r>
              <m:t>1</m:t>
            </m:r>
          </m:sup>
        </m:sSup>
      </m:oMath>
      <w:r>
        <w:t xml:space="preserve"> </w:t>
      </w:r>
      <w:r>
        <w:t xml:space="preserve">day</w:t>
      </w:r>
      <m:oMath>
        <m:sSup>
          <m:e>
            <m:r>
              <m:t>​</m:t>
            </m:r>
          </m:e>
          <m:sup>
            <m:r>
              <m:rPr>
                <m:sty m:val="p"/>
              </m:rPr>
              <m:t>−</m:t>
            </m:r>
            <m:r>
              <m:t>1</m:t>
            </m:r>
          </m:sup>
        </m:sSup>
      </m:oMath>
      <w:r>
        <w:t xml:space="preserve">) is given by IPCC Eq. 10.4:</w:t>
      </w:r>
    </w:p>
    <w:p>
      <w:pPr>
        <w:pStyle w:val="BodyText"/>
      </w:pPr>
      <m:oMathPara>
        <m:oMathParaPr>
          <m:jc m:val="center"/>
        </m:oMathParaPr>
        <m:oMath>
          <m:r>
            <m:t>N</m:t>
          </m:r>
          <m:sSub>
            <m:e>
              <m:r>
                <m:t>E</m:t>
              </m:r>
            </m:e>
            <m:sub>
              <m:r>
                <m:t>a</m:t>
              </m:r>
            </m:sub>
          </m:sSub>
          <m:r>
            <m:rPr>
              <m:sty m:val="p"/>
            </m:rPr>
            <m:t>=</m:t>
          </m:r>
          <m:sSub>
            <m:e>
              <m:r>
                <m:t>C</m:t>
              </m:r>
            </m:e>
            <m:sub>
              <m:r>
                <m:t>a</m:t>
              </m:r>
            </m:sub>
          </m:sSub>
          <m:r>
            <m:rPr>
              <m:sty m:val="p"/>
            </m:rPr>
            <m:t>×</m:t>
          </m:r>
          <m:r>
            <m:t>N</m:t>
          </m:r>
          <m:sSub>
            <m:e>
              <m:r>
                <m:t>E</m:t>
              </m:r>
            </m:e>
            <m:sub>
              <m:r>
                <m:t>m</m:t>
              </m:r>
            </m:sub>
          </m:sSub>
        </m:oMath>
      </m:oMathPara>
    </w:p>
    <w:p>
      <w:pPr>
        <w:pStyle w:val="FirstParagraph"/>
      </w:pPr>
      <w:r>
        <w:t xml:space="preserve">where</w:t>
      </w:r>
      <w:r>
        <w:t xml:space="preserve"> </w:t>
      </w:r>
      <m:oMath>
        <m:sSub>
          <m:e>
            <m:r>
              <m:t>C</m:t>
            </m:r>
          </m:e>
          <m:sub>
            <m:r>
              <m:t>a</m:t>
            </m:r>
          </m:sub>
        </m:sSub>
      </m:oMath>
      <w:r>
        <w:t xml:space="preserve"> </w:t>
      </w:r>
      <w:r>
        <w:t xml:space="preserve">is a dimensionless activity coefficient that accounts for the terrain and movement patterns of the animal (e.g. 0.00 for housed animals, 0.17 for animals on flat pasture, 0.36 for large areas or hilly terrain).</w:t>
      </w:r>
    </w:p>
    <w:bookmarkEnd w:id="15"/>
    <w:bookmarkStart w:id="16" w:name="net-energy-for-growth"/>
    <w:p>
      <w:pPr>
        <w:pStyle w:val="Heading2"/>
      </w:pPr>
      <w:r>
        <w:t xml:space="preserve">Net Energy for Growth</w:t>
      </w:r>
    </w:p>
    <w:p>
      <w:pPr>
        <w:pStyle w:val="FirstParagraph"/>
      </w:pPr>
      <w:r>
        <w:t xml:space="preserve">The net energy required for growth (</w:t>
      </w:r>
      <m:oMath>
        <m:r>
          <m:t>N</m:t>
        </m:r>
        <m:sSub>
          <m:e>
            <m:r>
              <m:t>E</m:t>
            </m:r>
          </m:e>
          <m:sub>
            <m:r>
              <m:t>g</m:t>
            </m:r>
          </m:sub>
        </m:sSub>
      </m:oMath>
      <w:r>
        <w:t xml:space="preserve">, MJ head</w:t>
      </w:r>
      <m:oMath>
        <m:sSup>
          <m:e>
            <m:r>
              <m:t>​</m:t>
            </m:r>
          </m:e>
          <m:sup>
            <m:r>
              <m:rPr>
                <m:sty m:val="p"/>
              </m:rPr>
              <m:t>−</m:t>
            </m:r>
            <m:r>
              <m:t>1</m:t>
            </m:r>
          </m:sup>
        </m:sSup>
      </m:oMath>
      <w:r>
        <w:t xml:space="preserve"> </w:t>
      </w:r>
      <w:r>
        <w:t xml:space="preserve">day</w:t>
      </w:r>
      <m:oMath>
        <m:sSup>
          <m:e>
            <m:r>
              <m:t>​</m:t>
            </m:r>
          </m:e>
          <m:sup>
            <m:r>
              <m:rPr>
                <m:sty m:val="p"/>
              </m:rPr>
              <m:t>−</m:t>
            </m:r>
            <m:r>
              <m:t>1</m:t>
            </m:r>
          </m:sup>
        </m:sSup>
      </m:oMath>
      <w:r>
        <w:t xml:space="preserve">) is given by IPCC Eq. 10.6:</w:t>
      </w:r>
    </w:p>
    <w:p>
      <w:pPr>
        <w:pStyle w:val="BodyText"/>
      </w:pPr>
      <m:oMathPara>
        <m:oMathParaPr>
          <m:jc m:val="center"/>
        </m:oMathParaPr>
        <m:oMath>
          <m:r>
            <m:t>N</m:t>
          </m:r>
          <m:sSub>
            <m:e>
              <m:r>
                <m:t>E</m:t>
              </m:r>
            </m:e>
            <m:sub>
              <m:r>
                <m:t>g</m:t>
              </m:r>
            </m:sub>
          </m:sSub>
          <m:r>
            <m:rPr>
              <m:sty m:val="p"/>
            </m:rPr>
            <m:t>=</m:t>
          </m:r>
          <m:r>
            <m:t>22.02</m:t>
          </m:r>
          <m:r>
            <m:rPr>
              <m:sty m:val="p"/>
            </m:rPr>
            <m:t>×</m:t>
          </m:r>
          <m:sSup>
            <m:e>
              <m:d>
                <m:dPr>
                  <m:begChr m:val="("/>
                  <m:sepChr m:val=""/>
                  <m:endChr m:val=")"/>
                  <m:grow/>
                </m:dPr>
                <m:e>
                  <m:f>
                    <m:fPr>
                      <m:type m:val="bar"/>
                    </m:fPr>
                    <m:num>
                      <m:r>
                        <m:t>B</m:t>
                      </m:r>
                      <m:r>
                        <m:t>W</m:t>
                      </m:r>
                    </m:num>
                    <m:den>
                      <m:r>
                        <m:t>C</m:t>
                      </m:r>
                      <m:r>
                        <m:rPr>
                          <m:sty m:val="p"/>
                        </m:rPr>
                        <m:t>×</m:t>
                      </m:r>
                      <m:r>
                        <m:t>M</m:t>
                      </m:r>
                      <m:r>
                        <m:t>W</m:t>
                      </m:r>
                    </m:den>
                  </m:f>
                </m:e>
              </m:d>
            </m:e>
            <m:sup>
              <m:r>
                <m:t>0.75</m:t>
              </m:r>
            </m:sup>
          </m:sSup>
          <m:r>
            <m:rPr>
              <m:sty m:val="p"/>
            </m:rPr>
            <m:t>×</m:t>
          </m:r>
          <m:r>
            <m:t>W</m:t>
          </m:r>
          <m:sSup>
            <m:e>
              <m:r>
                <m:t>G</m:t>
              </m:r>
            </m:e>
            <m:sup>
              <m:r>
                <m:t>1.097</m:t>
              </m:r>
            </m:sup>
          </m:sSup>
        </m:oMath>
      </m:oMathPara>
    </w:p>
    <w:p>
      <w:pPr>
        <w:pStyle w:val="FirstParagraph"/>
      </w:pPr>
      <w:r>
        <w:t xml:space="preserve">where</w:t>
      </w:r>
      <w:r>
        <w:t xml:space="preserve"> </w:t>
      </w:r>
      <m:oMath>
        <m:r>
          <m:t>W</m:t>
        </m:r>
        <m:r>
          <m:t>G</m:t>
        </m:r>
      </m:oMath>
      <w:r>
        <w:t xml:space="preserve"> </w:t>
      </w:r>
      <w:r>
        <w:t xml:space="preserve">is the mean daily weight gain (kg head</w:t>
      </w:r>
      <m:oMath>
        <m:sSup>
          <m:e>
            <m:r>
              <m:t>​</m:t>
            </m:r>
          </m:e>
          <m:sup>
            <m:r>
              <m:rPr>
                <m:sty m:val="p"/>
              </m:rPr>
              <m:t>−</m:t>
            </m:r>
            <m:r>
              <m:t>1</m:t>
            </m:r>
          </m:sup>
        </m:sSup>
      </m:oMath>
      <w:r>
        <w:t xml:space="preserve"> </w:t>
      </w:r>
      <w:r>
        <w:t xml:space="preserve">day</w:t>
      </w:r>
      <m:oMath>
        <m:sSup>
          <m:e>
            <m:r>
              <m:t>​</m:t>
            </m:r>
          </m:e>
          <m:sup>
            <m:r>
              <m:rPr>
                <m:sty m:val="p"/>
              </m:rPr>
              <m:t>−</m:t>
            </m:r>
            <m:r>
              <m:t>1</m:t>
            </m:r>
          </m:sup>
        </m:sSup>
      </m:oMath>
      <w:r>
        <w:t xml:space="preserve">),</w:t>
      </w:r>
      <w:r>
        <w:t xml:space="preserve"> </w:t>
      </w:r>
      <m:oMath>
        <m:r>
          <m:t>M</m:t>
        </m:r>
        <m:r>
          <m:t>W</m:t>
        </m:r>
      </m:oMath>
      <w:r>
        <w:t xml:space="preserve"> </w:t>
      </w:r>
      <w:r>
        <w:t xml:space="preserve">is the mature body weight (kg), and</w:t>
      </w:r>
      <w:r>
        <w:t xml:space="preserve"> </w:t>
      </w:r>
      <m:oMath>
        <m:r>
          <m:t>C</m:t>
        </m:r>
      </m:oMath>
      <w:r>
        <w:t xml:space="preserve"> </w:t>
      </w:r>
      <w:r>
        <w:t xml:space="preserve">is a sex/physiological condition coefficient (0.8 for females, 1.0 for castrates, 1.2 for bulls).</w:t>
      </w:r>
      <w:r>
        <w:t xml:space="preserve"> </w:t>
      </w:r>
      <m:oMath>
        <m:r>
          <m:t>N</m:t>
        </m:r>
        <m:sSub>
          <m:e>
            <m:r>
              <m:t>E</m:t>
            </m:r>
          </m:e>
          <m:sub>
            <m:r>
              <m:t>g</m:t>
            </m:r>
          </m:sub>
        </m:sSub>
        <m:r>
          <m:rPr>
            <m:sty m:val="p"/>
          </m:rPr>
          <m:t>=</m:t>
        </m:r>
        <m:r>
          <m:t>0</m:t>
        </m:r>
      </m:oMath>
      <w:r>
        <w:t xml:space="preserve"> </w:t>
      </w:r>
      <w:r>
        <w:t xml:space="preserve">when</w:t>
      </w:r>
      <w:r>
        <w:t xml:space="preserve"> </w:t>
      </w:r>
      <m:oMath>
        <m:r>
          <m:t>W</m:t>
        </m:r>
        <m:r>
          <m:t>G</m:t>
        </m:r>
        <m:r>
          <m:rPr>
            <m:sty m:val="p"/>
          </m:rPr>
          <m:t>≤</m:t>
        </m:r>
        <m:r>
          <m:t>0</m:t>
        </m:r>
      </m:oMath>
      <w:r>
        <w:t xml:space="preserve">.</w:t>
      </w:r>
    </w:p>
    <w:bookmarkEnd w:id="16"/>
    <w:bookmarkStart w:id="17" w:name="net-energy-for-lactation"/>
    <w:p>
      <w:pPr>
        <w:pStyle w:val="Heading2"/>
      </w:pPr>
      <w:r>
        <w:t xml:space="preserve">Net Energy for Lactation</w:t>
      </w:r>
    </w:p>
    <w:p>
      <w:pPr>
        <w:pStyle w:val="FirstParagraph"/>
      </w:pPr>
      <w:r>
        <w:t xml:space="preserve">The daily net energy for milk production (</w:t>
      </w:r>
      <m:oMath>
        <m:r>
          <m:t>N</m:t>
        </m:r>
        <m:sSub>
          <m:e>
            <m:r>
              <m:t>E</m:t>
            </m:r>
          </m:e>
          <m:sub>
            <m:r>
              <m:t>l</m:t>
            </m:r>
          </m:sub>
        </m:sSub>
      </m:oMath>
      <w:r>
        <w:t xml:space="preserve">, MJ head</w:t>
      </w:r>
      <m:oMath>
        <m:sSup>
          <m:e>
            <m:r>
              <m:t>​</m:t>
            </m:r>
          </m:e>
          <m:sup>
            <m:r>
              <m:rPr>
                <m:sty m:val="p"/>
              </m:rPr>
              <m:t>−</m:t>
            </m:r>
            <m:r>
              <m:t>1</m:t>
            </m:r>
          </m:sup>
        </m:sSup>
      </m:oMath>
      <w:r>
        <w:t xml:space="preserve"> </w:t>
      </w:r>
      <w:r>
        <w:t xml:space="preserve">day</w:t>
      </w:r>
      <m:oMath>
        <m:sSup>
          <m:e>
            <m:r>
              <m:t>​</m:t>
            </m:r>
          </m:e>
          <m:sup>
            <m:r>
              <m:rPr>
                <m:sty m:val="p"/>
              </m:rPr>
              <m:t>−</m:t>
            </m:r>
            <m:r>
              <m:t>1</m:t>
            </m:r>
          </m:sup>
        </m:sSup>
      </m:oMath>
      <w:r>
        <w:t xml:space="preserve">) is given by IPCC Eq. 10.8:</w:t>
      </w:r>
    </w:p>
    <w:p>
      <w:pPr>
        <w:pStyle w:val="BodyText"/>
      </w:pPr>
      <m:oMathPara>
        <m:oMathParaPr>
          <m:jc m:val="center"/>
        </m:oMathParaPr>
        <m:oMath>
          <m:r>
            <m:t>N</m:t>
          </m:r>
          <m:sSub>
            <m:e>
              <m:r>
                <m:t>E</m:t>
              </m:r>
            </m:e>
            <m:sub>
              <m:r>
                <m:t>l</m:t>
              </m:r>
            </m:sub>
          </m:sSub>
          <m:r>
            <m:rPr>
              <m:sty m:val="p"/>
            </m:rPr>
            <m:t>=</m:t>
          </m:r>
          <m:r>
            <m:rPr>
              <m:nor/>
              <m:sty m:val="p"/>
            </m:rPr>
            <m:t>Milk</m:t>
          </m:r>
          <m:r>
            <m:rPr>
              <m:sty m:val="p"/>
            </m:rPr>
            <m:t>×</m:t>
          </m:r>
          <m:r>
            <m:rPr>
              <m:sty m:val="p"/>
            </m:rPr>
            <m:t>(</m:t>
          </m:r>
          <m:r>
            <m:t>1.47</m:t>
          </m:r>
          <m:r>
            <m:rPr>
              <m:sty m:val="p"/>
            </m:rPr>
            <m:t>+</m:t>
          </m:r>
          <m:r>
            <m:t>0.40</m:t>
          </m:r>
          <m:r>
            <m:rPr>
              <m:sty m:val="p"/>
            </m:rPr>
            <m:t>×</m:t>
          </m:r>
          <m:r>
            <m:rPr>
              <m:nor/>
              <m:sty m:val="p"/>
            </m:rPr>
            <m:t>MilkFat</m:t>
          </m:r>
          <m:r>
            <m:rPr>
              <m:sty m:val="p"/>
            </m:rPr>
            <m:t>)</m:t>
          </m:r>
        </m:oMath>
      </m:oMathPara>
    </w:p>
    <w:p>
      <w:pPr>
        <w:pStyle w:val="FirstParagraph"/>
      </w:pPr>
      <w:r>
        <w:t xml:space="preserve">where Milk is the daily milk yield (kg head</w:t>
      </w:r>
      <m:oMath>
        <m:sSup>
          <m:e>
            <m:r>
              <m:t>​</m:t>
            </m:r>
          </m:e>
          <m:sup>
            <m:r>
              <m:rPr>
                <m:sty m:val="p"/>
              </m:rPr>
              <m:t>−</m:t>
            </m:r>
            <m:r>
              <m:t>1</m:t>
            </m:r>
          </m:sup>
        </m:sSup>
      </m:oMath>
      <w:r>
        <w:t xml:space="preserve"> </w:t>
      </w:r>
      <w:r>
        <w:t xml:space="preserve">day</w:t>
      </w:r>
      <m:oMath>
        <m:sSup>
          <m:e>
            <m:r>
              <m:t>​</m:t>
            </m:r>
          </m:e>
          <m:sup>
            <m:r>
              <m:rPr>
                <m:sty m:val="p"/>
              </m:rPr>
              <m:t>−</m:t>
            </m:r>
            <m:r>
              <m:t>1</m:t>
            </m:r>
          </m:sup>
        </m:sSup>
      </m:oMath>
      <w:r>
        <w:t xml:space="preserve">) and MilkFat is the fat content (%). For non-lactating sub-categories, set Milk = 0.</w:t>
      </w:r>
    </w:p>
    <w:bookmarkEnd w:id="17"/>
    <w:bookmarkStart w:id="18" w:name="net-energy-for-work"/>
    <w:p>
      <w:pPr>
        <w:pStyle w:val="Heading2"/>
      </w:pPr>
      <w:r>
        <w:t xml:space="preserve">Net Energy for Work</w:t>
      </w:r>
    </w:p>
    <w:p>
      <w:pPr>
        <w:pStyle w:val="FirstParagraph"/>
      </w:pPr>
      <w:r>
        <w:t xml:space="preserve">The net energy for work (</w:t>
      </w:r>
      <m:oMath>
        <m:r>
          <m:t>N</m:t>
        </m:r>
        <m:sSub>
          <m:e>
            <m:r>
              <m:t>E</m:t>
            </m:r>
          </m:e>
          <m:sub>
            <m:r>
              <m:t>w</m:t>
            </m:r>
          </m:sub>
        </m:sSub>
      </m:oMath>
      <w:r>
        <w:t xml:space="preserve">, MJ head</w:t>
      </w:r>
      <m:oMath>
        <m:sSup>
          <m:e>
            <m:r>
              <m:t>​</m:t>
            </m:r>
          </m:e>
          <m:sup>
            <m:r>
              <m:rPr>
                <m:sty m:val="p"/>
              </m:rPr>
              <m:t>−</m:t>
            </m:r>
            <m:r>
              <m:t>1</m:t>
            </m:r>
          </m:sup>
        </m:sSup>
      </m:oMath>
      <w:r>
        <w:t xml:space="preserve"> </w:t>
      </w:r>
      <w:r>
        <w:t xml:space="preserve">day</w:t>
      </w:r>
      <m:oMath>
        <m:sSup>
          <m:e>
            <m:r>
              <m:t>​</m:t>
            </m:r>
          </m:e>
          <m:sup>
            <m:r>
              <m:rPr>
                <m:sty m:val="p"/>
              </m:rPr>
              <m:t>−</m:t>
            </m:r>
            <m:r>
              <m:t>1</m:t>
            </m:r>
          </m:sup>
        </m:sSup>
      </m:oMath>
      <w:r>
        <w:t xml:space="preserve">) is given by IPCC Eq. 10.11 (used when cattle perform physical work, e.g. traction or load-carrying):</w:t>
      </w:r>
    </w:p>
    <w:p>
      <w:pPr>
        <w:pStyle w:val="BodyText"/>
      </w:pPr>
      <m:oMathPara>
        <m:oMathParaPr>
          <m:jc m:val="center"/>
        </m:oMathParaPr>
        <m:oMath>
          <m:r>
            <m:t>N</m:t>
          </m:r>
          <m:sSub>
            <m:e>
              <m:r>
                <m:t>E</m:t>
              </m:r>
            </m:e>
            <m:sub>
              <m:r>
                <m:t>w</m:t>
              </m:r>
            </m:sub>
          </m:sSub>
          <m:r>
            <m:rPr>
              <m:sty m:val="p"/>
            </m:rPr>
            <m:t>=</m:t>
          </m:r>
          <m:r>
            <m:t>0.10</m:t>
          </m:r>
          <m:r>
            <m:rPr>
              <m:sty m:val="p"/>
            </m:rPr>
            <m:t>×</m:t>
          </m:r>
          <m:r>
            <m:t>N</m:t>
          </m:r>
          <m:sSub>
            <m:e>
              <m:r>
                <m:t>E</m:t>
              </m:r>
            </m:e>
            <m:sub>
              <m:r>
                <m:t>m</m:t>
              </m:r>
            </m:sub>
          </m:sSub>
          <m:r>
            <m:rPr>
              <m:sty m:val="p"/>
            </m:rPr>
            <m:t>×</m:t>
          </m:r>
          <m:r>
            <m:rPr>
              <m:nor/>
              <m:sty m:val="p"/>
            </m:rPr>
            <m:t>WorkHours</m:t>
          </m:r>
        </m:oMath>
      </m:oMathPara>
    </w:p>
    <w:p>
      <w:pPr>
        <w:pStyle w:val="FirstParagraph"/>
      </w:pPr>
      <w:r>
        <w:t xml:space="preserve">where WorkHours is the mean number of hours of work per day. Set to 0 when animals do not perform work.</w:t>
      </w:r>
    </w:p>
    <w:bookmarkEnd w:id="18"/>
    <w:bookmarkStart w:id="19" w:name="net-energy-for-pregnancy"/>
    <w:p>
      <w:pPr>
        <w:pStyle w:val="Heading2"/>
      </w:pPr>
      <w:r>
        <w:t xml:space="preserve">Net Energy for Pregnancy</w:t>
      </w:r>
    </w:p>
    <w:p>
      <w:pPr>
        <w:pStyle w:val="FirstParagraph"/>
      </w:pPr>
      <w:r>
        <w:t xml:space="preserve">The net energy allocated to fetal growth during pregnancy (</w:t>
      </w:r>
      <m:oMath>
        <m:r>
          <m:t>N</m:t>
        </m:r>
        <m:sSub>
          <m:e>
            <m:r>
              <m:t>E</m:t>
            </m:r>
          </m:e>
          <m:sub>
            <m:r>
              <m:t>p</m:t>
            </m:r>
          </m:sub>
        </m:sSub>
      </m:oMath>
      <w:r>
        <w:t xml:space="preserve">, MJ head</w:t>
      </w:r>
      <m:oMath>
        <m:sSup>
          <m:e>
            <m:r>
              <m:t>​</m:t>
            </m:r>
          </m:e>
          <m:sup>
            <m:r>
              <m:rPr>
                <m:sty m:val="p"/>
              </m:rPr>
              <m:t>−</m:t>
            </m:r>
            <m:r>
              <m:t>1</m:t>
            </m:r>
          </m:sup>
        </m:sSup>
      </m:oMath>
      <w:r>
        <w:t xml:space="preserve"> </w:t>
      </w:r>
      <w:r>
        <w:t xml:space="preserve">day</w:t>
      </w:r>
      <m:oMath>
        <m:sSup>
          <m:e>
            <m:r>
              <m:t>​</m:t>
            </m:r>
          </m:e>
          <m:sup>
            <m:r>
              <m:rPr>
                <m:sty m:val="p"/>
              </m:rPr>
              <m:t>−</m:t>
            </m:r>
            <m:r>
              <m:t>1</m:t>
            </m:r>
          </m:sup>
        </m:sSup>
      </m:oMath>
      <w:r>
        <w:t xml:space="preserve">) is given by IPCC Eq. 10.13:</w:t>
      </w:r>
    </w:p>
    <w:p>
      <w:pPr>
        <w:pStyle w:val="BodyText"/>
      </w:pPr>
      <m:oMathPara>
        <m:oMathParaPr>
          <m:jc m:val="center"/>
        </m:oMathParaPr>
        <m:oMath>
          <m:r>
            <m:t>N</m:t>
          </m:r>
          <m:sSub>
            <m:e>
              <m:r>
                <m:t>E</m:t>
              </m:r>
            </m:e>
            <m:sub>
              <m:r>
                <m:t>p</m:t>
              </m:r>
            </m:sub>
          </m:sSub>
          <m:r>
            <m:rPr>
              <m:sty m:val="p"/>
            </m:rPr>
            <m:t>=</m:t>
          </m:r>
          <m:sSub>
            <m:e>
              <m:r>
                <m:t>C</m:t>
              </m:r>
            </m:e>
            <m:sub>
              <m:r>
                <m:t>p</m:t>
              </m:r>
            </m:sub>
          </m:sSub>
          <m:r>
            <m:rPr>
              <m:sty m:val="p"/>
            </m:rPr>
            <m:t>×</m:t>
          </m:r>
          <m:r>
            <m:t>N</m:t>
          </m:r>
          <m:sSub>
            <m:e>
              <m:r>
                <m:t>E</m:t>
              </m:r>
            </m:e>
            <m:sub>
              <m:r>
                <m:t>m</m:t>
              </m:r>
            </m:sub>
          </m:sSub>
        </m:oMath>
      </m:oMathPara>
    </w:p>
    <w:p>
      <w:pPr>
        <w:pStyle w:val="FirstParagraph"/>
      </w:pPr>
      <w:r>
        <w:t xml:space="preserve">where</w:t>
      </w:r>
      <w:r>
        <w:t xml:space="preserve"> </w:t>
      </w:r>
      <m:oMath>
        <m:sSub>
          <m:e>
            <m:r>
              <m:t>C</m:t>
            </m:r>
          </m:e>
          <m:sub>
            <m:r>
              <m:t>p</m:t>
            </m:r>
          </m:sub>
        </m:sSub>
      </m:oMath>
      <w:r>
        <w:t xml:space="preserve"> </w:t>
      </w:r>
      <w:r>
        <w:t xml:space="preserve">is a coefficient for the energy cost of pregnancy (0.10 for cattle). The parameter</w:t>
      </w:r>
      <w:r>
        <w:t xml:space="preserve"> </w:t>
      </w:r>
      <w:r>
        <w:rPr>
          <w:rStyle w:val="VerbatimChar"/>
        </w:rPr>
        <w:t xml:space="preserve">pct_pregnant</w:t>
      </w:r>
      <w:r>
        <w:t xml:space="preserve"> </w:t>
      </w:r>
      <w:r>
        <w:t xml:space="preserve">can pro-rate</w:t>
      </w:r>
      <w:r>
        <w:t xml:space="preserve"> </w:t>
      </w:r>
      <m:oMath>
        <m:sSub>
          <m:e>
            <m:r>
              <m:t>C</m:t>
            </m:r>
          </m:e>
          <m:sub>
            <m:r>
              <m:t>p</m:t>
            </m:r>
          </m:sub>
        </m:sSub>
      </m:oMath>
      <w:r>
        <w:t xml:space="preserve"> </w:t>
      </w:r>
      <w:r>
        <w:t xml:space="preserve">when not all females in a sub-category are pregnant in the same year (</w:t>
      </w:r>
      <m:oMath>
        <m:r>
          <m:t>0</m:t>
        </m:r>
        <m:r>
          <m:rPr>
            <m:sty m:val="p"/>
          </m:rPr>
          <m:t>≤</m:t>
        </m:r>
        <m:r>
          <m:rPr>
            <m:nor/>
            <m:sty m:val="p"/>
          </m:rPr>
          <m:t>pct_pregnant</m:t>
        </m:r>
        <m:r>
          <m:rPr>
            <m:sty m:val="p"/>
          </m:rPr>
          <m:t>≤</m:t>
        </m:r>
        <m:r>
          <m:t>1</m:t>
        </m:r>
      </m:oMath>
      <w:r>
        <w:t xml:space="preserve">). Includes pregnant heifers that have not yet calved. The earlier name</w:t>
      </w:r>
      <w:r>
        <w:t xml:space="preserve"> </w:t>
      </w:r>
      <w:r>
        <w:rPr>
          <w:rStyle w:val="VerbatimChar"/>
        </w:rPr>
        <w:t xml:space="preserve">pct_calving</w:t>
      </w:r>
      <w:r>
        <w:t xml:space="preserve"> </w:t>
      </w:r>
      <w:r>
        <w:t xml:space="preserve">is accepted as an alias on upload.</w:t>
      </w:r>
    </w:p>
    <w:bookmarkEnd w:id="19"/>
    <w:bookmarkStart w:id="20" w:name="energy-ratios-rem-and-reg"/>
    <w:p>
      <w:pPr>
        <w:pStyle w:val="Heading2"/>
      </w:pPr>
      <w:r>
        <w:t xml:space="preserve">Energy Ratios: REM and REG</w:t>
      </w:r>
    </w:p>
    <w:p>
      <w:pPr>
        <w:pStyle w:val="FirstParagraph"/>
      </w:pPr>
      <w:r>
        <w:t xml:space="preserve">The ratio of net energy for maintenance to digestible energy consumed (</w:t>
      </w:r>
      <m:oMath>
        <m:r>
          <m:t>R</m:t>
        </m:r>
        <m:r>
          <m:t>E</m:t>
        </m:r>
        <m:r>
          <m:t>M</m:t>
        </m:r>
      </m:oMath>
      <w:r>
        <w:t xml:space="preserve">) is given by IPCC Eq. 10.14:</w:t>
      </w:r>
    </w:p>
    <w:p>
      <w:pPr>
        <w:pStyle w:val="BodyText"/>
      </w:pPr>
      <m:oMathPara>
        <m:oMathParaPr>
          <m:jc m:val="center"/>
        </m:oMathParaPr>
        <m:oMath>
          <m:r>
            <m:t>R</m:t>
          </m:r>
          <m:r>
            <m:t>E</m:t>
          </m:r>
          <m:r>
            <m:t>M</m:t>
          </m:r>
          <m:r>
            <m:rPr>
              <m:sty m:val="p"/>
            </m:rPr>
            <m:t>=</m:t>
          </m:r>
          <m:r>
            <m:t>1.123</m:t>
          </m:r>
          <m:r>
            <m:rPr>
              <m:sty m:val="p"/>
            </m:rPr>
            <m:t>−</m:t>
          </m:r>
          <m:r>
            <m:rPr>
              <m:sty m:val="p"/>
            </m:rPr>
            <m:t>(</m:t>
          </m:r>
          <m:r>
            <m:t>4.092</m:t>
          </m:r>
          <m:r>
            <m:rPr>
              <m:sty m:val="p"/>
            </m:rPr>
            <m:t>×</m:t>
          </m:r>
          <m:sSup>
            <m:e>
              <m:r>
                <m:t>10</m:t>
              </m:r>
            </m:e>
            <m:sup>
              <m:r>
                <m:rPr>
                  <m:sty m:val="p"/>
                </m:rPr>
                <m:t>−</m:t>
              </m:r>
              <m:r>
                <m:t>3</m:t>
              </m:r>
            </m:sup>
          </m:sSup>
          <m:r>
            <m:rPr>
              <m:sty m:val="p"/>
            </m:rPr>
            <m:t>×</m:t>
          </m:r>
          <m:r>
            <m:t>D</m:t>
          </m:r>
          <m:r>
            <m:t>E</m:t>
          </m:r>
          <m:r>
            <m:rPr>
              <m:sty m:val="p"/>
            </m:rPr>
            <m:t>)</m:t>
          </m:r>
          <m:r>
            <m:rPr>
              <m:sty m:val="p"/>
            </m:rPr>
            <m:t>+</m:t>
          </m:r>
          <m:r>
            <m:rPr>
              <m:sty m:val="p"/>
            </m:rPr>
            <m:t>(</m:t>
          </m:r>
          <m:r>
            <m:t>1.126</m:t>
          </m:r>
          <m:r>
            <m:rPr>
              <m:sty m:val="p"/>
            </m:rPr>
            <m:t>×</m:t>
          </m:r>
          <m:sSup>
            <m:e>
              <m:r>
                <m:t>10</m:t>
              </m:r>
            </m:e>
            <m:sup>
              <m:r>
                <m:rPr>
                  <m:sty m:val="p"/>
                </m:rPr>
                <m:t>−</m:t>
              </m:r>
              <m:r>
                <m:t>5</m:t>
              </m:r>
            </m:sup>
          </m:sSup>
          <m:r>
            <m:rPr>
              <m:sty m:val="p"/>
            </m:rPr>
            <m:t>×</m:t>
          </m:r>
          <m:r>
            <m:t>D</m:t>
          </m:r>
          <m:sSup>
            <m:e>
              <m:r>
                <m:t>E</m:t>
              </m:r>
            </m:e>
            <m:sup>
              <m:r>
                <m:t>2</m:t>
              </m:r>
            </m:sup>
          </m:sSup>
          <m:r>
            <m:rPr>
              <m:sty m:val="p"/>
            </m:rPr>
            <m:t>)</m:t>
          </m:r>
          <m:r>
            <m:rPr>
              <m:sty m:val="p"/>
            </m:rPr>
            <m:t>−</m:t>
          </m:r>
          <m:f>
            <m:fPr>
              <m:type m:val="bar"/>
            </m:fPr>
            <m:num>
              <m:r>
                <m:t>25.4</m:t>
              </m:r>
            </m:num>
            <m:den>
              <m:r>
                <m:t>D</m:t>
              </m:r>
              <m:r>
                <m:t>E</m:t>
              </m:r>
            </m:den>
          </m:f>
        </m:oMath>
      </m:oMathPara>
    </w:p>
    <w:p>
      <w:pPr>
        <w:pStyle w:val="FirstParagraph"/>
      </w:pPr>
      <w:r>
        <w:t xml:space="preserve">The ratio of net energy for growth to digestible energy consumed (</w:t>
      </w:r>
      <m:oMath>
        <m:r>
          <m:t>R</m:t>
        </m:r>
        <m:r>
          <m:t>E</m:t>
        </m:r>
        <m:r>
          <m:t>G</m:t>
        </m:r>
      </m:oMath>
      <w:r>
        <w:t xml:space="preserve">) is given by IPCC Eq. 10.15:</w:t>
      </w:r>
    </w:p>
    <w:p>
      <w:pPr>
        <w:pStyle w:val="BodyText"/>
      </w:pPr>
      <m:oMathPara>
        <m:oMathParaPr>
          <m:jc m:val="center"/>
        </m:oMathParaPr>
        <m:oMath>
          <m:r>
            <m:t>R</m:t>
          </m:r>
          <m:r>
            <m:t>E</m:t>
          </m:r>
          <m:r>
            <m:t>G</m:t>
          </m:r>
          <m:r>
            <m:rPr>
              <m:sty m:val="p"/>
            </m:rPr>
            <m:t>=</m:t>
          </m:r>
          <m:r>
            <m:t>1.164</m:t>
          </m:r>
          <m:r>
            <m:rPr>
              <m:sty m:val="p"/>
            </m:rPr>
            <m:t>−</m:t>
          </m:r>
          <m:r>
            <m:rPr>
              <m:sty m:val="p"/>
            </m:rPr>
            <m:t>(</m:t>
          </m:r>
          <m:r>
            <m:t>5.160</m:t>
          </m:r>
          <m:r>
            <m:rPr>
              <m:sty m:val="p"/>
            </m:rPr>
            <m:t>×</m:t>
          </m:r>
          <m:sSup>
            <m:e>
              <m:r>
                <m:t>10</m:t>
              </m:r>
            </m:e>
            <m:sup>
              <m:r>
                <m:rPr>
                  <m:sty m:val="p"/>
                </m:rPr>
                <m:t>−</m:t>
              </m:r>
              <m:r>
                <m:t>3</m:t>
              </m:r>
            </m:sup>
          </m:sSup>
          <m:r>
            <m:rPr>
              <m:sty m:val="p"/>
            </m:rPr>
            <m:t>×</m:t>
          </m:r>
          <m:r>
            <m:t>D</m:t>
          </m:r>
          <m:r>
            <m:t>E</m:t>
          </m:r>
          <m:r>
            <m:rPr>
              <m:sty m:val="p"/>
            </m:rPr>
            <m:t>)</m:t>
          </m:r>
          <m:r>
            <m:rPr>
              <m:sty m:val="p"/>
            </m:rPr>
            <m:t>+</m:t>
          </m:r>
          <m:r>
            <m:rPr>
              <m:sty m:val="p"/>
            </m:rPr>
            <m:t>(</m:t>
          </m:r>
          <m:r>
            <m:t>1.308</m:t>
          </m:r>
          <m:r>
            <m:rPr>
              <m:sty m:val="p"/>
            </m:rPr>
            <m:t>×</m:t>
          </m:r>
          <m:sSup>
            <m:e>
              <m:r>
                <m:t>10</m:t>
              </m:r>
            </m:e>
            <m:sup>
              <m:r>
                <m:rPr>
                  <m:sty m:val="p"/>
                </m:rPr>
                <m:t>−</m:t>
              </m:r>
              <m:r>
                <m:t>5</m:t>
              </m:r>
            </m:sup>
          </m:sSup>
          <m:r>
            <m:rPr>
              <m:sty m:val="p"/>
            </m:rPr>
            <m:t>×</m:t>
          </m:r>
          <m:r>
            <m:t>D</m:t>
          </m:r>
          <m:sSup>
            <m:e>
              <m:r>
                <m:t>E</m:t>
              </m:r>
            </m:e>
            <m:sup>
              <m:r>
                <m:t>2</m:t>
              </m:r>
            </m:sup>
          </m:sSup>
          <m:r>
            <m:rPr>
              <m:sty m:val="p"/>
            </m:rPr>
            <m:t>)</m:t>
          </m:r>
          <m:r>
            <m:rPr>
              <m:sty m:val="p"/>
            </m:rPr>
            <m:t>−</m:t>
          </m:r>
          <m:f>
            <m:fPr>
              <m:type m:val="bar"/>
            </m:fPr>
            <m:num>
              <m:r>
                <m:t>37.4</m:t>
              </m:r>
            </m:num>
            <m:den>
              <m:r>
                <m:t>D</m:t>
              </m:r>
              <m:r>
                <m:t>E</m:t>
              </m:r>
            </m:den>
          </m:f>
        </m:oMath>
      </m:oMathPara>
    </w:p>
    <w:p>
      <w:pPr>
        <w:pStyle w:val="FirstParagraph"/>
      </w:pPr>
      <w:r>
        <w:t xml:space="preserve">where</w:t>
      </w:r>
      <w:r>
        <w:t xml:space="preserve"> </w:t>
      </w:r>
      <m:oMath>
        <m:r>
          <m:t>D</m:t>
        </m:r>
        <m:r>
          <m:t>E</m:t>
        </m:r>
      </m:oMath>
      <w:r>
        <w:t xml:space="preserve"> </w:t>
      </w:r>
      <w:r>
        <w:t xml:space="preserve">is the digestible energy expressed as a percentage of gross energy. Both equations are empirical fits derived from ruminant data and are only valid over the digestibility range observed for ruminant diets. The 2019 Refinement (Vol.4 Ch.10, §10.2) documents that range as</w:t>
      </w:r>
      <w:r>
        <w:t xml:space="preserve"> </w:t>
      </w:r>
      <w:r>
        <w:rPr>
          <w:b/>
          <w:bCs/>
        </w:rPr>
        <w:t xml:space="preserve">45–85%</w:t>
      </w:r>
      <w:r>
        <w:t xml:space="preserve"> </w:t>
      </w:r>
      <w:r>
        <w:t xml:space="preserve">(45–55% for crop by-products and rangelands; 55–80% for managed pasture and forage-based diets; 72–85% for grain-based feedlot diets). Outside this range the fits extrapolate poorly:</w:t>
      </w:r>
      <w:r>
        <w:t xml:space="preserve"> </w:t>
      </w:r>
      <m:oMath>
        <m:r>
          <m:t>R</m:t>
        </m:r>
        <m:r>
          <m:t>E</m:t>
        </m:r>
        <m:r>
          <m:t>G</m:t>
        </m:r>
      </m:oMath>
      <w:r>
        <w:t xml:space="preserve"> </w:t>
      </w:r>
      <w:r>
        <w:t xml:space="preserve">passes through zero near</w:t>
      </w:r>
      <w:r>
        <w:t xml:space="preserve"> </w:t>
      </w:r>
      <m:oMath>
        <m:r>
          <m:t>D</m:t>
        </m:r>
        <m:r>
          <m:t>E</m:t>
        </m:r>
        <m:r>
          <m:rPr>
            <m:sty m:val="p"/>
          </m:rPr>
          <m:t>≈</m:t>
        </m:r>
        <m:r>
          <m:t>37.6</m:t>
        </m:r>
        <m:r>
          <m:rPr>
            <m:sty m:val="p"/>
          </m:rPr>
          <m:t>%</m:t>
        </m:r>
      </m:oMath>
      <w:r>
        <w:t xml:space="preserve">, and below that the</w:t>
      </w:r>
      <w:r>
        <w:t xml:space="preserve"> </w:t>
      </w:r>
      <m:oMath>
        <m:r>
          <m:rPr>
            <m:sty m:val="p"/>
          </m:rPr>
          <m:t>−</m:t>
        </m:r>
        <m:r>
          <m:t>37.4</m:t>
        </m:r>
        <m:r>
          <m:rPr>
            <m:sty m:val="p"/>
          </m:rPr>
          <m:t>/</m:t>
        </m:r>
        <m:r>
          <m:t>D</m:t>
        </m:r>
        <m:r>
          <m:t>E</m:t>
        </m:r>
      </m:oMath>
      <w:r>
        <w:t xml:space="preserve"> </w:t>
      </w:r>
      <w:r>
        <w:t xml:space="preserve">term dominates and drives</w:t>
      </w:r>
      <w:r>
        <w:t xml:space="preserve"> </w:t>
      </w:r>
      <m:oMath>
        <m:r>
          <m:t>R</m:t>
        </m:r>
        <m:r>
          <m:t>E</m:t>
        </m:r>
        <m:r>
          <m:t>G</m:t>
        </m:r>
      </m:oMath>
      <w:r>
        <w:t xml:space="preserve"> </w:t>
      </w:r>
      <w:r>
        <w:t xml:space="preserve">negative. Because the gross-energy equation (below) divides by</w:t>
      </w:r>
      <w:r>
        <w:t xml:space="preserve"> </w:t>
      </w:r>
      <m:oMath>
        <m:r>
          <m:t>R</m:t>
        </m:r>
        <m:r>
          <m:t>E</m:t>
        </m:r>
        <m:r>
          <m:t>M</m:t>
        </m:r>
      </m:oMath>
      <w:r>
        <w:t xml:space="preserve"> </w:t>
      </w:r>
      <w:r>
        <w:t xml:space="preserve">and</w:t>
      </w:r>
      <w:r>
        <w:t xml:space="preserve"> </w:t>
      </w:r>
      <m:oMath>
        <m:r>
          <m:t>R</m:t>
        </m:r>
        <m:r>
          <m:t>E</m:t>
        </m:r>
        <m:r>
          <m:t>G</m:t>
        </m:r>
      </m:oMath>
      <w:r>
        <w:t xml:space="preserve">, an unconstrained low-</w:t>
      </w:r>
      <m:oMath>
        <m:r>
          <m:t>D</m:t>
        </m:r>
        <m:r>
          <m:t>E</m:t>
        </m:r>
      </m:oMath>
      <w:r>
        <w:t xml:space="preserve"> </w:t>
      </w:r>
      <w:r>
        <w:t xml:space="preserve">draw makes gross energy, and hence emissions, diverge or even turn negative.</w:t>
      </w:r>
    </w:p>
    <w:p>
      <w:pPr>
        <w:pStyle w:val="BodyText"/>
      </w:pPr>
      <w:r>
        <w:t xml:space="preserve">To keep every Monte Carlo iteration inside the equations’ valid domain, sampled</w:t>
      </w:r>
      <w:r>
        <w:t xml:space="preserve"> </w:t>
      </w:r>
      <m:oMath>
        <m:r>
          <m:t>D</m:t>
        </m:r>
        <m:r>
          <m:t>E</m:t>
        </m:r>
      </m:oMath>
      <w:r>
        <w:t xml:space="preserve"> </w:t>
      </w:r>
      <w:r>
        <w:t xml:space="preserve">values are</w:t>
      </w:r>
      <w:r>
        <w:t xml:space="preserve"> </w:t>
      </w:r>
      <w:r>
        <w:rPr>
          <w:b/>
          <w:bCs/>
        </w:rPr>
        <w:t xml:space="preserve">clamped to</w:t>
      </w:r>
      <w:r>
        <w:rPr>
          <w:b/>
          <w:bCs/>
        </w:rPr>
        <w:t xml:space="preserve"> </w:t>
      </w:r>
      <m:oMath>
        <m:r>
          <m:rPr>
            <m:sty m:val="p"/>
          </m:rPr>
          <m:t>[</m:t>
        </m:r>
        <m:r>
          <m:t>45</m:t>
        </m:r>
        <m:r>
          <m:rPr>
            <m:sty m:val="p"/>
          </m:rPr>
          <m:t>,</m:t>
        </m:r>
        <m:r>
          <m:t>85</m:t>
        </m:r>
        <m:r>
          <m:rPr>
            <m:sty m:val="p"/>
          </m:rPr>
          <m:t>]</m:t>
        </m:r>
        <m:r>
          <m:rPr>
            <m:sty m:val="p"/>
          </m:rPr>
          <m:t>%</m:t>
        </m:r>
      </m:oMath>
      <w:r>
        <w:t xml:space="preserve"> </w:t>
      </w:r>
      <w:r>
        <w:t xml:space="preserve">at the sampling stage (</w:t>
      </w:r>
      <w:r>
        <w:rPr>
          <w:rStyle w:val="VerbatimChar"/>
        </w:rPr>
        <w:t xml:space="preserve">generate_mc_samples</w:t>
      </w:r>
      <w:r>
        <w:t xml:space="preserve">). This prevents non-physical iterations (the extreme positive and negative emission totals that would otherwise stretch the output histogram and pull the simulated mean above the 97.5</w:t>
      </w:r>
      <w:r>
        <w:t xml:space="preserve"> </w:t>
      </w:r>
      <w:r>
        <w:t xml:space="preserve">percentile) without materially shifting the central estimate, since the clamp only trims the small fraction of the</w:t>
      </w:r>
      <w:r>
        <w:t xml:space="preserve"> </w:t>
      </w:r>
      <m:oMath>
        <m:r>
          <m:t>D</m:t>
        </m:r>
        <m:r>
          <m:t>E</m:t>
        </m:r>
      </m:oMath>
      <w:r>
        <w:t xml:space="preserve"> </w:t>
      </w:r>
      <w:r>
        <w:t xml:space="preserve">distribution that falls outside the documented ruminant range. The earlier</w:t>
      </w:r>
      <w:r>
        <w:t xml:space="preserve"> </w:t>
      </w:r>
      <m:oMath>
        <m:r>
          <m:t>D</m:t>
        </m:r>
        <m:r>
          <m:t>E</m:t>
        </m:r>
        <m:r>
          <m:rPr>
            <m:sty m:val="p"/>
          </m:rPr>
          <m:t>&gt;</m:t>
        </m:r>
        <m:r>
          <m:t>0</m:t>
        </m:r>
      </m:oMath>
      <w:r>
        <w:t xml:space="preserve"> </w:t>
      </w:r>
      <w:r>
        <w:t xml:space="preserve">check is retained as defence-in-depth.</w:t>
      </w:r>
    </w:p>
    <w:bookmarkEnd w:id="20"/>
    <w:bookmarkStart w:id="21" w:name="gross-energy-intake"/>
    <w:p>
      <w:pPr>
        <w:pStyle w:val="Heading2"/>
      </w:pPr>
      <w:r>
        <w:t xml:space="preserve">Gross Energy Intake</w:t>
      </w:r>
    </w:p>
    <w:p>
      <w:pPr>
        <w:pStyle w:val="FirstParagraph"/>
      </w:pPr>
      <w:r>
        <w:t xml:space="preserve">The mean daily gross energy intake (</w:t>
      </w:r>
      <m:oMath>
        <m:r>
          <m:t>G</m:t>
        </m:r>
        <m:r>
          <m:t>E</m:t>
        </m:r>
      </m:oMath>
      <w:r>
        <w:t xml:space="preserve">, MJ head</w:t>
      </w:r>
      <m:oMath>
        <m:sSup>
          <m:e>
            <m:r>
              <m:t>​</m:t>
            </m:r>
          </m:e>
          <m:sup>
            <m:r>
              <m:rPr>
                <m:sty m:val="p"/>
              </m:rPr>
              <m:t>−</m:t>
            </m:r>
            <m:r>
              <m:t>1</m:t>
            </m:r>
          </m:sup>
        </m:sSup>
      </m:oMath>
      <w:r>
        <w:t xml:space="preserve"> </w:t>
      </w:r>
      <w:r>
        <w:t xml:space="preserve">day</w:t>
      </w:r>
      <m:oMath>
        <m:sSup>
          <m:e>
            <m:r>
              <m:t>​</m:t>
            </m:r>
          </m:e>
          <m:sup>
            <m:r>
              <m:rPr>
                <m:sty m:val="p"/>
              </m:rPr>
              <m:t>−</m:t>
            </m:r>
            <m:r>
              <m:t>1</m:t>
            </m:r>
          </m:sup>
        </m:sSup>
      </m:oMath>
      <w:r>
        <w:t xml:space="preserve">) is given by IPCC Eq. 10.16:</w:t>
      </w:r>
    </w:p>
    <w:p>
      <w:pPr>
        <w:pStyle w:val="BodyText"/>
      </w:pPr>
      <m:oMathPara>
        <m:oMathParaPr>
          <m:jc m:val="center"/>
        </m:oMathParaPr>
        <m:oMath>
          <m:r>
            <m:t>G</m:t>
          </m:r>
          <m:r>
            <m:t>E</m:t>
          </m:r>
          <m:r>
            <m:rPr>
              <m:sty m:val="p"/>
            </m:rPr>
            <m:t>=</m:t>
          </m:r>
          <m:f>
            <m:fPr>
              <m:type m:val="bar"/>
            </m:fPr>
            <m:num>
              <m:r>
                <m:rPr>
                  <m:sty m:val="p"/>
                </m:rPr>
                <m:t>(</m:t>
              </m:r>
              <m:r>
                <m:t>N</m:t>
              </m:r>
              <m:sSub>
                <m:e>
                  <m:r>
                    <m:t>E</m:t>
                  </m:r>
                </m:e>
                <m:sub>
                  <m:r>
                    <m:t>m</m:t>
                  </m:r>
                </m:sub>
              </m:sSub>
              <m:r>
                <m:rPr>
                  <m:sty m:val="p"/>
                </m:rPr>
                <m:t>+</m:t>
              </m:r>
              <m:r>
                <m:t>N</m:t>
              </m:r>
              <m:sSub>
                <m:e>
                  <m:r>
                    <m:t>E</m:t>
                  </m:r>
                </m:e>
                <m:sub>
                  <m:r>
                    <m:t>a</m:t>
                  </m:r>
                </m:sub>
              </m:sSub>
              <m:r>
                <m:rPr>
                  <m:sty m:val="p"/>
                </m:rPr>
                <m:t>+</m:t>
              </m:r>
              <m:r>
                <m:t>N</m:t>
              </m:r>
              <m:sSub>
                <m:e>
                  <m:r>
                    <m:t>E</m:t>
                  </m:r>
                </m:e>
                <m:sub>
                  <m:r>
                    <m:t>l</m:t>
                  </m:r>
                </m:sub>
              </m:sSub>
              <m:r>
                <m:rPr>
                  <m:sty m:val="p"/>
                </m:rPr>
                <m:t>+</m:t>
              </m:r>
              <m:r>
                <m:t>N</m:t>
              </m:r>
              <m:sSub>
                <m:e>
                  <m:r>
                    <m:t>E</m:t>
                  </m:r>
                </m:e>
                <m:sub>
                  <m:r>
                    <m:t>w</m:t>
                  </m:r>
                </m:sub>
              </m:sSub>
              <m:r>
                <m:rPr>
                  <m:sty m:val="p"/>
                </m:rPr>
                <m:t>+</m:t>
              </m:r>
              <m:r>
                <m:t>N</m:t>
              </m:r>
              <m:sSub>
                <m:e>
                  <m:r>
                    <m:t>E</m:t>
                  </m:r>
                </m:e>
                <m:sub>
                  <m:r>
                    <m:t>p</m:t>
                  </m:r>
                </m:sub>
              </m:sSub>
              <m:r>
                <m:rPr>
                  <m:sty m:val="p"/>
                </m:rPr>
                <m:t>)</m:t>
              </m:r>
              <m:r>
                <m:rPr>
                  <m:sty m:val="p"/>
                </m:rPr>
                <m:t>/</m:t>
              </m:r>
              <m:r>
                <m:t>R</m:t>
              </m:r>
              <m:r>
                <m:t>E</m:t>
              </m:r>
              <m:r>
                <m:t>M</m:t>
              </m:r>
              <m:r>
                <m:rPr>
                  <m:sty m:val="p"/>
                </m:rPr>
                <m:t>+</m:t>
              </m:r>
              <m:r>
                <m:t>N</m:t>
              </m:r>
              <m:sSub>
                <m:e>
                  <m:r>
                    <m:t>E</m:t>
                  </m:r>
                </m:e>
                <m:sub>
                  <m:r>
                    <m:t>g</m:t>
                  </m:r>
                </m:sub>
              </m:sSub>
              <m:r>
                <m:rPr>
                  <m:sty m:val="p"/>
                </m:rPr>
                <m:t>/</m:t>
              </m:r>
              <m:r>
                <m:t>R</m:t>
              </m:r>
              <m:r>
                <m:t>E</m:t>
              </m:r>
              <m:r>
                <m:t>G</m:t>
              </m:r>
            </m:num>
            <m:den>
              <m:r>
                <m:t>D</m:t>
              </m:r>
              <m:r>
                <m:t>E</m:t>
              </m:r>
              <m:r>
                <m:rPr>
                  <m:sty m:val="p"/>
                </m:rPr>
                <m:t>/</m:t>
              </m:r>
              <m:r>
                <m:t>100</m:t>
              </m:r>
            </m:den>
          </m:f>
        </m:oMath>
      </m:oMathPara>
    </w:p>
    <w:bookmarkEnd w:id="21"/>
    <w:bookmarkStart w:id="25" w:name="X98bcf26717a1b4c49eb0beece17eded9856c58f"/>
    <w:p>
      <w:pPr>
        <w:pStyle w:val="Heading2"/>
      </w:pPr>
      <w:r>
        <w:t xml:space="preserve">Two Routes to Gross Energy: Modelled and Measured</w:t>
      </w:r>
    </w:p>
    <w:p>
      <w:pPr>
        <w:pStyle w:val="FirstParagraph"/>
      </w:pPr>
      <w:r>
        <w:t xml:space="preserve">Equation 10.16 above infers intake from what the animal does. Its inputs are animal performance: body weight, growth, milk yield, pregnancy and activity. This is the route the tool takes by default, and the only route earlier versions offered.</w:t>
      </w:r>
    </w:p>
    <w:p>
      <w:pPr>
        <w:pStyle w:val="BodyText"/>
      </w:pPr>
      <w:r>
        <w:t xml:space="preserve">Many datasets work in the opposite direction. They measure feed intake and feed quality, and so already hold</w:t>
      </w:r>
      <w:r>
        <w:t xml:space="preserve"> </w:t>
      </w:r>
      <m:oMath>
        <m:r>
          <m:t>G</m:t>
        </m:r>
        <m:r>
          <m:t>E</m:t>
        </m:r>
      </m:oMath>
      <w:r>
        <w:t xml:space="preserve">, or hold dry matter intake (</w:t>
      </w:r>
      <m:oMath>
        <m:r>
          <m:t>D</m:t>
        </m:r>
        <m:r>
          <m:t>M</m:t>
        </m:r>
        <m:r>
          <m:t>I</m:t>
        </m:r>
      </m:oMath>
      <w:r>
        <w:t xml:space="preserve">) and can convert. Such datasets frequently carry no milk yield or weight gain at all, because nothing in their method required inferring intake. Measured intake is not a lesser input than modelled intake; where it exists it is generally the stronger evidence.</w:t>
      </w:r>
    </w:p>
    <w:p>
      <w:pPr>
        <w:pStyle w:val="BodyText"/>
      </w:pPr>
      <w:r>
        <w:t xml:space="preserve">The tool therefore accepts</w:t>
      </w:r>
      <w:r>
        <w:t xml:space="preserve"> </w:t>
      </w:r>
      <m:oMath>
        <m:r>
          <m:t>G</m:t>
        </m:r>
        <m:r>
          <m:t>E</m:t>
        </m:r>
      </m:oMath>
      <w:r>
        <w:t xml:space="preserve"> </w:t>
      </w:r>
      <w:r>
        <w:t xml:space="preserve">or</w:t>
      </w:r>
      <w:r>
        <w:t xml:space="preserve"> </w:t>
      </w:r>
      <m:oMath>
        <m:r>
          <m:t>D</m:t>
        </m:r>
        <m:r>
          <m:t>M</m:t>
        </m:r>
        <m:r>
          <m:t>I</m:t>
        </m:r>
      </m:oMath>
      <w:r>
        <w:t xml:space="preserve"> </w:t>
      </w:r>
      <w:r>
        <w:t xml:space="preserve">as optional inputs,</w:t>
      </w:r>
      <w:r>
        <w:t xml:space="preserve"> </w:t>
      </w:r>
      <w:r>
        <w:rPr>
          <w:b/>
          <w:bCs/>
        </w:rPr>
        <w:t xml:space="preserve">per sub-category</w:t>
      </w:r>
      <w:r>
        <w:t xml:space="preserve">:</w:t>
      </w:r>
    </w:p>
    <w:p>
      <w:pPr>
        <w:pStyle w:val="Compact"/>
        <w:numPr>
          <w:ilvl w:val="0"/>
          <w:numId w:val="1002"/>
        </w:numPr>
      </w:pPr>
      <w:r>
        <w:t xml:space="preserve">If a usable</w:t>
      </w:r>
      <w:r>
        <w:t xml:space="preserve"> </w:t>
      </w:r>
      <m:oMath>
        <m:r>
          <m:t>G</m:t>
        </m:r>
        <m:r>
          <m:t>E</m:t>
        </m:r>
      </m:oMath>
      <w:r>
        <w:t xml:space="preserve"> </w:t>
      </w:r>
      <w:r>
        <w:t xml:space="preserve">is supplied for a sub-category, it is used directly and Equations 10.3 to 10.16 are not evaluated for that sub-category.</w:t>
      </w:r>
    </w:p>
    <w:p>
      <w:pPr>
        <w:pStyle w:val="Compact"/>
        <w:numPr>
          <w:ilvl w:val="0"/>
          <w:numId w:val="1002"/>
        </w:numPr>
      </w:pPr>
      <w:r>
        <w:t xml:space="preserve">Otherwise, if a usable</w:t>
      </w:r>
      <w:r>
        <w:t xml:space="preserve"> </w:t>
      </w:r>
      <m:oMath>
        <m:r>
          <m:t>D</m:t>
        </m:r>
        <m:r>
          <m:t>M</m:t>
        </m:r>
        <m:r>
          <m:t>I</m:t>
        </m:r>
      </m:oMath>
      <w:r>
        <w:t xml:space="preserve"> </w:t>
      </w:r>
      <w:r>
        <w:t xml:space="preserve">is supplied,</w:t>
      </w:r>
      <w:r>
        <w:t xml:space="preserve"> </w:t>
      </w:r>
      <m:oMath>
        <m:r>
          <m:t>G</m:t>
        </m:r>
        <m:r>
          <m:t>E</m:t>
        </m:r>
        <m:r>
          <m:rPr>
            <m:sty m:val="p"/>
          </m:rPr>
          <m:t>=</m:t>
        </m:r>
        <m:r>
          <m:t>D</m:t>
        </m:r>
        <m:r>
          <m:t>M</m:t>
        </m:r>
        <m:r>
          <m:t>I</m:t>
        </m:r>
        <m:r>
          <m:rPr>
            <m:sty m:val="p"/>
          </m:rPr>
          <m:t>×</m:t>
        </m:r>
        <m:r>
          <m:t>18.45</m:t>
        </m:r>
      </m:oMath>
      <w:r>
        <w:t xml:space="preserve">.</w:t>
      </w:r>
    </w:p>
    <w:p>
      <w:pPr>
        <w:pStyle w:val="Compact"/>
        <w:numPr>
          <w:ilvl w:val="0"/>
          <w:numId w:val="1002"/>
        </w:numPr>
      </w:pPr>
      <w:r>
        <w:t xml:space="preserve">Otherwise</w:t>
      </w:r>
      <w:r>
        <w:t xml:space="preserve"> </w:t>
      </w:r>
      <m:oMath>
        <m:r>
          <m:t>G</m:t>
        </m:r>
        <m:r>
          <m:t>E</m:t>
        </m:r>
      </m:oMath>
      <w:r>
        <w:t xml:space="preserve"> </w:t>
      </w:r>
      <w:r>
        <w:t xml:space="preserve">is derived from Equation 10.16 exactly as above.</w:t>
      </w:r>
    </w:p>
    <w:p>
      <w:pPr>
        <w:pStyle w:val="FirstParagraph"/>
      </w:pPr>
      <w:r>
        <w:t xml:space="preserve">A value is</w:t>
      </w:r>
      <w:r>
        <w:t xml:space="preserve"> </w:t>
      </w:r>
      <w:r>
        <w:t xml:space="preserve">“usable”</w:t>
      </w:r>
      <w:r>
        <w:t xml:space="preserve"> </w:t>
      </w:r>
      <w:r>
        <w:t xml:space="preserve">only if it is present, finite and strictly positive. Blank, missing, zero and negative all mean</w:t>
      </w:r>
      <w:r>
        <w:t xml:space="preserve"> </w:t>
      </w:r>
      <w:r>
        <w:t xml:space="preserve">“not supplied”</w:t>
      </w:r>
      <w:r>
        <w:t xml:space="preserve">, so a zero intake is never mistaken for a measurement. Because the choice is made per sub-category, one inventory may mix measured and modelled groups, and an inventory that supplies neither is numerically unchanged from earlier versions of the tool.</w:t>
      </w:r>
    </w:p>
    <w:p>
      <w:pPr>
        <w:pStyle w:val="BodyText"/>
      </w:pPr>
      <m:oMath>
        <m:r>
          <m:t>G</m:t>
        </m:r>
        <m:r>
          <m:t>E</m:t>
        </m:r>
      </m:oMath>
      <w:r>
        <w:rPr>
          <w:b/>
          <w:bCs/>
        </w:rPr>
        <w:t xml:space="preserve"> </w:t>
      </w:r>
      <w:r>
        <w:rPr>
          <w:b/>
          <w:bCs/>
        </w:rPr>
        <w:t xml:space="preserve">takes precedence over</w:t>
      </w:r>
      <w:r>
        <w:rPr>
          <w:b/>
          <w:bCs/>
        </w:rPr>
        <w:t xml:space="preserve"> </w:t>
      </w:r>
      <m:oMath>
        <m:r>
          <m:t>D</m:t>
        </m:r>
        <m:r>
          <m:t>M</m:t>
        </m:r>
        <m:r>
          <m:t>I</m:t>
        </m:r>
      </m:oMath>
      <w:r>
        <w:rPr>
          <w:b/>
          <w:bCs/>
        </w:rPr>
        <w:t xml:space="preserve">.</w:t>
      </w:r>
      <w:r>
        <w:t xml:space="preserve"> </w:t>
      </w:r>
      <w:r>
        <w:t xml:space="preserve">A supplied</w:t>
      </w:r>
      <w:r>
        <w:t xml:space="preserve"> </w:t>
      </w:r>
      <m:oMath>
        <m:r>
          <m:t>G</m:t>
        </m:r>
        <m:r>
          <m:t>E</m:t>
        </m:r>
      </m:oMath>
      <w:r>
        <w:t xml:space="preserve"> </w:t>
      </w:r>
      <w:r>
        <w:t xml:space="preserve">carries the dataset’s own measured dietary energy density, whereas converting</w:t>
      </w:r>
      <w:r>
        <w:t xml:space="preserve"> </w:t>
      </w:r>
      <m:oMath>
        <m:r>
          <m:t>D</m:t>
        </m:r>
        <m:r>
          <m:t>M</m:t>
        </m:r>
        <m:r>
          <m:t>I</m:t>
        </m:r>
      </m:oMath>
      <w:r>
        <w:t xml:space="preserve"> </w:t>
      </w:r>
      <w:r>
        <w:t xml:space="preserve">imposes the IPCC figure of 18.45 MJ kg</w:t>
      </w:r>
      <m:oMath>
        <m:sSup>
          <m:e>
            <m:r>
              <m:t>​</m:t>
            </m:r>
          </m:e>
          <m:sup>
            <m:r>
              <m:rPr>
                <m:sty m:val="p"/>
              </m:rPr>
              <m:t>−</m:t>
            </m:r>
            <m:r>
              <m:t>1</m:t>
            </m:r>
          </m:sup>
        </m:sSup>
      </m:oMath>
      <w:r>
        <w:t xml:space="preserve"> </w:t>
      </w:r>
      <w:r>
        <w:t xml:space="preserve">dry matter. Where both are given, using</w:t>
      </w:r>
      <w:r>
        <w:t xml:space="preserve"> </w:t>
      </w:r>
      <m:oMath>
        <m:r>
          <m:t>G</m:t>
        </m:r>
        <m:r>
          <m:t>E</m:t>
        </m:r>
      </m:oMath>
      <w:r>
        <w:t xml:space="preserve"> </w:t>
      </w:r>
      <w:r>
        <w:t xml:space="preserve">preserves the user’s measurement.</w:t>
      </w:r>
    </w:p>
    <w:bookmarkStart w:id="22" w:name="what-a-measured-intake-does-not-replace"/>
    <w:p>
      <w:pPr>
        <w:pStyle w:val="Heading3"/>
      </w:pPr>
      <w:r>
        <w:t xml:space="preserve">What a measured intake does not replace</w:t>
      </w:r>
    </w:p>
    <w:p>
      <w:pPr>
        <w:pStyle w:val="FirstParagraph"/>
      </w:pPr>
      <w:r>
        <w:t xml:space="preserve">Supplying</w:t>
      </w:r>
      <w:r>
        <w:t xml:space="preserve"> </w:t>
      </w:r>
      <m:oMath>
        <m:r>
          <m:t>G</m:t>
        </m:r>
        <m:r>
          <m:t>E</m:t>
        </m:r>
      </m:oMath>
      <w:r>
        <w:t xml:space="preserve"> </w:t>
      </w:r>
      <w:r>
        <w:t xml:space="preserve">bypasses the energy balance only. Three groups of inputs remain necessary, and this is a frequent source of confusion:</w:t>
      </w:r>
    </w:p>
    <w:p>
      <w:pPr>
        <w:pStyle w:val="Compact"/>
        <w:numPr>
          <w:ilvl w:val="0"/>
          <w:numId w:val="1003"/>
        </w:numPr>
      </w:pPr>
      <w:r>
        <w:rPr>
          <w:b/>
          <w:bCs/>
        </w:rPr>
        <w:t xml:space="preserve">Digestible energy</w:t>
      </w:r>
      <w:r>
        <w:rPr>
          <w:b/>
          <w:bCs/>
        </w:rPr>
        <w:t xml:space="preserve"> </w:t>
      </w:r>
      <m:oMath>
        <m:r>
          <m:t>D</m:t>
        </m:r>
        <m:r>
          <m:t>E</m:t>
        </m:r>
      </m:oMath>
      <w:r>
        <w:t xml:space="preserve"> </w:t>
      </w:r>
      <w:r>
        <w:t xml:space="preserve">is still required. With</w:t>
      </w:r>
      <w:r>
        <w:t xml:space="preserve"> </w:t>
      </w:r>
      <m:oMath>
        <m:r>
          <m:t>G</m:t>
        </m:r>
        <m:r>
          <m:t>E</m:t>
        </m:r>
      </m:oMath>
      <w:r>
        <w:t xml:space="preserve"> </w:t>
      </w:r>
      <w:r>
        <w:t xml:space="preserve">supplied it no longer affects enteric methane, but Equation 10.24 still uses it to set the indigestible share of the feed that becomes volatile solids, and hence manure methane.</w:t>
      </w:r>
    </w:p>
    <w:p>
      <w:pPr>
        <w:pStyle w:val="Compact"/>
        <w:numPr>
          <w:ilvl w:val="0"/>
          <w:numId w:val="1003"/>
        </w:numPr>
      </w:pPr>
      <w:r>
        <w:rPr>
          <w:b/>
          <w:bCs/>
        </w:rPr>
        <w:t xml:space="preserve">Milk yield, milk protein content and weight gain</w:t>
      </w:r>
      <w:r>
        <w:t xml:space="preserve"> </w:t>
      </w:r>
      <w:r>
        <w:t xml:space="preserve">are still required. Equations 10.32 and 10.33 obtain nitrogen excretion by subtracting the nitrogen retained in milk and in liveweight gain from the nitrogen eaten. These inputs therefore continue to determine direct and indirect N</w:t>
      </w:r>
      <m:oMath>
        <m:sSub>
          <m:e>
            <m:r>
              <m:t>​</m:t>
            </m:r>
          </m:e>
          <m:sub>
            <m:r>
              <m:t>2</m:t>
            </m:r>
          </m:sub>
        </m:sSub>
      </m:oMath>
      <w:r>
        <w:t xml:space="preserve">O from both managed manure and pasture.</w:t>
      </w:r>
    </w:p>
    <w:p>
      <w:pPr>
        <w:pStyle w:val="Compact"/>
        <w:numPr>
          <w:ilvl w:val="0"/>
          <w:numId w:val="1003"/>
        </w:numPr>
      </w:pPr>
      <w:r>
        <w:rPr>
          <w:b/>
          <w:bCs/>
        </w:rPr>
        <w:t xml:space="preserve">Crude protein</w:t>
      </w:r>
      <w:r>
        <w:rPr>
          <w:b/>
          <w:bCs/>
        </w:rPr>
        <w:t xml:space="preserve"> </w:t>
      </w:r>
      <m:oMath>
        <m:r>
          <m:t>C</m:t>
        </m:r>
        <m:r>
          <m:t>P</m:t>
        </m:r>
      </m:oMath>
      <w:r>
        <w:t xml:space="preserve"> </w:t>
      </w:r>
      <w:r>
        <w:t xml:space="preserve">is still required, for the same nitrogen-intake term.</w:t>
      </w:r>
    </w:p>
    <w:bookmarkEnd w:id="22"/>
    <w:bookmarkStart w:id="23" w:name="a-residual-the-method-itself-carries"/>
    <w:p>
      <w:pPr>
        <w:pStyle w:val="Heading3"/>
      </w:pPr>
      <w:r>
        <w:t xml:space="preserve">A residual the method itself carries</w:t>
      </w:r>
    </w:p>
    <w:p>
      <w:pPr>
        <w:pStyle w:val="FirstParagraph"/>
      </w:pPr>
      <w:r>
        <w:t xml:space="preserve">Equations 10.24 and 10.32 divide by the IPCC constant of 18.45 MJ kg</w:t>
      </w:r>
      <m:oMath>
        <m:sSup>
          <m:e>
            <m:r>
              <m:t>​</m:t>
            </m:r>
          </m:e>
          <m:sup>
            <m:r>
              <m:rPr>
                <m:sty m:val="p"/>
              </m:rPr>
              <m:t>−</m:t>
            </m:r>
            <m:r>
              <m:t>1</m:t>
            </m:r>
          </m:sup>
        </m:sSup>
      </m:oMath>
      <w:r>
        <w:t xml:space="preserve"> </w:t>
      </w:r>
      <w:r>
        <w:t xml:space="preserve">dry matter regardless of the user’s own feed. A dataset whose measured energy density differs, for instance the 16.5 to 17.6 MJ kg</w:t>
      </w:r>
      <m:oMath>
        <m:sSup>
          <m:e>
            <m:r>
              <m:t>​</m:t>
            </m:r>
          </m:e>
          <m:sup>
            <m:r>
              <m:rPr>
                <m:sty m:val="p"/>
              </m:rPr>
              <m:t>−</m:t>
            </m:r>
            <m:r>
              <m:t>1</m:t>
            </m:r>
          </m:sup>
        </m:sSup>
      </m:oMath>
      <w:r>
        <w:t xml:space="preserve"> </w:t>
      </w:r>
      <w:r>
        <w:t xml:space="preserve">typical of tropical forage-based systems, will therefore see that constant applied in the volatile-solids and nitrogen-intake terms even while its own</w:t>
      </w:r>
      <w:r>
        <w:t xml:space="preserve"> </w:t>
      </w:r>
      <m:oMath>
        <m:r>
          <m:t>G</m:t>
        </m:r>
        <m:r>
          <m:t>E</m:t>
        </m:r>
      </m:oMath>
      <w:r>
        <w:t xml:space="preserve"> </w:t>
      </w:r>
      <w:r>
        <w:t xml:space="preserve">is used verbatim for enteric methane. This is a property of the IPCC equations, not a defect in the implementation, and it is documented here so it is not mistaken for one.</w:t>
      </w:r>
    </w:p>
    <w:bookmarkEnd w:id="23"/>
    <w:bookmarkStart w:id="24" w:name="reporting-which-route-was-used"/>
    <w:p>
      <w:pPr>
        <w:pStyle w:val="Heading3"/>
      </w:pPr>
      <w:r>
        <w:t xml:space="preserve">Reporting which route was used</w:t>
      </w:r>
    </w:p>
    <w:p>
      <w:pPr>
        <w:pStyle w:val="FirstParagraph"/>
      </w:pPr>
      <w:r>
        <w:t xml:space="preserve">Every run records, for each sub-category, whether gross energy was modelled or measured. The label appears in the results table in the application, in the run-settings sheet of the Excel export, and in the Word report. Where an inventory mixes routes, the split is stated explicitly rather than a single method being implied.</w:t>
      </w:r>
    </w:p>
    <w:bookmarkEnd w:id="24"/>
    <w:bookmarkEnd w:id="25"/>
    <w:bookmarkStart w:id="26" w:name="enteric-fermentation-emission-factor"/>
    <w:p>
      <w:pPr>
        <w:pStyle w:val="Heading2"/>
      </w:pPr>
      <w:r>
        <w:t xml:space="preserve">Enteric Fermentation Emission Factor</w:t>
      </w:r>
    </w:p>
    <w:p>
      <w:pPr>
        <w:pStyle w:val="FirstParagraph"/>
      </w:pPr>
      <w:r>
        <w:t xml:space="preserve">The per-head per-day methane emission factor for enteric fermentation (</w:t>
      </w:r>
      <m:oMath>
        <m:r>
          <m:t>E</m:t>
        </m:r>
        <m:sSub>
          <m:e>
            <m:r>
              <m:t>F</m:t>
            </m:r>
          </m:e>
          <m:sub>
            <m:r>
              <m:t>1</m:t>
            </m:r>
          </m:sub>
        </m:sSub>
      </m:oMath>
      <w:r>
        <w:t xml:space="preserve">, kg CH</w:t>
      </w:r>
      <m:oMath>
        <m:sSub>
          <m:e>
            <m:r>
              <m:t>​</m:t>
            </m:r>
          </m:e>
          <m:sub>
            <m:r>
              <m:t>4</m:t>
            </m:r>
          </m:sub>
        </m:sSub>
      </m:oMath>
      <w:r>
        <w:t xml:space="preserve"> </w:t>
      </w:r>
      <w:r>
        <w:t xml:space="preserve">head</w:t>
      </w:r>
      <m:oMath>
        <m:sSup>
          <m:e>
            <m:r>
              <m:t>​</m:t>
            </m:r>
          </m:e>
          <m:sup>
            <m:r>
              <m:rPr>
                <m:sty m:val="p"/>
              </m:rPr>
              <m:t>−</m:t>
            </m:r>
            <m:r>
              <m:t>1</m:t>
            </m:r>
          </m:sup>
        </m:sSup>
      </m:oMath>
      <w:r>
        <w:t xml:space="preserve"> </w:t>
      </w:r>
      <w:r>
        <w:t xml:space="preserve">day</w:t>
      </w:r>
      <m:oMath>
        <m:sSup>
          <m:e>
            <m:r>
              <m:t>​</m:t>
            </m:r>
          </m:e>
          <m:sup>
            <m:r>
              <m:rPr>
                <m:sty m:val="p"/>
              </m:rPr>
              <m:t>−</m:t>
            </m:r>
            <m:r>
              <m:t>1</m:t>
            </m:r>
          </m:sup>
        </m:sSup>
      </m:oMath>
      <w:r>
        <w:t xml:space="preserve">) is given by IPCC Eq. 10.21:</w:t>
      </w:r>
    </w:p>
    <w:p>
      <w:pPr>
        <w:pStyle w:val="BodyText"/>
      </w:pPr>
      <m:oMathPara>
        <m:oMathParaPr>
          <m:jc m:val="center"/>
        </m:oMathParaPr>
        <m:oMath>
          <m:r>
            <m:t>E</m:t>
          </m:r>
          <m:sSub>
            <m:e>
              <m:r>
                <m:t>F</m:t>
              </m:r>
            </m:e>
            <m:sub>
              <m:r>
                <m:t>1</m:t>
              </m:r>
            </m:sub>
          </m:sSub>
          <m:r>
            <m:rPr>
              <m:sty m:val="p"/>
            </m:rPr>
            <m:t>=</m:t>
          </m:r>
          <m:f>
            <m:fPr>
              <m:type m:val="bar"/>
            </m:fPr>
            <m:num>
              <m:r>
                <m:t>G</m:t>
              </m:r>
              <m:r>
                <m:t>E</m:t>
              </m:r>
              <m:r>
                <m:rPr>
                  <m:sty m:val="p"/>
                </m:rPr>
                <m:t>×</m:t>
              </m:r>
              <m:r>
                <m:rPr>
                  <m:sty m:val="p"/>
                </m:rPr>
                <m:t>(</m:t>
              </m:r>
              <m:sSub>
                <m:e>
                  <m:r>
                    <m:t>Y</m:t>
                  </m:r>
                </m:e>
                <m:sub>
                  <m:r>
                    <m:t>m</m:t>
                  </m:r>
                </m:sub>
              </m:sSub>
              <m:r>
                <m:rPr>
                  <m:sty m:val="p"/>
                </m:rPr>
                <m:t>/</m:t>
              </m:r>
              <m:r>
                <m:t>100</m:t>
              </m:r>
              <m:r>
                <m:rPr>
                  <m:sty m:val="p"/>
                </m:rPr>
                <m:t>)</m:t>
              </m:r>
            </m:num>
            <m:den>
              <m:r>
                <m:t>55.65</m:t>
              </m:r>
            </m:den>
          </m:f>
        </m:oMath>
      </m:oMathPara>
    </w:p>
    <w:p>
      <w:pPr>
        <w:pStyle w:val="FirstParagraph"/>
      </w:pPr>
      <w:r>
        <w:t xml:space="preserve">where</w:t>
      </w:r>
      <w:r>
        <w:t xml:space="preserve"> </w:t>
      </w:r>
      <m:oMath>
        <m:sSub>
          <m:e>
            <m:r>
              <m:t>Y</m:t>
            </m:r>
          </m:e>
          <m:sub>
            <m:r>
              <m:t>m</m:t>
            </m:r>
          </m:sub>
        </m:sSub>
      </m:oMath>
      <w:r>
        <w:t xml:space="preserve"> </w:t>
      </w:r>
      <w:r>
        <w:t xml:space="preserve">is the methane conversion factor expressed as a percentage of gross energy converted to methane (the</w:t>
      </w:r>
      <w:r>
        <w:t xml:space="preserve"> </w:t>
      </w:r>
      <m:oMath>
        <m:r>
          <m:rPr>
            <m:sty m:val="p"/>
          </m:rPr>
          <m:t>/</m:t>
        </m:r>
        <m:r>
          <m:t>100</m:t>
        </m:r>
      </m:oMath>
      <w:r>
        <w:t xml:space="preserve"> </w:t>
      </w:r>
      <w:r>
        <w:t xml:space="preserve">converts</w:t>
      </w:r>
      <w:r>
        <w:t xml:space="preserve"> </w:t>
      </w:r>
      <m:oMath>
        <m:sSub>
          <m:e>
            <m:r>
              <m:t>Y</m:t>
            </m:r>
          </m:e>
          <m:sub>
            <m:r>
              <m:t>m</m:t>
            </m:r>
          </m:sub>
        </m:sSub>
      </m:oMath>
      <w:r>
        <w:t xml:space="preserve"> </w:t>
      </w:r>
      <w:r>
        <w:t xml:space="preserve">to a fraction) and 55.65 MJ kg</w:t>
      </w:r>
      <m:oMath>
        <m:sSup>
          <m:e>
            <m:r>
              <m:t>​</m:t>
            </m:r>
          </m:e>
          <m:sup>
            <m:r>
              <m:rPr>
                <m:sty m:val="p"/>
              </m:rPr>
              <m:t>−</m:t>
            </m:r>
            <m:r>
              <m:t>1</m:t>
            </m:r>
          </m:sup>
        </m:sSup>
      </m:oMath>
      <w:r>
        <w:t xml:space="preserve"> </w:t>
      </w:r>
      <w:r>
        <w:t xml:space="preserve">is the energy content of methane. The annual per-sub-category enteric emission is:</w:t>
      </w:r>
    </w:p>
    <w:p>
      <w:pPr>
        <w:pStyle w:val="BodyText"/>
      </w:pPr>
      <m:oMathPara>
        <m:oMathParaPr>
          <m:jc m:val="center"/>
        </m:oMathParaPr>
        <m:oMath>
          <m:sSub>
            <m:e>
              <m:r>
                <m:t>E</m:t>
              </m:r>
            </m:e>
            <m:sub>
              <m:r>
                <m:rPr>
                  <m:nor/>
                  <m:sty m:val="p"/>
                </m:rPr>
                <m:t>enteric</m:t>
              </m:r>
            </m:sub>
          </m:sSub>
          <m:r>
            <m:rPr>
              <m:sty m:val="p"/>
            </m:rPr>
            <m:t>=</m:t>
          </m:r>
          <m:r>
            <m:t>E</m:t>
          </m:r>
          <m:sSub>
            <m:e>
              <m:r>
                <m:t>F</m:t>
              </m:r>
            </m:e>
            <m:sub>
              <m:r>
                <m:t>1</m:t>
              </m:r>
            </m:sub>
          </m:sSub>
          <m:r>
            <m:rPr>
              <m:sty m:val="p"/>
            </m:rPr>
            <m:t>×</m:t>
          </m:r>
          <m:r>
            <m:t>N</m:t>
          </m:r>
          <m:r>
            <m:rPr>
              <m:sty m:val="p"/>
            </m:rPr>
            <m:t>×</m:t>
          </m:r>
          <m:r>
            <m:t>365</m:t>
          </m:r>
          <m:r>
            <m:rPr>
              <m:sty m:val="p"/>
            </m:rPr>
            <m:t>/</m:t>
          </m:r>
          <m:r>
            <m:t>1000</m:t>
          </m:r>
          <m:r>
            <m:t> </m:t>
          </m:r>
          <m:sSub>
            <m:e>
              <m:r>
                <m:rPr>
                  <m:nor/>
                  <m:sty m:val="p"/>
                </m:rPr>
                <m:t>(tonnes CH</m:t>
              </m:r>
            </m:e>
            <m:sub>
              <m:r>
                <m:t>4</m:t>
              </m:r>
            </m:sub>
          </m:sSub>
          <m:sSup>
            <m:e>
              <m:r>
                <m:rPr>
                  <m:nor/>
                  <m:sty m:val="p"/>
                </m:rPr>
                <m:t> yr</m:t>
              </m:r>
            </m:e>
            <m:sup>
              <m:r>
                <m:rPr>
                  <m:sty m:val="p"/>
                </m:rPr>
                <m:t>−</m:t>
              </m:r>
              <m:r>
                <m:t>1</m:t>
              </m:r>
            </m:sup>
          </m:sSup>
          <m:r>
            <m:rPr>
              <m:nor/>
              <m:sty m:val="p"/>
            </m:rPr>
            <m:t>)</m:t>
          </m:r>
        </m:oMath>
      </m:oMathPara>
    </w:p>
    <w:bookmarkEnd w:id="26"/>
    <w:bookmarkStart w:id="27" w:name="nitrogen-excretion"/>
    <w:p>
      <w:pPr>
        <w:pStyle w:val="Heading2"/>
      </w:pPr>
      <w:r>
        <w:t xml:space="preserve">Nitrogen Excretion</w:t>
      </w:r>
    </w:p>
    <w:p>
      <w:pPr>
        <w:pStyle w:val="FirstParagraph"/>
      </w:pPr>
      <w:r>
        <w:t xml:space="preserve">The daily nitrogen excretion rate (</w:t>
      </w:r>
      <m:oMath>
        <m:sSub>
          <m:e>
            <m:r>
              <m:t>N</m:t>
            </m:r>
          </m:e>
          <m:sub>
            <m:r>
              <m:rPr>
                <m:nor/>
                <m:sty m:val="p"/>
              </m:rPr>
              <m:t>ex</m:t>
            </m:r>
          </m:sub>
        </m:sSub>
      </m:oMath>
      <w:r>
        <w:t xml:space="preserve">, kg N head</w:t>
      </w:r>
      <m:oMath>
        <m:sSup>
          <m:e>
            <m:r>
              <m:t>​</m:t>
            </m:r>
          </m:e>
          <m:sup>
            <m:r>
              <m:rPr>
                <m:sty m:val="p"/>
              </m:rPr>
              <m:t>−</m:t>
            </m:r>
            <m:r>
              <m:t>1</m:t>
            </m:r>
          </m:sup>
        </m:sSup>
      </m:oMath>
      <w:r>
        <w:t xml:space="preserve"> </w:t>
      </w:r>
      <w:r>
        <w:t xml:space="preserve">day</w:t>
      </w:r>
      <m:oMath>
        <m:sSup>
          <m:e>
            <m:r>
              <m:t>​</m:t>
            </m:r>
          </m:e>
          <m:sup>
            <m:r>
              <m:rPr>
                <m:sty m:val="p"/>
              </m:rPr>
              <m:t>−</m:t>
            </m:r>
            <m:r>
              <m:t>1</m:t>
            </m:r>
          </m:sup>
        </m:sSup>
      </m:oMath>
      <w:r>
        <w:t xml:space="preserve">) follows IPCC Eq. 10.31:</w:t>
      </w:r>
    </w:p>
    <w:p>
      <w:pPr>
        <w:pStyle w:val="BodyText"/>
      </w:pPr>
      <m:oMathPara>
        <m:oMathParaPr>
          <m:jc m:val="center"/>
        </m:oMathParaPr>
        <m:oMath>
          <m:sSub>
            <m:e>
              <m:r>
                <m:t>N</m:t>
              </m:r>
            </m:e>
            <m:sub>
              <m:r>
                <m:rPr>
                  <m:nor/>
                  <m:sty m:val="p"/>
                </m:rPr>
                <m:t>ex</m:t>
              </m:r>
            </m:sub>
          </m:sSub>
          <m:r>
            <m:rPr>
              <m:sty m:val="p"/>
            </m:rPr>
            <m:t>=</m:t>
          </m:r>
          <m:sSub>
            <m:e>
              <m:r>
                <m:t>N</m:t>
              </m:r>
            </m:e>
            <m:sub>
              <m:r>
                <m:rPr>
                  <m:nor/>
                  <m:sty m:val="p"/>
                </m:rPr>
                <m:t>intake</m:t>
              </m:r>
            </m:sub>
          </m:sSub>
          <m:r>
            <m:rPr>
              <m:sty m:val="p"/>
            </m:rPr>
            <m:t>−</m:t>
          </m:r>
          <m:sSub>
            <m:e>
              <m:r>
                <m:t>N</m:t>
              </m:r>
            </m:e>
            <m:sub>
              <m:r>
                <m:rPr>
                  <m:nor/>
                  <m:sty m:val="p"/>
                </m:rPr>
                <m:t>retained</m:t>
              </m:r>
            </m:sub>
          </m:sSub>
        </m:oMath>
      </m:oMathPara>
    </w:p>
    <w:p>
      <w:pPr>
        <w:pStyle w:val="FirstParagraph"/>
      </w:pPr>
      <w:r>
        <w:t xml:space="preserve">Nitrogen intake from feed is:</w:t>
      </w:r>
    </w:p>
    <w:p>
      <w:pPr>
        <w:pStyle w:val="BodyText"/>
      </w:pPr>
      <m:oMathPara>
        <m:oMathParaPr>
          <m:jc m:val="center"/>
        </m:oMathParaPr>
        <m:oMath>
          <m:sSub>
            <m:e>
              <m:r>
                <m:t>N</m:t>
              </m:r>
            </m:e>
            <m:sub>
              <m:r>
                <m:rPr>
                  <m:nor/>
                  <m:sty m:val="p"/>
                </m:rPr>
                <m:t>intake</m:t>
              </m:r>
            </m:sub>
          </m:sSub>
          <m:r>
            <m:rPr>
              <m:sty m:val="p"/>
            </m:rPr>
            <m:t>=</m:t>
          </m:r>
          <m:f>
            <m:fPr>
              <m:type m:val="bar"/>
            </m:fPr>
            <m:num>
              <m:r>
                <m:t>G</m:t>
              </m:r>
              <m:r>
                <m:t>E</m:t>
              </m:r>
            </m:num>
            <m:den>
              <m:r>
                <m:t>18.45</m:t>
              </m:r>
            </m:den>
          </m:f>
          <m:r>
            <m:rPr>
              <m:sty m:val="p"/>
            </m:rPr>
            <m:t>×</m:t>
          </m:r>
          <m:f>
            <m:fPr>
              <m:type m:val="bar"/>
            </m:fPr>
            <m:num>
              <m:r>
                <m:rPr>
                  <m:nor/>
                  <m:sty m:val="p"/>
                </m:rPr>
                <m:t>CP%</m:t>
              </m:r>
            </m:num>
            <m:den>
              <m:r>
                <m:t>6.25</m:t>
              </m:r>
              <m:r>
                <m:rPr>
                  <m:sty m:val="p"/>
                </m:rPr>
                <m:t>×</m:t>
              </m:r>
              <m:r>
                <m:t>100</m:t>
              </m:r>
            </m:den>
          </m:f>
        </m:oMath>
      </m:oMathPara>
    </w:p>
    <w:p>
      <w:pPr>
        <w:pStyle w:val="FirstParagraph"/>
      </w:pPr>
      <w:r>
        <w:t xml:space="preserve">where CP% is the crude-protein content of the diet (the template column is labelled</w:t>
      </w:r>
      <w:r>
        <w:t xml:space="preserve"> </w:t>
      </w:r>
      <w:r>
        <w:t xml:space="preserve">; the value supplied is the same percentage value used here).</w:t>
      </w:r>
    </w:p>
    <w:p>
      <w:pPr>
        <w:pStyle w:val="BodyText"/>
      </w:pPr>
      <w:r>
        <w:t xml:space="preserve">Nitrogen retained in body tissue and milk are calculated separately. For milk, the nitrogen content uses the</w:t>
      </w:r>
      <w:r>
        <w:t xml:space="preserve"> </w:t>
      </w:r>
      <w:r>
        <w:rPr>
          <w:b/>
          <w:bCs/>
        </w:rPr>
        <w:t xml:space="preserve">Jones factor for casein (6.38)</w:t>
      </w:r>
      <w:r>
        <w:t xml:space="preserve">: distinct from the generic protein factor (6.25) used for feed and body tissue. The 6.38 factor and the 6.25 factor both appear inside IPCC 2006 Vol.4 Ch.10 Eq. 10.33 (N retention rates for cattle); the same equation is retained, with updated form, in the 2019 Refinement (also numbered 10.33):</w:t>
      </w:r>
    </w:p>
    <w:p>
      <w:pPr>
        <w:pStyle w:val="BodyText"/>
      </w:pPr>
      <m:oMathPara>
        <m:oMathParaPr>
          <m:jc m:val="center"/>
        </m:oMathParaPr>
        <m:oMath>
          <m:sSub>
            <m:e>
              <m:r>
                <m:t>N</m:t>
              </m:r>
            </m:e>
            <m:sub>
              <m:r>
                <m:rPr>
                  <m:nor/>
                  <m:sty m:val="p"/>
                </m:rPr>
                <m:t>milk</m:t>
              </m:r>
            </m:sub>
          </m:sSub>
          <m:r>
            <m:rPr>
              <m:sty m:val="p"/>
            </m:rPr>
            <m:t>=</m:t>
          </m:r>
          <m:f>
            <m:fPr>
              <m:type m:val="bar"/>
            </m:fPr>
            <m:num>
              <m:r>
                <m:rPr>
                  <m:nor/>
                  <m:sty m:val="p"/>
                </m:rPr>
                <m:t>Milk</m:t>
              </m:r>
              <m:r>
                <m:rPr>
                  <m:sty m:val="p"/>
                </m:rPr>
                <m:t>×</m:t>
              </m:r>
              <m:r>
                <m:rPr>
                  <m:nor/>
                  <m:sty m:val="p"/>
                </m:rPr>
                <m:t>MilkProtein%</m:t>
              </m:r>
            </m:num>
            <m:den>
              <m:r>
                <m:t>6.38</m:t>
              </m:r>
              <m:r>
                <m:rPr>
                  <m:sty m:val="p"/>
                </m:rPr>
                <m:t>×</m:t>
              </m:r>
              <m:r>
                <m:t>100</m:t>
              </m:r>
            </m:den>
          </m:f>
        </m:oMath>
      </m:oMathPara>
    </w:p>
    <w:p>
      <w:pPr>
        <w:pStyle w:val="FirstParagraph"/>
      </w:pPr>
      <w:r>
        <w:t xml:space="preserve">For growing animals, IPCC Eq. 10.33 adds a body-tissue retention term:</w:t>
      </w:r>
    </w:p>
    <w:p>
      <w:pPr>
        <w:pStyle w:val="BodyText"/>
      </w:pPr>
      <m:oMathPara>
        <m:oMathParaPr>
          <m:jc m:val="center"/>
        </m:oMathParaPr>
        <m:oMath>
          <m:sSub>
            <m:e>
              <m:r>
                <m:t>N</m:t>
              </m:r>
            </m:e>
            <m:sub>
              <m:r>
                <m:rPr>
                  <m:nor/>
                  <m:sty m:val="p"/>
                </m:rPr>
                <m:t>growth</m:t>
              </m:r>
            </m:sub>
          </m:sSub>
          <m:r>
            <m:rPr>
              <m:sty m:val="p"/>
            </m:rPr>
            <m:t>=</m:t>
          </m:r>
          <m:f>
            <m:fPr>
              <m:type m:val="bar"/>
            </m:fPr>
            <m:num>
              <m:r>
                <m:t>W</m:t>
              </m:r>
              <m:r>
                <m:t>G</m:t>
              </m:r>
              <m:r>
                <m:rPr>
                  <m:sty m:val="p"/>
                </m:rPr>
                <m:t>×</m:t>
              </m:r>
              <m:r>
                <m:rPr>
                  <m:sty m:val="p"/>
                </m:rPr>
                <m:t>(</m:t>
              </m:r>
              <m:r>
                <m:t>268</m:t>
              </m:r>
              <m:r>
                <m:rPr>
                  <m:sty m:val="p"/>
                </m:rPr>
                <m:t>−</m:t>
              </m:r>
              <m:r>
                <m:t>7.03</m:t>
              </m:r>
              <m:r>
                <m:rPr>
                  <m:sty m:val="p"/>
                </m:rPr>
                <m:t>×</m:t>
              </m:r>
              <m:r>
                <m:t>N</m:t>
              </m:r>
              <m:sSub>
                <m:e>
                  <m:r>
                    <m:t>E</m:t>
                  </m:r>
                </m:e>
                <m:sub>
                  <m:r>
                    <m:t>g</m:t>
                  </m:r>
                </m:sub>
              </m:sSub>
              <m:r>
                <m:rPr>
                  <m:sty m:val="p"/>
                </m:rPr>
                <m:t>/</m:t>
              </m:r>
              <m:r>
                <m:t>W</m:t>
              </m:r>
              <m:r>
                <m:t>G</m:t>
              </m:r>
              <m:r>
                <m:rPr>
                  <m:sty m:val="p"/>
                </m:rPr>
                <m:t>)</m:t>
              </m:r>
            </m:num>
            <m:den>
              <m:r>
                <m:t>1000</m:t>
              </m:r>
              <m:r>
                <m:rPr>
                  <m:sty m:val="p"/>
                </m:rPr>
                <m:t>×</m:t>
              </m:r>
              <m:r>
                <m:t>6.25</m:t>
              </m:r>
            </m:den>
          </m:f>
        </m:oMath>
      </m:oMathPara>
    </w:p>
    <w:p>
      <w:pPr>
        <w:pStyle w:val="FirstParagraph"/>
      </w:pPr>
      <w:r>
        <w:t xml:space="preserve">so that</w:t>
      </w:r>
      <w:r>
        <w:t xml:space="preserve"> </w:t>
      </w:r>
      <m:oMath>
        <m:sSub>
          <m:e>
            <m:r>
              <m:t>N</m:t>
            </m:r>
          </m:e>
          <m:sub>
            <m:r>
              <m:rPr>
                <m:nor/>
                <m:sty m:val="p"/>
              </m:rPr>
              <m:t>retained</m:t>
            </m:r>
          </m:sub>
        </m:sSub>
        <m:r>
          <m:rPr>
            <m:sty m:val="p"/>
          </m:rPr>
          <m:t>=</m:t>
        </m:r>
        <m:sSub>
          <m:e>
            <m:r>
              <m:t>N</m:t>
            </m:r>
          </m:e>
          <m:sub>
            <m:r>
              <m:rPr>
                <m:nor/>
                <m:sty m:val="p"/>
              </m:rPr>
              <m:t>milk</m:t>
            </m:r>
          </m:sub>
        </m:sSub>
        <m:r>
          <m:rPr>
            <m:sty m:val="p"/>
          </m:rPr>
          <m:t>+</m:t>
        </m:r>
        <m:sSub>
          <m:e>
            <m:r>
              <m:t>N</m:t>
            </m:r>
          </m:e>
          <m:sub>
            <m:r>
              <m:rPr>
                <m:nor/>
                <m:sty m:val="p"/>
              </m:rPr>
              <m:t>growth</m:t>
            </m:r>
          </m:sub>
        </m:sSub>
      </m:oMath>
      <w:r>
        <w:t xml:space="preserve">. For non-growing sub-categories (</w:t>
      </w:r>
      <m:oMath>
        <m:r>
          <m:t>W</m:t>
        </m:r>
        <m:r>
          <m:t>G</m:t>
        </m:r>
        <m:r>
          <m:rPr>
            <m:sty m:val="p"/>
          </m:rPr>
          <m:t>≤</m:t>
        </m:r>
        <m:r>
          <m:t>0</m:t>
        </m:r>
      </m:oMath>
      <w:r>
        <w:t xml:space="preserve">) the growth term is set to zero.</w:t>
      </w:r>
    </w:p>
    <w:p>
      <w:pPr>
        <w:pStyle w:val="BodyText"/>
      </w:pPr>
      <w:r>
        <w:t xml:space="preserve">The annual nitrogen excreted per sub-category (</w:t>
      </w:r>
      <m:oMath>
        <m:sSub>
          <m:e>
            <m:r>
              <m:t>N</m:t>
            </m:r>
          </m:e>
          <m:sub>
            <m:r>
              <m:rPr>
                <m:nor/>
                <m:sty m:val="p"/>
              </m:rPr>
              <m:t>ex,annual</m:t>
            </m:r>
          </m:sub>
        </m:sSub>
      </m:oMath>
      <w:r>
        <w:t xml:space="preserve">, kg N yr</w:t>
      </w:r>
      <m:oMath>
        <m:sSup>
          <m:e>
            <m:r>
              <m:t>​</m:t>
            </m:r>
          </m:e>
          <m:sup>
            <m:r>
              <m:rPr>
                <m:sty m:val="p"/>
              </m:rPr>
              <m:t>−</m:t>
            </m:r>
            <m:r>
              <m:t>1</m:t>
            </m:r>
          </m:sup>
        </m:sSup>
      </m:oMath>
      <w:r>
        <w:t xml:space="preserve">) is:</w:t>
      </w:r>
    </w:p>
    <w:p>
      <w:pPr>
        <w:pStyle w:val="BodyText"/>
      </w:pPr>
      <m:oMathPara>
        <m:oMathParaPr>
          <m:jc m:val="center"/>
        </m:oMathParaPr>
        <m:oMath>
          <m:sSub>
            <m:e>
              <m:r>
                <m:t>N</m:t>
              </m:r>
            </m:e>
            <m:sub>
              <m:r>
                <m:rPr>
                  <m:nor/>
                  <m:sty m:val="p"/>
                </m:rPr>
                <m:t>ex,annual</m:t>
              </m:r>
            </m:sub>
          </m:sSub>
          <m:r>
            <m:rPr>
              <m:sty m:val="p"/>
            </m:rPr>
            <m:t>=</m:t>
          </m:r>
          <m:sSub>
            <m:e>
              <m:r>
                <m:t>N</m:t>
              </m:r>
            </m:e>
            <m:sub>
              <m:r>
                <m:rPr>
                  <m:nor/>
                  <m:sty m:val="p"/>
                </m:rPr>
                <m:t>ex</m:t>
              </m:r>
            </m:sub>
          </m:sSub>
          <m:r>
            <m:rPr>
              <m:sty m:val="p"/>
            </m:rPr>
            <m:t>×</m:t>
          </m:r>
          <m:r>
            <m:t>N</m:t>
          </m:r>
          <m:r>
            <m:rPr>
              <m:sty m:val="p"/>
            </m:rPr>
            <m:t>×</m:t>
          </m:r>
          <m:r>
            <m:t>365</m:t>
          </m:r>
        </m:oMath>
      </m:oMathPara>
    </w:p>
    <w:bookmarkEnd w:id="27"/>
    <w:bookmarkStart w:id="28" w:name="volatile-solids-and-manure-ch_4"/>
    <w:p>
      <w:pPr>
        <w:pStyle w:val="Heading2"/>
      </w:pPr>
      <w:r>
        <w:t xml:space="preserve">Volatile Solids and Manure CH</w:t>
      </w:r>
      <m:oMath>
        <m:sSub>
          <m:e>
            <m:r>
              <m:t>​</m:t>
            </m:r>
          </m:e>
          <m:sub>
            <m:r>
              <m:t>4</m:t>
            </m:r>
          </m:sub>
        </m:sSub>
      </m:oMath>
    </w:p>
    <w:p>
      <w:pPr>
        <w:pStyle w:val="FirstParagraph"/>
      </w:pPr>
      <w:r>
        <w:t xml:space="preserve">Total manure CH</w:t>
      </w:r>
      <m:oMath>
        <m:sSub>
          <m:e>
            <m:r>
              <m:t>​</m:t>
            </m:r>
          </m:e>
          <m:sub>
            <m:r>
              <m:t>4</m:t>
            </m:r>
          </m:sub>
        </m:sSub>
      </m:oMath>
      <w:r>
        <w:t xml:space="preserve"> </w:t>
      </w:r>
      <w:r>
        <w:t xml:space="preserve">emissions are given by IPCC 2006 Vol.4 Ch.10 Eq. 10.22 (the top-level emissions equation, EF</w:t>
      </w:r>
      <w:r>
        <w:t xml:space="preserve"> </w:t>
      </w:r>
      <m:oMath>
        <m:r>
          <m:rPr>
            <m:sty m:val="p"/>
          </m:rPr>
          <m:t>×</m:t>
        </m:r>
      </m:oMath>
      <w:r>
        <w:t xml:space="preserve"> </w:t>
      </w:r>
      <w:r>
        <w:t xml:space="preserve">population</w:t>
      </w:r>
      <w:r>
        <w:t xml:space="preserve"> </w:t>
      </w:r>
      <m:oMath>
        <m:r>
          <m:rPr>
            <m:sty m:val="p"/>
          </m:rPr>
          <m:t>×</m:t>
        </m:r>
      </m:oMath>
      <w:r>
        <w:t xml:space="preserve"> </w:t>
      </w:r>
      <w:r>
        <w:t xml:space="preserve">10</w:t>
      </w:r>
      <m:oMath>
        <m:sSup>
          <m:e>
            <m:r>
              <m:t>​</m:t>
            </m:r>
          </m:e>
          <m:sup>
            <m:r>
              <m:rPr>
                <m:sty m:val="p"/>
              </m:rPr>
              <m:t>−</m:t>
            </m:r>
            <m:r>
              <m:t>6</m:t>
            </m:r>
          </m:sup>
        </m:sSup>
      </m:oMath>
      <w:r>
        <w:t xml:space="preserve">). The per-head per-year emission factor is given by Eq. 10.23:</w:t>
      </w:r>
    </w:p>
    <w:p>
      <w:pPr>
        <w:pStyle w:val="BodyText"/>
      </w:pPr>
      <m:oMathPara>
        <m:oMathParaPr>
          <m:jc m:val="center"/>
        </m:oMathParaPr>
        <m:oMath>
          <m:r>
            <m:t>E</m:t>
          </m:r>
          <m:sSub>
            <m:e>
              <m:r>
                <m:t>F</m:t>
              </m:r>
            </m:e>
            <m:sub>
              <m:sSub>
                <m:e>
                  <m:r>
                    <m:rPr>
                      <m:nor/>
                      <m:sty m:val="p"/>
                    </m:rPr>
                    <m:t>mm,CH</m:t>
                  </m:r>
                </m:e>
                <m:sub>
                  <m:r>
                    <m:t>4</m:t>
                  </m:r>
                </m:sub>
              </m:sSub>
            </m:sub>
          </m:sSub>
          <m:r>
            <m:rPr>
              <m:sty m:val="p"/>
            </m:rPr>
            <m:t>=</m:t>
          </m:r>
          <m:r>
            <m:t>V</m:t>
          </m:r>
          <m:r>
            <m:t>S</m:t>
          </m:r>
          <m:r>
            <m:rPr>
              <m:sty m:val="p"/>
            </m:rPr>
            <m:t>×</m:t>
          </m:r>
          <m:r>
            <m:t>365</m:t>
          </m:r>
          <m:r>
            <m:rPr>
              <m:sty m:val="p"/>
            </m:rPr>
            <m:t>×</m:t>
          </m:r>
          <m:sSub>
            <m:e>
              <m:r>
                <m:t>B</m:t>
              </m:r>
            </m:e>
            <m:sub>
              <m:r>
                <m:t>o</m:t>
              </m:r>
            </m:sub>
          </m:sSub>
          <m:r>
            <m:rPr>
              <m:sty m:val="p"/>
            </m:rPr>
            <m:t>×</m:t>
          </m:r>
          <m:r>
            <m:t>0.67</m:t>
          </m:r>
          <m:r>
            <m:rPr>
              <m:sty m:val="p"/>
            </m:rPr>
            <m:t>×</m:t>
          </m:r>
          <m:nary>
            <m:naryPr>
              <m:chr m:val="∑"/>
              <m:limLoc m:val="undOvr"/>
              <m:subHide m:val="off"/>
              <m:supHide m:val="on"/>
            </m:naryPr>
            <m:sub>
              <m:r>
                <m:t>s</m:t>
              </m:r>
            </m:sub>
            <m:sup>
              <m:r>
                <m:t>​</m:t>
              </m:r>
            </m:sup>
            <m:e>
              <m:d>
                <m:dPr>
                  <m:begChr m:val="("/>
                  <m:sepChr m:val=""/>
                  <m:endChr m:val=")"/>
                  <m:grow/>
                </m:dPr>
                <m:e>
                  <m:r>
                    <m:t>M</m:t>
                  </m:r>
                  <m:sSub>
                    <m:e>
                      <m:r>
                        <m:t>S</m:t>
                      </m:r>
                    </m:e>
                    <m:sub>
                      <m:r>
                        <m:t>s</m:t>
                      </m:r>
                    </m:sub>
                  </m:sSub>
                  <m:r>
                    <m:rPr>
                      <m:sty m:val="p"/>
                    </m:rPr>
                    <m:t>×</m:t>
                  </m:r>
                  <m:r>
                    <m:t>M</m:t>
                  </m:r>
                  <m:r>
                    <m:t>C</m:t>
                  </m:r>
                  <m:sSub>
                    <m:e>
                      <m:r>
                        <m:t>F</m:t>
                      </m:r>
                    </m:e>
                    <m:sub>
                      <m:r>
                        <m:t>s</m:t>
                      </m:r>
                    </m:sub>
                  </m:sSub>
                </m:e>
              </m:d>
            </m:e>
          </m:nary>
          <m:r>
            <m:t> </m:t>
          </m:r>
          <m:r>
            <m:rPr>
              <m:nor/>
              <m:sty m:val="p"/>
            </m:rPr>
            <m:t>(Eq. 10.23)</m:t>
          </m:r>
        </m:oMath>
      </m:oMathPara>
    </w:p>
    <w:p>
      <w:pPr>
        <w:pStyle w:val="FirstParagraph"/>
      </w:pPr>
      <w:r>
        <w:t xml:space="preserve">The daily volatile-solid excretion rate</w:t>
      </w:r>
      <w:r>
        <w:t xml:space="preserve"> </w:t>
      </w:r>
      <m:oMath>
        <m:r>
          <m:t>V</m:t>
        </m:r>
        <m:r>
          <m:t>S</m:t>
        </m:r>
      </m:oMath>
      <w:r>
        <w:t xml:space="preserve"> </w:t>
      </w:r>
      <w:r>
        <w:t xml:space="preserve">(kg dry-matter head</w:t>
      </w:r>
      <m:oMath>
        <m:sSup>
          <m:e>
            <m:r>
              <m:t>​</m:t>
            </m:r>
          </m:e>
          <m:sup>
            <m:r>
              <m:rPr>
                <m:sty m:val="p"/>
              </m:rPr>
              <m:t>−</m:t>
            </m:r>
            <m:r>
              <m:t>1</m:t>
            </m:r>
          </m:sup>
        </m:sSup>
      </m:oMath>
      <w:r>
        <w:t xml:space="preserve"> </w:t>
      </w:r>
      <w:r>
        <w:t xml:space="preserve">day</w:t>
      </w:r>
      <m:oMath>
        <m:sSup>
          <m:e>
            <m:r>
              <m:t>​</m:t>
            </m:r>
          </m:e>
          <m:sup>
            <m:r>
              <m:rPr>
                <m:sty m:val="p"/>
              </m:rPr>
              <m:t>−</m:t>
            </m:r>
            <m:r>
              <m:t>1</m:t>
            </m:r>
          </m:sup>
        </m:sSup>
      </m:oMath>
      <w:r>
        <w:t xml:space="preserve">) that feeds Eq. 10.23 is given by IPCC Eq. 10.24:</w:t>
      </w:r>
    </w:p>
    <w:p>
      <w:pPr>
        <w:pStyle w:val="BodyText"/>
      </w:pPr>
      <m:oMathPara>
        <m:oMathParaPr>
          <m:jc m:val="center"/>
        </m:oMathParaPr>
        <m:oMath>
          <m:r>
            <m:t>V</m:t>
          </m:r>
          <m:r>
            <m:t>S</m:t>
          </m:r>
          <m:r>
            <m:rPr>
              <m:sty m:val="p"/>
            </m:rPr>
            <m:t>=</m:t>
          </m:r>
          <m:d>
            <m:dPr>
              <m:begChr m:val="["/>
              <m:sepChr m:val=""/>
              <m:endChr m:val="]"/>
              <m:grow/>
            </m:dPr>
            <m:e>
              <m:r>
                <m:t>G</m:t>
              </m:r>
              <m:r>
                <m:t>E</m:t>
              </m:r>
              <m:r>
                <m:rPr>
                  <m:sty m:val="p"/>
                </m:rPr>
                <m:t>×</m:t>
              </m:r>
              <m:r>
                <m:rPr>
                  <m:sty m:val="p"/>
                </m:rPr>
                <m:t>(</m:t>
              </m:r>
              <m:r>
                <m:t>1</m:t>
              </m:r>
              <m:r>
                <m:rPr>
                  <m:sty m:val="p"/>
                </m:rPr>
                <m:t>−</m:t>
              </m:r>
              <m:r>
                <m:t>D</m:t>
              </m:r>
              <m:r>
                <m:t>E</m:t>
              </m:r>
              <m:r>
                <m:rPr>
                  <m:sty m:val="p"/>
                </m:rPr>
                <m:t>/</m:t>
              </m:r>
              <m:r>
                <m:t>100</m:t>
              </m:r>
              <m:r>
                <m:rPr>
                  <m:sty m:val="p"/>
                </m:rPr>
                <m:t>)</m:t>
              </m:r>
              <m:r>
                <m:rPr>
                  <m:sty m:val="p"/>
                </m:rPr>
                <m:t>+</m:t>
              </m:r>
              <m:r>
                <m:rPr>
                  <m:sty m:val="p"/>
                </m:rPr>
                <m:t>(</m:t>
              </m:r>
              <m:r>
                <m:t>U</m:t>
              </m:r>
              <m:r>
                <m:t>E</m:t>
              </m:r>
              <m:r>
                <m:rPr>
                  <m:sty m:val="p"/>
                </m:rPr>
                <m:t>×</m:t>
              </m:r>
              <m:r>
                <m:t>G</m:t>
              </m:r>
              <m:r>
                <m:t>E</m:t>
              </m:r>
              <m:r>
                <m:rPr>
                  <m:sty m:val="p"/>
                </m:rPr>
                <m:t>)</m:t>
              </m:r>
            </m:e>
          </m:d>
          <m:r>
            <m:rPr>
              <m:sty m:val="p"/>
            </m:rPr>
            <m:t>×</m:t>
          </m:r>
          <m:d>
            <m:dPr>
              <m:begChr m:val="("/>
              <m:sepChr m:val=""/>
              <m:endChr m:val=")"/>
              <m:grow/>
            </m:dPr>
            <m:e>
              <m:f>
                <m:fPr>
                  <m:type m:val="bar"/>
                </m:fPr>
                <m:num>
                  <m:r>
                    <m:t>1</m:t>
                  </m:r>
                  <m:r>
                    <m:rPr>
                      <m:sty m:val="p"/>
                    </m:rPr>
                    <m:t>−</m:t>
                  </m:r>
                  <m:r>
                    <m:rPr>
                      <m:nor/>
                      <m:sty m:val="p"/>
                    </m:rPr>
                    <m:t>ASH</m:t>
                  </m:r>
                </m:num>
                <m:den>
                  <m:r>
                    <m:t>18.45</m:t>
                  </m:r>
                </m:den>
              </m:f>
            </m:e>
          </m:d>
          <m:r>
            <m:t> </m:t>
          </m:r>
          <m:r>
            <m:rPr>
              <m:nor/>
              <m:sty m:val="p"/>
            </m:rPr>
            <m:t>(Eq. 10.24)</m:t>
          </m:r>
        </m:oMath>
      </m:oMathPara>
    </w:p>
    <w:p>
      <w:pPr>
        <w:pStyle w:val="FirstParagraph"/>
      </w:pPr>
      <w:r>
        <w:t xml:space="preserve">where</w:t>
      </w:r>
      <w:r>
        <w:t xml:space="preserve"> </w:t>
      </w:r>
      <m:oMath>
        <m:r>
          <m:t>U</m:t>
        </m:r>
        <m:r>
          <m:t>E</m:t>
        </m:r>
      </m:oMath>
      <w:r>
        <w:t xml:space="preserve"> </w:t>
      </w:r>
      <w:r>
        <w:t xml:space="preserve">is the fraction of GE excreted as urinary energy (default 0.04 for cattle, IPCC Eq. 10.24 footnote) and ASH is the ash content of manure (default 0.08 for cattle).</w:t>
      </w:r>
    </w:p>
    <w:p>
      <w:pPr>
        <w:pStyle w:val="BodyText"/>
      </w:pPr>
      <w:r>
        <w:t xml:space="preserve">where</w:t>
      </w:r>
      <w:r>
        <w:t xml:space="preserve"> </w:t>
      </w:r>
      <m:oMath>
        <m:sSub>
          <m:e>
            <m:r>
              <m:t>B</m:t>
            </m:r>
          </m:e>
          <m:sub>
            <m:r>
              <m:t>o</m:t>
            </m:r>
          </m:sub>
        </m:sSub>
      </m:oMath>
      <w:r>
        <w:t xml:space="preserve"> </w:t>
      </w:r>
      <w:r>
        <w:t xml:space="preserve">is the maximum methane producing capacity (m</w:t>
      </w:r>
      <m:oMath>
        <m:sSup>
          <m:e>
            <m:r>
              <m:t>​</m:t>
            </m:r>
          </m:e>
          <m:sup>
            <m:r>
              <m:t>3</m:t>
            </m:r>
          </m:sup>
        </m:sSup>
      </m:oMath>
      <w:r>
        <w:t xml:space="preserve"> </w:t>
      </w:r>
      <w:r>
        <w:t xml:space="preserve">CH</w:t>
      </w:r>
      <m:oMath>
        <m:sSub>
          <m:e>
            <m:r>
              <m:t>​</m:t>
            </m:r>
          </m:e>
          <m:sub>
            <m:r>
              <m:t>4</m:t>
            </m:r>
          </m:sub>
        </m:sSub>
      </m:oMath>
      <w:r>
        <w:t xml:space="preserve"> </w:t>
      </w:r>
      <w:r>
        <w:t xml:space="preserve">kg</w:t>
      </w:r>
      <m:oMath>
        <m:sSup>
          <m:e>
            <m:r>
              <m:t>​</m:t>
            </m:r>
          </m:e>
          <m:sup>
            <m:r>
              <m:rPr>
                <m:sty m:val="p"/>
              </m:rPr>
              <m:t>−</m:t>
            </m:r>
            <m:r>
              <m:t>1</m:t>
            </m:r>
          </m:sup>
        </m:sSup>
      </m:oMath>
      <w:r>
        <w:t xml:space="preserve"> </w:t>
      </w:r>
      <w:r>
        <w:t xml:space="preserve">VS),</w:t>
      </w:r>
      <w:r>
        <w:t xml:space="preserve"> </w:t>
      </w:r>
      <m:oMath>
        <m:r>
          <m:t>0.67</m:t>
        </m:r>
      </m:oMath>
      <w:r>
        <w:t xml:space="preserve"> </w:t>
      </w:r>
      <w:r>
        <w:t xml:space="preserve">is the conversion factor from m</w:t>
      </w:r>
      <m:oMath>
        <m:sSup>
          <m:e>
            <m:r>
              <m:t>​</m:t>
            </m:r>
          </m:e>
          <m:sup>
            <m:r>
              <m:t>3</m:t>
            </m:r>
          </m:sup>
        </m:sSup>
      </m:oMath>
      <w:r>
        <w:t xml:space="preserve"> </w:t>
      </w:r>
      <w:r>
        <w:t xml:space="preserve">CH</w:t>
      </w:r>
      <m:oMath>
        <m:sSub>
          <m:e>
            <m:r>
              <m:t>​</m:t>
            </m:r>
          </m:e>
          <m:sub>
            <m:r>
              <m:t>4</m:t>
            </m:r>
          </m:sub>
        </m:sSub>
      </m:oMath>
      <w:r>
        <w:t xml:space="preserve"> </w:t>
      </w:r>
      <w:r>
        <w:t xml:space="preserve">to kg CH</w:t>
      </w:r>
      <m:oMath>
        <m:sSub>
          <m:e>
            <m:r>
              <m:t>​</m:t>
            </m:r>
          </m:e>
          <m:sub>
            <m:r>
              <m:t>4</m:t>
            </m:r>
          </m:sub>
        </m:sSub>
      </m:oMath>
      <w:r>
        <w:t xml:space="preserve"> </w:t>
      </w:r>
      <w:r>
        <w:t xml:space="preserve">(the density of methane at standard conditions, kg m</w:t>
      </w:r>
      <m:oMath>
        <m:sSup>
          <m:e>
            <m:r>
              <m:t>​</m:t>
            </m:r>
          </m:e>
          <m:sup>
            <m:r>
              <m:rPr>
                <m:sty m:val="p"/>
              </m:rPr>
              <m:t>−</m:t>
            </m:r>
            <m:r>
              <m:t>3</m:t>
            </m:r>
          </m:sup>
        </m:sSup>
      </m:oMath>
      <w:r>
        <w:t xml:space="preserve">),</w:t>
      </w:r>
      <w:r>
        <w:t xml:space="preserve"> </w:t>
      </w:r>
      <m:oMath>
        <m:r>
          <m:t>M</m:t>
        </m:r>
        <m:sSub>
          <m:e>
            <m:r>
              <m:t>S</m:t>
            </m:r>
          </m:e>
          <m:sub>
            <m:r>
              <m:t>s</m:t>
            </m:r>
          </m:sub>
        </m:sSub>
      </m:oMath>
      <w:r>
        <w:t xml:space="preserve"> </w:t>
      </w:r>
      <w:r>
        <w:t xml:space="preserve">is the fraction of manure managed in system</w:t>
      </w:r>
      <w:r>
        <w:t xml:space="preserve"> </w:t>
      </w:r>
      <m:oMath>
        <m:r>
          <m:t>s</m:t>
        </m:r>
      </m:oMath>
      <w:r>
        <w:t xml:space="preserve">, and</w:t>
      </w:r>
      <w:r>
        <w:t xml:space="preserve"> </w:t>
      </w:r>
      <m:oMath>
        <m:r>
          <m:t>M</m:t>
        </m:r>
        <m:r>
          <m:t>C</m:t>
        </m:r>
        <m:sSub>
          <m:e>
            <m:r>
              <m:t>F</m:t>
            </m:r>
          </m:e>
          <m:sub>
            <m:r>
              <m:t>s</m:t>
            </m:r>
          </m:sub>
        </m:sSub>
      </m:oMath>
      <w:r>
        <w:t xml:space="preserve"> </w:t>
      </w:r>
      <w:r>
        <w:t xml:space="preserve">is the methane conversion factor for system</w:t>
      </w:r>
      <w:r>
        <w:t xml:space="preserve"> </w:t>
      </w:r>
      <m:oMath>
        <m:r>
          <m:t>s</m:t>
        </m:r>
      </m:oMath>
      <w:r>
        <w:t xml:space="preserve"> </w:t>
      </w:r>
      <w:r>
        <w:t xml:space="preserve">(fraction of</w:t>
      </w:r>
      <w:r>
        <w:t xml:space="preserve"> </w:t>
      </w:r>
      <m:oMath>
        <m:sSub>
          <m:e>
            <m:r>
              <m:t>B</m:t>
            </m:r>
          </m:e>
          <m:sub>
            <m:r>
              <m:t>o</m:t>
            </m:r>
          </m:sub>
        </m:sSub>
      </m:oMath>
      <w:r>
        <w:t xml:space="preserve">). The 2019 Refinement Table 10.17 (Updated) provides MCF defaults across 11 manure management systems: eight inherited from the 2006 Guidelines plus four added in 2019 (anaerobic digester / biogas, aerobic treatment, solid storage – covered/compacted, and burned for fuel). Default</w:t>
      </w:r>
      <w:r>
        <w:t xml:space="preserve"> </w:t>
      </w:r>
      <m:oMath>
        <m:sSub>
          <m:e>
            <m:r>
              <m:t>B</m:t>
            </m:r>
          </m:e>
          <m:sub>
            <m:r>
              <m:t>o</m:t>
            </m:r>
          </m:sub>
        </m:sSub>
      </m:oMath>
      <w:r>
        <w:t xml:space="preserve"> </w:t>
      </w:r>
      <w:r>
        <w:t xml:space="preserve">values for cattle are given in Table 10.16a. Per-MMS uncertainty in</w:t>
      </w:r>
      <w:r>
        <w:t xml:space="preserve"> </w:t>
      </w:r>
      <m:oMath>
        <m:r>
          <m:t>M</m:t>
        </m:r>
        <m:r>
          <m:t>C</m:t>
        </m:r>
        <m:r>
          <m:t>F</m:t>
        </m:r>
      </m:oMath>
      <w:r>
        <w:t xml:space="preserve"> </w:t>
      </w:r>
      <w:r>
        <w:t xml:space="preserve">and in the manure fractions</w:t>
      </w:r>
      <w:r>
        <w:t xml:space="preserve"> </w:t>
      </w:r>
      <m:oMath>
        <m:r>
          <m:t>M</m:t>
        </m:r>
        <m:sSub>
          <m:e>
            <m:r>
              <m:t>S</m:t>
            </m:r>
          </m:e>
          <m:sub>
            <m:r>
              <m:t>s</m:t>
            </m:r>
          </m:sub>
        </m:sSub>
      </m:oMath>
      <w:r>
        <w:t xml:space="preserve"> </w:t>
      </w:r>
      <w:r>
        <w:t xml:space="preserve">is sampled independently, when the user supplies optional</w:t>
      </w:r>
      <w:r>
        <w:t xml:space="preserve"> </w:t>
      </w:r>
      <w:r>
        <w:rPr>
          <w:rStyle w:val="VerbatimChar"/>
        </w:rPr>
        <w:t xml:space="preserve">lower_fraction</w:t>
      </w:r>
      <w:r>
        <w:t xml:space="preserve"> </w:t>
      </w:r>
      <w:r>
        <w:t xml:space="preserve">/</w:t>
      </w:r>
      <w:r>
        <w:t xml:space="preserve"> </w:t>
      </w:r>
      <w:r>
        <w:rPr>
          <w:rStyle w:val="VerbatimChar"/>
        </w:rPr>
        <w:t xml:space="preserve">upper_fraction</w:t>
      </w:r>
      <w:r>
        <w:t xml:space="preserve"> </w:t>
      </w:r>
      <w:r>
        <w:t xml:space="preserve">/</w:t>
      </w:r>
      <w:r>
        <w:t xml:space="preserve"> </w:t>
      </w:r>
      <w:r>
        <w:rPr>
          <w:rStyle w:val="VerbatimChar"/>
        </w:rPr>
        <w:t xml:space="preserve">distribution_fraction</w:t>
      </w:r>
      <w:r>
        <w:t xml:space="preserve"> </w:t>
      </w:r>
      <w:r>
        <w:t xml:space="preserve">columns on the Manure_Management sheet, each Monte Carlo iteration’s</w:t>
      </w:r>
      <w:r>
        <w:t xml:space="preserve"> </w:t>
      </w:r>
      <m:oMath>
        <m:r>
          <m:t>M</m:t>
        </m:r>
        <m:sSub>
          <m:e>
            <m:r>
              <m:t>S</m:t>
            </m:r>
          </m:e>
          <m:sub>
            <m:r>
              <m:t>s</m:t>
            </m:r>
          </m:sub>
        </m:sSub>
      </m:oMath>
      <w:r>
        <w:t xml:space="preserve"> </w:t>
      </w:r>
      <w:r>
        <w:t xml:space="preserve">row is renormalised after sampling so the simplex constraint</w:t>
      </w:r>
      <w:r>
        <w:t xml:space="preserve"> </w:t>
      </w:r>
      <m:oMath>
        <m:nary>
          <m:naryPr>
            <m:chr m:val="∑"/>
            <m:limLoc m:val="undOvr"/>
            <m:subHide m:val="off"/>
            <m:supHide m:val="on"/>
          </m:naryPr>
          <m:sub>
            <m:r>
              <m:t>s</m:t>
            </m:r>
          </m:sub>
          <m:sup>
            <m:r>
              <m:t>​</m:t>
            </m:r>
          </m:sup>
          <m:e>
            <m:r>
              <m:t>M</m:t>
            </m:r>
          </m:e>
        </m:nary>
        <m:sSub>
          <m:e>
            <m:r>
              <m:t>S</m:t>
            </m:r>
          </m:e>
          <m:sub>
            <m:r>
              <m:t>s</m:t>
            </m:r>
          </m:sub>
        </m:sSub>
        <m:r>
          <m:rPr>
            <m:sty m:val="p"/>
          </m:rPr>
          <m:t>=</m:t>
        </m:r>
        <m:r>
          <m:t>1</m:t>
        </m:r>
      </m:oMath>
      <w:r>
        <w:t xml:space="preserve"> </w:t>
      </w:r>
      <w:r>
        <w:t xml:space="preserve">is preserved exactly.</w:t>
      </w:r>
    </w:p>
    <w:bookmarkEnd w:id="28"/>
    <w:bookmarkStart w:id="29" w:name="manure-management-n_2o-direct"/>
    <w:p>
      <w:pPr>
        <w:pStyle w:val="Heading2"/>
      </w:pPr>
      <w:r>
        <w:t xml:space="preserve">Manure Management N</w:t>
      </w:r>
      <m:oMath>
        <m:sSub>
          <m:e>
            <m:r>
              <m:t>​</m:t>
            </m:r>
          </m:e>
          <m:sub>
            <m:r>
              <m:t>2</m:t>
            </m:r>
          </m:sub>
        </m:sSub>
      </m:oMath>
      <w:r>
        <w:t xml:space="preserve">O (Direct)</w:t>
      </w:r>
    </w:p>
    <w:p>
      <w:pPr>
        <w:pStyle w:val="FirstParagraph"/>
      </w:pPr>
      <w:r>
        <w:t xml:space="preserve">Direct N</w:t>
      </w:r>
      <m:oMath>
        <m:sSub>
          <m:e>
            <m:r>
              <m:t>​</m:t>
            </m:r>
          </m:e>
          <m:sub>
            <m:r>
              <m:t>2</m:t>
            </m:r>
          </m:sub>
        </m:sSub>
      </m:oMath>
      <w:r>
        <w:t xml:space="preserve">O emissions from manure management are given by IPCC 2006 Vol.4 Ch.10 Eq. 10.25 (the indirect-pathway losses are calculated separately in Eq. 10.26–10.29; see next sub-section):</w:t>
      </w:r>
    </w:p>
    <w:p>
      <w:pPr>
        <w:pStyle w:val="BodyText"/>
      </w:pPr>
      <m:oMathPara>
        <m:oMathParaPr>
          <m:jc m:val="center"/>
        </m:oMathParaPr>
        <m:oMath>
          <m:sSub>
            <m:e>
              <m:r>
                <m:t>E</m:t>
              </m:r>
            </m:e>
            <m:sub>
              <m:r>
                <m:rPr>
                  <m:nor/>
                  <m:sty m:val="p"/>
                </m:rPr>
                <m:t>direct,mm</m:t>
              </m:r>
            </m:sub>
          </m:sSub>
          <m:r>
            <m:rPr>
              <m:sty m:val="p"/>
            </m:rPr>
            <m:t>=</m:t>
          </m:r>
          <m:sSub>
            <m:e>
              <m:r>
                <m:t>N</m:t>
              </m:r>
            </m:e>
            <m:sub>
              <m:r>
                <m:rPr>
                  <m:nor/>
                  <m:sty m:val="p"/>
                </m:rPr>
                <m:t>ex,annual</m:t>
              </m:r>
            </m:sub>
          </m:sSub>
          <m:r>
            <m:rPr>
              <m:sty m:val="p"/>
            </m:rPr>
            <m:t>×</m:t>
          </m:r>
          <m:r>
            <m:t>E</m:t>
          </m:r>
          <m:sSub>
            <m:e>
              <m:r>
                <m:t>F</m:t>
              </m:r>
            </m:e>
            <m:sub>
              <m:r>
                <m:t>3</m:t>
              </m:r>
            </m:sub>
          </m:sSub>
          <m:r>
            <m:rPr>
              <m:sty m:val="p"/>
            </m:rPr>
            <m:t>×</m:t>
          </m:r>
          <m:f>
            <m:fPr>
              <m:type m:val="bar"/>
            </m:fPr>
            <m:num>
              <m:r>
                <m:t>44</m:t>
              </m:r>
            </m:num>
            <m:den>
              <m:r>
                <m:t>28</m:t>
              </m:r>
            </m:den>
          </m:f>
          <m:r>
            <m:t> </m:t>
          </m:r>
          <m:sSub>
            <m:e>
              <m:r>
                <m:rPr>
                  <m:nor/>
                  <m:sty m:val="p"/>
                </m:rPr>
                <m:t>(kg N</m:t>
              </m:r>
            </m:e>
            <m:sub>
              <m:r>
                <m:t>2</m:t>
              </m:r>
            </m:sub>
          </m:sSub>
          <m:sSup>
            <m:e>
              <m:r>
                <m:rPr>
                  <m:nor/>
                  <m:sty m:val="p"/>
                </m:rPr>
                <m:t>O yr</m:t>
              </m:r>
            </m:e>
            <m:sup>
              <m:r>
                <m:rPr>
                  <m:sty m:val="p"/>
                </m:rPr>
                <m:t>−</m:t>
              </m:r>
              <m:r>
                <m:t>1</m:t>
              </m:r>
            </m:sup>
          </m:sSup>
          <m:r>
            <m:rPr>
              <m:nor/>
              <m:sty m:val="p"/>
            </m:rPr>
            <m:t>)</m:t>
          </m:r>
        </m:oMath>
      </m:oMathPara>
    </w:p>
    <w:p>
      <w:pPr>
        <w:pStyle w:val="FirstParagraph"/>
      </w:pPr>
      <w:r>
        <w:t xml:space="preserve">where</w:t>
      </w:r>
      <w:r>
        <w:t xml:space="preserve"> </w:t>
      </w:r>
      <m:oMath>
        <m:r>
          <m:t>E</m:t>
        </m:r>
        <m:sSub>
          <m:e>
            <m:r>
              <m:t>F</m:t>
            </m:r>
          </m:e>
          <m:sub>
            <m:r>
              <m:t>3</m:t>
            </m:r>
          </m:sub>
        </m:sSub>
      </m:oMath>
      <w:r>
        <w:t xml:space="preserve"> </w:t>
      </w:r>
      <w:r>
        <w:t xml:space="preserve">is the emission factor for direct N</w:t>
      </w:r>
      <m:oMath>
        <m:sSub>
          <m:e>
            <m:r>
              <m:t>​</m:t>
            </m:r>
          </m:e>
          <m:sub>
            <m:r>
              <m:t>2</m:t>
            </m:r>
          </m:sub>
        </m:sSub>
      </m:oMath>
      <w:r>
        <w:t xml:space="preserve">O (kg N</w:t>
      </w:r>
      <m:oMath>
        <m:sSub>
          <m:e>
            <m:r>
              <m:t>​</m:t>
            </m:r>
          </m:e>
          <m:sub>
            <m:r>
              <m:t>2</m:t>
            </m:r>
          </m:sub>
        </m:sSub>
      </m:oMath>
      <w:r>
        <w:t xml:space="preserve">O-N kg</w:t>
      </w:r>
      <m:oMath>
        <m:sSup>
          <m:e>
            <m:r>
              <m:t>​</m:t>
            </m:r>
          </m:e>
          <m:sup>
            <m:r>
              <m:rPr>
                <m:sty m:val="p"/>
              </m:rPr>
              <m:t>−</m:t>
            </m:r>
            <m:r>
              <m:t>1</m:t>
            </m:r>
          </m:sup>
        </m:sSup>
      </m:oMath>
      <w:r>
        <w:t xml:space="preserve"> </w:t>
      </w:r>
      <w:r>
        <w:t xml:space="preserve">N) and 44/28 converts N</w:t>
      </w:r>
      <m:oMath>
        <m:sSub>
          <m:e>
            <m:r>
              <m:t>​</m:t>
            </m:r>
          </m:e>
          <m:sub>
            <m:r>
              <m:t>2</m:t>
            </m:r>
          </m:sub>
        </m:sSub>
      </m:oMath>
      <w:r>
        <w:t xml:space="preserve">O-N to N</w:t>
      </w:r>
      <m:oMath>
        <m:sSub>
          <m:e>
            <m:r>
              <m:t>​</m:t>
            </m:r>
          </m:e>
          <m:sub>
            <m:r>
              <m:t>2</m:t>
            </m:r>
          </m:sub>
        </m:sSub>
      </m:oMath>
      <w:r>
        <w:t xml:space="preserve">O. For multiple MMS systems,</w:t>
      </w:r>
      <w:r>
        <w:t xml:space="preserve"> </w:t>
      </w:r>
      <m:oMath>
        <m:r>
          <m:t>E</m:t>
        </m:r>
        <m:sSub>
          <m:e>
            <m:r>
              <m:t>F</m:t>
            </m:r>
          </m:e>
          <m:sub>
            <m:r>
              <m:t>3</m:t>
            </m:r>
          </m:sub>
        </m:sSub>
      </m:oMath>
      <w:r>
        <w:t xml:space="preserve"> </w:t>
      </w:r>
      <w:r>
        <w:t xml:space="preserve">is computed as the weighted average of per-MMS factors:</w:t>
      </w:r>
    </w:p>
    <w:p>
      <w:pPr>
        <w:pStyle w:val="BodyText"/>
      </w:pPr>
      <m:oMathPara>
        <m:oMathParaPr>
          <m:jc m:val="center"/>
        </m:oMathParaPr>
        <m:oMath>
          <m:r>
            <m:t>E</m:t>
          </m:r>
          <m:sSub>
            <m:e>
              <m:r>
                <m:t>F</m:t>
              </m:r>
            </m:e>
            <m:sub>
              <m:r>
                <m:t>3</m:t>
              </m:r>
            </m:sub>
          </m:sSub>
          <m:r>
            <m:rPr>
              <m:sty m:val="p"/>
            </m:rPr>
            <m:t>=</m:t>
          </m:r>
          <m:nary>
            <m:naryPr>
              <m:chr m:val="∑"/>
              <m:limLoc m:val="undOvr"/>
              <m:subHide m:val="off"/>
              <m:supHide m:val="on"/>
            </m:naryPr>
            <m:sub>
              <m:r>
                <m:t>s</m:t>
              </m:r>
            </m:sub>
            <m:sup>
              <m:r>
                <m:t>​</m:t>
              </m:r>
            </m:sup>
            <m:e>
              <m:r>
                <m:t>M</m:t>
              </m:r>
            </m:e>
          </m:nary>
          <m:sSub>
            <m:e>
              <m:r>
                <m:t>S</m:t>
              </m:r>
            </m:e>
            <m:sub>
              <m:r>
                <m:t>s</m:t>
              </m:r>
            </m:sub>
          </m:sSub>
          <m:r>
            <m:rPr>
              <m:sty m:val="p"/>
            </m:rPr>
            <m:t>×</m:t>
          </m:r>
          <m:r>
            <m:t>E</m:t>
          </m:r>
          <m:sSub>
            <m:e>
              <m:r>
                <m:t>F</m:t>
              </m:r>
            </m:e>
            <m:sub>
              <m:r>
                <m:t>3</m:t>
              </m:r>
              <m:r>
                <m:rPr>
                  <m:sty m:val="p"/>
                </m:rPr>
                <m:t>,</m:t>
              </m:r>
              <m:r>
                <m:t>s</m:t>
              </m:r>
            </m:sub>
          </m:sSub>
        </m:oMath>
      </m:oMathPara>
    </w:p>
    <w:bookmarkEnd w:id="29"/>
    <w:bookmarkStart w:id="30" w:name="manure-management-n_2o-indirect"/>
    <w:p>
      <w:pPr>
        <w:pStyle w:val="Heading2"/>
      </w:pPr>
      <w:r>
        <w:t xml:space="preserve">Manure Management N</w:t>
      </w:r>
      <m:oMath>
        <m:sSub>
          <m:e>
            <m:r>
              <m:t>​</m:t>
            </m:r>
          </m:e>
          <m:sub>
            <m:r>
              <m:t>2</m:t>
            </m:r>
          </m:sub>
        </m:sSub>
      </m:oMath>
      <w:r>
        <w:t xml:space="preserve">O (Indirect)</w:t>
      </w:r>
    </w:p>
    <w:p>
      <w:pPr>
        <w:pStyle w:val="FirstParagraph"/>
      </w:pPr>
      <w:r>
        <w:t xml:space="preserve">Indirect N</w:t>
      </w:r>
      <m:oMath>
        <m:sSub>
          <m:e>
            <m:r>
              <m:t>​</m:t>
            </m:r>
          </m:e>
          <m:sub>
            <m:r>
              <m:t>2</m:t>
            </m:r>
          </m:sub>
        </m:sSub>
      </m:oMath>
      <w:r>
        <w:t xml:space="preserve">O from managed manure arises from two pathways. Each pathway is split between an N-loss equation (in Vol.4 Ch.10) and an N</w:t>
      </w:r>
      <m:oMath>
        <m:sSub>
          <m:e>
            <m:r>
              <m:t>​</m:t>
            </m:r>
          </m:e>
          <m:sub>
            <m:r>
              <m:t>2</m:t>
            </m:r>
          </m:sub>
        </m:sSub>
      </m:oMath>
      <w:r>
        <w:t xml:space="preserve">O equation (in Vol.4 Ch.10, drawing EFs from Vol.4 Ch.11 Table 11.3):</w:t>
      </w:r>
    </w:p>
    <w:p>
      <w:pPr>
        <w:pStyle w:val="BodyText"/>
      </w:pPr>
      <w:r>
        <w:t xml:space="preserve"> </w:t>
      </w:r>
      <w:r>
        <w:t xml:space="preserve">of volatilised N: Frac_GasMS from Eq. 10.26 multiplied by</w:t>
      </w:r>
      <w:r>
        <w:t xml:space="preserve"> </w:t>
      </w:r>
      <m:oMath>
        <m:r>
          <m:t>E</m:t>
        </m:r>
        <m:sSub>
          <m:e>
            <m:r>
              <m:t>F</m:t>
            </m:r>
          </m:e>
          <m:sub>
            <m:r>
              <m:t>4</m:t>
            </m:r>
          </m:sub>
        </m:sSub>
      </m:oMath>
      <w:r>
        <w:t xml:space="preserve"> </w:t>
      </w:r>
      <w:r>
        <w:t xml:space="preserve">in Eq. 10.27:</w:t>
      </w:r>
    </w:p>
    <w:p>
      <w:pPr>
        <w:pStyle w:val="BodyText"/>
      </w:pPr>
      <m:oMathPara>
        <m:oMathParaPr>
          <m:jc m:val="center"/>
        </m:oMathParaPr>
        <m:oMath>
          <m:sSub>
            <m:e>
              <m:r>
                <m:t>E</m:t>
              </m:r>
            </m:e>
            <m:sub>
              <m:r>
                <m:rPr>
                  <m:nor/>
                  <m:sty m:val="p"/>
                </m:rPr>
                <m:t>vol,mm</m:t>
              </m:r>
            </m:sub>
          </m:sSub>
          <m:r>
            <m:rPr>
              <m:sty m:val="p"/>
            </m:rPr>
            <m:t>=</m:t>
          </m:r>
          <m:sSub>
            <m:e>
              <m:r>
                <m:t>N</m:t>
              </m:r>
            </m:e>
            <m:sub>
              <m:r>
                <m:rPr>
                  <m:nor/>
                  <m:sty m:val="p"/>
                </m:rPr>
                <m:t>ex,annual</m:t>
              </m:r>
            </m:sub>
          </m:sSub>
          <m:r>
            <m:rPr>
              <m:sty m:val="p"/>
            </m:rPr>
            <m:t>×</m:t>
          </m:r>
          <m:r>
            <m:rPr>
              <m:nor/>
              <m:sty m:val="p"/>
            </m:rPr>
            <m:t>Frac_GasMS</m:t>
          </m:r>
          <m:r>
            <m:rPr>
              <m:sty m:val="p"/>
            </m:rPr>
            <m:t>×</m:t>
          </m:r>
          <m:r>
            <m:t>E</m:t>
          </m:r>
          <m:sSub>
            <m:e>
              <m:r>
                <m:t>F</m:t>
              </m:r>
            </m:e>
            <m:sub>
              <m:r>
                <m:t>4</m:t>
              </m:r>
            </m:sub>
          </m:sSub>
          <m:r>
            <m:rPr>
              <m:sty m:val="p"/>
            </m:rPr>
            <m:t>×</m:t>
          </m:r>
          <m:f>
            <m:fPr>
              <m:type m:val="bar"/>
            </m:fPr>
            <m:num>
              <m:r>
                <m:t>44</m:t>
              </m:r>
            </m:num>
            <m:den>
              <m:r>
                <m:t>28</m:t>
              </m:r>
            </m:den>
          </m:f>
        </m:oMath>
      </m:oMathPara>
    </w:p>
    <w:p>
      <w:pPr>
        <w:pStyle w:val="FirstParagraph"/>
      </w:pPr>
      <w:r>
        <w:t xml:space="preserve">: Frac_LeachMS from Eq. 10.28 multiplied by</w:t>
      </w:r>
      <w:r>
        <w:t xml:space="preserve"> </w:t>
      </w:r>
      <m:oMath>
        <m:r>
          <m:t>E</m:t>
        </m:r>
        <m:sSub>
          <m:e>
            <m:r>
              <m:t>F</m:t>
            </m:r>
          </m:e>
          <m:sub>
            <m:r>
              <m:t>5</m:t>
            </m:r>
          </m:sub>
        </m:sSub>
      </m:oMath>
      <w:r>
        <w:t xml:space="preserve"> </w:t>
      </w:r>
      <w:r>
        <w:t xml:space="preserve">in Eq. 10.29:</w:t>
      </w:r>
    </w:p>
    <w:p>
      <w:pPr>
        <w:pStyle w:val="BodyText"/>
      </w:pPr>
      <m:oMathPara>
        <m:oMathParaPr>
          <m:jc m:val="center"/>
        </m:oMathParaPr>
        <m:oMath>
          <m:sSub>
            <m:e>
              <m:r>
                <m:t>E</m:t>
              </m:r>
            </m:e>
            <m:sub>
              <m:r>
                <m:rPr>
                  <m:nor/>
                  <m:sty m:val="p"/>
                </m:rPr>
                <m:t>leach,mm</m:t>
              </m:r>
            </m:sub>
          </m:sSub>
          <m:r>
            <m:rPr>
              <m:sty m:val="p"/>
            </m:rPr>
            <m:t>=</m:t>
          </m:r>
          <m:sSub>
            <m:e>
              <m:r>
                <m:t>N</m:t>
              </m:r>
            </m:e>
            <m:sub>
              <m:r>
                <m:rPr>
                  <m:nor/>
                  <m:sty m:val="p"/>
                </m:rPr>
                <m:t>ex,annual</m:t>
              </m:r>
            </m:sub>
          </m:sSub>
          <m:r>
            <m:rPr>
              <m:sty m:val="p"/>
            </m:rPr>
            <m:t>×</m:t>
          </m:r>
          <m:r>
            <m:rPr>
              <m:nor/>
              <m:sty m:val="p"/>
            </m:rPr>
            <m:t>Frac_LeachMS</m:t>
          </m:r>
          <m:r>
            <m:rPr>
              <m:sty m:val="p"/>
            </m:rPr>
            <m:t>×</m:t>
          </m:r>
          <m:r>
            <m:t>E</m:t>
          </m:r>
          <m:sSub>
            <m:e>
              <m:r>
                <m:t>F</m:t>
              </m:r>
            </m:e>
            <m:sub>
              <m:r>
                <m:t>5</m:t>
              </m:r>
            </m:sub>
          </m:sSub>
          <m:r>
            <m:rPr>
              <m:sty m:val="p"/>
            </m:rPr>
            <m:t>×</m:t>
          </m:r>
          <m:f>
            <m:fPr>
              <m:type m:val="bar"/>
            </m:fPr>
            <m:num>
              <m:r>
                <m:t>44</m:t>
              </m:r>
            </m:num>
            <m:den>
              <m:r>
                <m:t>28</m:t>
              </m:r>
            </m:den>
          </m:f>
        </m:oMath>
      </m:oMathPara>
    </w:p>
    <w:p>
      <w:pPr>
        <w:pStyle w:val="FirstParagraph"/>
      </w:pPr>
      <w:r>
        <w:t xml:space="preserve">where</w:t>
      </w:r>
      <w:r>
        <w:t xml:space="preserve"> </w:t>
      </w:r>
      <m:oMath>
        <m:r>
          <m:t>E</m:t>
        </m:r>
        <m:sSub>
          <m:e>
            <m:r>
              <m:t>F</m:t>
            </m:r>
          </m:e>
          <m:sub>
            <m:r>
              <m:t>4</m:t>
            </m:r>
          </m:sub>
        </m:sSub>
      </m:oMath>
      <w:r>
        <w:t xml:space="preserve"> </w:t>
      </w:r>
      <w:r>
        <w:t xml:space="preserve">(kg N</w:t>
      </w:r>
      <m:oMath>
        <m:sSub>
          <m:e>
            <m:r>
              <m:t>​</m:t>
            </m:r>
          </m:e>
          <m:sub>
            <m:r>
              <m:t>2</m:t>
            </m:r>
          </m:sub>
        </m:sSub>
      </m:oMath>
      <w:r>
        <w:t xml:space="preserve">O-N kg</w:t>
      </w:r>
      <m:oMath>
        <m:sSup>
          <m:e>
            <m:r>
              <m:t>​</m:t>
            </m:r>
          </m:e>
          <m:sup>
            <m:r>
              <m:rPr>
                <m:sty m:val="p"/>
              </m:rPr>
              <m:t>−</m:t>
            </m:r>
            <m:r>
              <m:t>1</m:t>
            </m:r>
          </m:sup>
        </m:sSup>
      </m:oMath>
      <w:r>
        <w:t xml:space="preserve"> </w:t>
      </w:r>
      <w:r>
        <w:t xml:space="preserve">NH</w:t>
      </w:r>
      <m:oMath>
        <m:sSub>
          <m:e>
            <m:r>
              <m:t>​</m:t>
            </m:r>
          </m:e>
          <m:sub>
            <m:r>
              <m:t>3</m:t>
            </m:r>
          </m:sub>
        </m:sSub>
      </m:oMath>
      <w:r>
        <w:t xml:space="preserve">-N + NO</w:t>
      </w:r>
      <m:oMath>
        <m:sSub>
          <m:e>
            <m:r>
              <m:t>​</m:t>
            </m:r>
          </m:e>
          <m:sub>
            <m:r>
              <m:t>x</m:t>
            </m:r>
          </m:sub>
        </m:sSub>
      </m:oMath>
      <w:r>
        <w:t xml:space="preserve">-N volatilised) and</w:t>
      </w:r>
      <w:r>
        <w:t xml:space="preserve"> </w:t>
      </w:r>
      <m:oMath>
        <m:r>
          <m:t>E</m:t>
        </m:r>
        <m:sSub>
          <m:e>
            <m:r>
              <m:t>F</m:t>
            </m:r>
          </m:e>
          <m:sub>
            <m:r>
              <m:t>5</m:t>
            </m:r>
          </m:sub>
        </m:sSub>
      </m:oMath>
      <w:r>
        <w:t xml:space="preserve"> </w:t>
      </w:r>
      <w:r>
        <w:t xml:space="preserve">(kg N</w:t>
      </w:r>
      <m:oMath>
        <m:sSub>
          <m:e>
            <m:r>
              <m:t>​</m:t>
            </m:r>
          </m:e>
          <m:sub>
            <m:r>
              <m:t>2</m:t>
            </m:r>
          </m:sub>
        </m:sSub>
      </m:oMath>
      <w:r>
        <w:t xml:space="preserve">O-N kg</w:t>
      </w:r>
      <m:oMath>
        <m:sSup>
          <m:e>
            <m:r>
              <m:t>​</m:t>
            </m:r>
          </m:e>
          <m:sup>
            <m:r>
              <m:rPr>
                <m:sty m:val="p"/>
              </m:rPr>
              <m:t>−</m:t>
            </m:r>
            <m:r>
              <m:t>1</m:t>
            </m:r>
          </m:sup>
        </m:sSup>
      </m:oMath>
      <w:r>
        <w:t xml:space="preserve"> </w:t>
      </w:r>
      <w:r>
        <w:t xml:space="preserve">N leached/runoff) are from IPCC Vol.4 Ch.11 Table 11.3. In the 2006 Guidelines</w:t>
      </w:r>
      <w:r>
        <w:t xml:space="preserve"> </w:t>
      </w:r>
      <m:oMath>
        <m:r>
          <m:t>E</m:t>
        </m:r>
        <m:sSub>
          <m:e>
            <m:r>
              <m:t>F</m:t>
            </m:r>
          </m:e>
          <m:sub>
            <m:r>
              <m:t>4</m:t>
            </m:r>
          </m:sub>
        </m:sSub>
        <m:r>
          <m:rPr>
            <m:sty m:val="p"/>
          </m:rPr>
          <m:t>=</m:t>
        </m:r>
        <m:r>
          <m:t>0.010</m:t>
        </m:r>
      </m:oMath>
      <w:r>
        <w:t xml:space="preserve"> </w:t>
      </w:r>
      <w:r>
        <w:t xml:space="preserve">(range 0.002–0.05) and</w:t>
      </w:r>
      <w:r>
        <w:t xml:space="preserve"> </w:t>
      </w:r>
      <m:oMath>
        <m:r>
          <m:t>E</m:t>
        </m:r>
        <m:sSub>
          <m:e>
            <m:r>
              <m:t>F</m:t>
            </m:r>
          </m:e>
          <m:sub>
            <m:r>
              <m:t>5</m:t>
            </m:r>
          </m:sub>
        </m:sSub>
        <m:r>
          <m:rPr>
            <m:sty m:val="p"/>
          </m:rPr>
          <m:t>=</m:t>
        </m:r>
        <m:r>
          <m:t>0.0075</m:t>
        </m:r>
      </m:oMath>
      <w:r>
        <w:t xml:space="preserve"> </w:t>
      </w:r>
      <w:r>
        <w:t xml:space="preserve">(range 0.0005–0.025). The 2019 Refinement keeps the aggregated</w:t>
      </w:r>
      <w:r>
        <w:t xml:space="preserve"> </w:t>
      </w:r>
      <m:oMath>
        <m:r>
          <m:t>E</m:t>
        </m:r>
        <m:sSub>
          <m:e>
            <m:r>
              <m:t>F</m:t>
            </m:r>
          </m:e>
          <m:sub>
            <m:r>
              <m:t>4</m:t>
            </m:r>
          </m:sub>
        </m:sSub>
        <m:r>
          <m:rPr>
            <m:sty m:val="p"/>
          </m:rPr>
          <m:t>=</m:t>
        </m:r>
        <m:r>
          <m:t>0.010</m:t>
        </m:r>
      </m:oMath>
      <w:r>
        <w:t xml:space="preserve"> </w:t>
      </w:r>
      <w:r>
        <w:t xml:space="preserve">(range 0.002–0.018) and additionally provides climate-disaggregated values of 0.014 in wet climates (range 0.011–0.017) and 0.005 in dry climates (range 0.000–0.011);</w:t>
      </w:r>
      <w:r>
        <w:t xml:space="preserve"> </w:t>
      </w:r>
      <m:oMath>
        <m:r>
          <m:t>E</m:t>
        </m:r>
        <m:sSub>
          <m:e>
            <m:r>
              <m:t>F</m:t>
            </m:r>
          </m:e>
          <m:sub>
            <m:r>
              <m:t>5</m:t>
            </m:r>
          </m:sub>
        </m:sSub>
      </m:oMath>
      <w:r>
        <w:t xml:space="preserve"> </w:t>
      </w:r>
      <w:r>
        <w:t xml:space="preserve">is updated to 0.011 (range 0.000–0.020) with no climate disaggregation. Frac_GasMS and Frac_LeachMS are MMS- and country- or climate-specific fractions (defaults in Vol.4 Ch.10 Tables 10.22 and 10.23 of the 2019 Refinement).</w:t>
      </w:r>
    </w:p>
    <w:bookmarkEnd w:id="30"/>
    <w:bookmarkStart w:id="31" w:name="pasturerangepaddock-n_2o-direct"/>
    <w:p>
      <w:pPr>
        <w:pStyle w:val="Heading2"/>
      </w:pPr>
      <w:r>
        <w:t xml:space="preserve">Pasture/Range/Paddock N</w:t>
      </w:r>
      <m:oMath>
        <m:sSub>
          <m:e>
            <m:r>
              <m:t>​</m:t>
            </m:r>
          </m:e>
          <m:sub>
            <m:r>
              <m:t>2</m:t>
            </m:r>
          </m:sub>
        </m:sSub>
      </m:oMath>
      <w:r>
        <w:t xml:space="preserve">O (Direct)</w:t>
      </w:r>
    </w:p>
    <w:p>
      <w:pPr>
        <w:pStyle w:val="FirstParagraph"/>
      </w:pPr>
      <w:r>
        <w:t xml:space="preserve">The nitrogen deposited on pasture by grazing animals (</w:t>
      </w:r>
      <m:oMath>
        <m:sSub>
          <m:e>
            <m:r>
              <m:t>F</m:t>
            </m:r>
          </m:e>
          <m:sub>
            <m:r>
              <m:rPr>
                <m:nor/>
                <m:sty m:val="p"/>
              </m:rPr>
              <m:t>PRP</m:t>
            </m:r>
          </m:sub>
        </m:sSub>
      </m:oMath>
      <w:r>
        <w:t xml:space="preserve">) is the per-sub-category form of IPCC Vol.4 Ch.11 Eq.~11.5 (N in urine and dung deposited by grazing animals on PRP):</w:t>
      </w:r>
    </w:p>
    <w:p>
      <w:pPr>
        <w:pStyle w:val="BodyText"/>
      </w:pPr>
      <m:oMathPara>
        <m:oMathParaPr>
          <m:jc m:val="center"/>
        </m:oMathParaPr>
        <m:oMath>
          <m:sSub>
            <m:e>
              <m:r>
                <m:t>F</m:t>
              </m:r>
            </m:e>
            <m:sub>
              <m:r>
                <m:rPr>
                  <m:nor/>
                  <m:sty m:val="p"/>
                </m:rPr>
                <m:t>PRP</m:t>
              </m:r>
            </m:sub>
          </m:sSub>
          <m:r>
            <m:rPr>
              <m:sty m:val="p"/>
            </m:rPr>
            <m:t>=</m:t>
          </m:r>
          <m:sSub>
            <m:e>
              <m:r>
                <m:t>N</m:t>
              </m:r>
            </m:e>
            <m:sub>
              <m:r>
                <m:rPr>
                  <m:nor/>
                  <m:sty m:val="p"/>
                </m:rPr>
                <m:t>ex,annual</m:t>
              </m:r>
            </m:sub>
          </m:sSub>
          <m:r>
            <m:rPr>
              <m:sty m:val="p"/>
            </m:rPr>
            <m:t>×</m:t>
          </m:r>
          <m:r>
            <m:rPr>
              <m:nor/>
              <m:sty m:val="p"/>
            </m:rPr>
            <m:t>Frac_PRP</m:t>
          </m:r>
        </m:oMath>
      </m:oMathPara>
    </w:p>
    <w:p>
      <w:pPr>
        <w:pStyle w:val="FirstParagraph"/>
      </w:pPr>
      <w:r>
        <w:t xml:space="preserve">where Frac_PRP is the fraction of total annual N excretion deposited on pasture (denoted</w:t>
      </w:r>
      <w:r>
        <w:t xml:space="preserve"> </w:t>
      </w:r>
      <m:oMath>
        <m:r>
          <m:t>M</m:t>
        </m:r>
        <m:sSub>
          <m:e>
            <m:r>
              <m:t>S</m:t>
            </m:r>
          </m:e>
          <m:sub>
            <m:r>
              <m:rPr>
                <m:sty m:val="p"/>
              </m:rPr>
              <m:t>(</m:t>
            </m:r>
            <m:r>
              <m:t>T</m:t>
            </m:r>
            <m:r>
              <m:rPr>
                <m:sty m:val="p"/>
              </m:rPr>
              <m:t>,</m:t>
            </m:r>
            <m:r>
              <m:rPr>
                <m:nor/>
                <m:sty m:val="p"/>
              </m:rPr>
              <m:t>PRP</m:t>
            </m:r>
            <m:r>
              <m:rPr>
                <m:sty m:val="p"/>
              </m:rPr>
              <m:t>)</m:t>
            </m:r>
          </m:sub>
        </m:sSub>
      </m:oMath>
      <w:r>
        <w:t xml:space="preserve"> </w:t>
      </w:r>
      <w:r>
        <w:t xml:space="preserve">in IPCC notation). Direct N</w:t>
      </w:r>
      <m:oMath>
        <m:sSub>
          <m:e>
            <m:r>
              <m:t>​</m:t>
            </m:r>
          </m:e>
          <m:sub>
            <m:r>
              <m:t>2</m:t>
            </m:r>
          </m:sub>
        </m:sSub>
      </m:oMath>
      <w:r>
        <w:t xml:space="preserve">O from pasture/range/paddock falls under managed soils (IPCC Volume 4, Chapter 11), not Chapter 10. It is given by IPCC Eq.~11.1 (with</w:t>
      </w:r>
      <w:r>
        <w:t xml:space="preserve"> </w:t>
      </w:r>
      <m:oMath>
        <m:sSub>
          <m:e>
            <m:r>
              <m:t>F</m:t>
            </m:r>
          </m:e>
          <m:sub>
            <m:r>
              <m:rPr>
                <m:nor/>
                <m:sty m:val="p"/>
              </m:rPr>
              <m:t>PRP</m:t>
            </m:r>
          </m:sub>
        </m:sSub>
      </m:oMath>
      <w:r>
        <w:t xml:space="preserve"> </w:t>
      </w:r>
      <w:r>
        <w:t xml:space="preserve">as the input N source):</w:t>
      </w:r>
    </w:p>
    <w:p>
      <w:pPr>
        <w:pStyle w:val="BodyText"/>
      </w:pPr>
      <m:oMathPara>
        <m:oMathParaPr>
          <m:jc m:val="center"/>
        </m:oMathParaPr>
        <m:oMath>
          <m:sSub>
            <m:e>
              <m:r>
                <m:t>E</m:t>
              </m:r>
            </m:e>
            <m:sub>
              <m:r>
                <m:rPr>
                  <m:nor/>
                  <m:sty m:val="p"/>
                </m:rPr>
                <m:t>direct,PRP</m:t>
              </m:r>
            </m:sub>
          </m:sSub>
          <m:r>
            <m:rPr>
              <m:sty m:val="p"/>
            </m:rPr>
            <m:t>=</m:t>
          </m:r>
          <m:sSub>
            <m:e>
              <m:r>
                <m:t>F</m:t>
              </m:r>
            </m:e>
            <m:sub>
              <m:r>
                <m:rPr>
                  <m:nor/>
                  <m:sty m:val="p"/>
                </m:rPr>
                <m:t>PRP</m:t>
              </m:r>
            </m:sub>
          </m:sSub>
          <m:r>
            <m:rPr>
              <m:sty m:val="p"/>
            </m:rPr>
            <m:t>×</m:t>
          </m:r>
          <m:r>
            <m:t>E</m:t>
          </m:r>
          <m:sSub>
            <m:e>
              <m:r>
                <m:t>F</m:t>
              </m:r>
            </m:e>
            <m:sub>
              <m:r>
                <m:t>3</m:t>
              </m:r>
              <m:r>
                <m:rPr>
                  <m:sty m:val="p"/>
                </m:rPr>
                <m:t>,</m:t>
              </m:r>
              <m:r>
                <m:rPr>
                  <m:nor/>
                  <m:sty m:val="p"/>
                </m:rPr>
                <m:t>PRP</m:t>
              </m:r>
            </m:sub>
          </m:sSub>
          <m:r>
            <m:rPr>
              <m:sty m:val="p"/>
            </m:rPr>
            <m:t>×</m:t>
          </m:r>
          <m:f>
            <m:fPr>
              <m:type m:val="bar"/>
            </m:fPr>
            <m:num>
              <m:r>
                <m:t>44</m:t>
              </m:r>
            </m:num>
            <m:den>
              <m:r>
                <m:t>28</m:t>
              </m:r>
            </m:den>
          </m:f>
        </m:oMath>
      </m:oMathPara>
    </w:p>
    <w:p>
      <w:pPr>
        <w:pStyle w:val="FirstParagraph"/>
      </w:pPr>
      <w:r>
        <w:t xml:space="preserve">where</w:t>
      </w:r>
      <w:r>
        <w:t xml:space="preserve"> </w:t>
      </w:r>
      <m:oMath>
        <m:r>
          <m:t>E</m:t>
        </m:r>
        <m:sSub>
          <m:e>
            <m:r>
              <m:t>F</m:t>
            </m:r>
          </m:e>
          <m:sub>
            <m:r>
              <m:t>3</m:t>
            </m:r>
            <m:r>
              <m:rPr>
                <m:sty m:val="p"/>
              </m:rPr>
              <m:t>,</m:t>
            </m:r>
            <m:r>
              <m:rPr>
                <m:nor/>
                <m:sty m:val="p"/>
              </m:rPr>
              <m:t>PRP</m:t>
            </m:r>
          </m:sub>
        </m:sSub>
      </m:oMath>
      <w:r>
        <w:t xml:space="preserve"> </w:t>
      </w:r>
      <w:r>
        <w:t xml:space="preserve">is the emission factor for direct N</w:t>
      </w:r>
      <m:oMath>
        <m:sSub>
          <m:e>
            <m:r>
              <m:t>​</m:t>
            </m:r>
          </m:e>
          <m:sub>
            <m:r>
              <m:t>2</m:t>
            </m:r>
          </m:sub>
        </m:sSub>
      </m:oMath>
      <w:r>
        <w:t xml:space="preserve">O from PRP given in IPCC Vol.4 Chapter 11, Table 11.1. The 2006 value is 0.02 kg N</w:t>
      </w:r>
      <m:oMath>
        <m:sSub>
          <m:e>
            <m:r>
              <m:t>​</m:t>
            </m:r>
          </m:e>
          <m:sub>
            <m:r>
              <m:t>2</m:t>
            </m:r>
          </m:sub>
        </m:sSub>
      </m:oMath>
      <w:r>
        <w:t xml:space="preserve">O-N kg</w:t>
      </w:r>
      <m:oMath>
        <m:sSup>
          <m:e>
            <m:r>
              <m:t>​</m:t>
            </m:r>
          </m:e>
          <m:sup>
            <m:r>
              <m:rPr>
                <m:sty m:val="p"/>
              </m:rPr>
              <m:t>−</m:t>
            </m:r>
            <m:r>
              <m:t>1</m:t>
            </m:r>
          </m:sup>
        </m:sSup>
      </m:oMath>
      <w:r>
        <w:t xml:space="preserve"> </w:t>
      </w:r>
      <w:r>
        <w:t xml:space="preserve">N (cattle, poultry, pigs combined). The 2019 Refinement updates this to</w:t>
      </w:r>
      <w:r>
        <w:t xml:space="preserve"> </w:t>
      </w:r>
      <m:oMath>
        <m:r>
          <m:t>E</m:t>
        </m:r>
        <m:sSub>
          <m:e>
            <m:r>
              <m:t>F</m:t>
            </m:r>
          </m:e>
          <m:sub>
            <m:r>
              <m:t>3</m:t>
            </m:r>
            <m:r>
              <m:t>P</m:t>
            </m:r>
            <m:r>
              <m:t>R</m:t>
            </m:r>
            <m:r>
              <m:t>P</m:t>
            </m:r>
            <m:r>
              <m:rPr>
                <m:sty m:val="p"/>
              </m:rPr>
              <m:t>,</m:t>
            </m:r>
            <m:r>
              <m:t>C</m:t>
            </m:r>
            <m:r>
              <m:t>P</m:t>
            </m:r>
            <m:r>
              <m:t>P</m:t>
            </m:r>
          </m:sub>
        </m:sSub>
      </m:oMath>
      <w:r>
        <w:t xml:space="preserve"> </w:t>
      </w:r>
      <w:r>
        <w:t xml:space="preserve">for cattle, poultry and pigs with an aggregated default of 0.004 kg N</w:t>
      </w:r>
      <m:oMath>
        <m:sSub>
          <m:e>
            <m:r>
              <m:t>​</m:t>
            </m:r>
          </m:e>
          <m:sub>
            <m:r>
              <m:t>2</m:t>
            </m:r>
          </m:sub>
        </m:sSub>
      </m:oMath>
      <w:r>
        <w:t xml:space="preserve">O-N kg</w:t>
      </w:r>
      <m:oMath>
        <m:sSup>
          <m:e>
            <m:r>
              <m:t>​</m:t>
            </m:r>
          </m:e>
          <m:sup>
            <m:r>
              <m:rPr>
                <m:sty m:val="p"/>
              </m:rPr>
              <m:t>−</m:t>
            </m:r>
            <m:r>
              <m:t>1</m:t>
            </m:r>
          </m:sup>
        </m:sSup>
      </m:oMath>
      <w:r>
        <w:t xml:space="preserve"> </w:t>
      </w:r>
      <w:r>
        <w:t xml:space="preserve">N (range 0.000–0.014). When the climate is known, the disaggregated values are 0.006 in wet climates (range 0.000–0.027) and 0.002 in dry climates (range 0.000–0.007).</w:t>
      </w:r>
    </w:p>
    <w:bookmarkEnd w:id="31"/>
    <w:bookmarkStart w:id="32" w:name="pasture-n_2o-indirect"/>
    <w:p>
      <w:pPr>
        <w:pStyle w:val="Heading2"/>
      </w:pPr>
      <w:r>
        <w:t xml:space="preserve">Pasture N</w:t>
      </w:r>
      <m:oMath>
        <m:sSub>
          <m:e>
            <m:r>
              <m:t>​</m:t>
            </m:r>
          </m:e>
          <m:sub>
            <m:r>
              <m:t>2</m:t>
            </m:r>
          </m:sub>
        </m:sSub>
      </m:oMath>
      <w:r>
        <w:t xml:space="preserve">O (Indirect)</w:t>
      </w:r>
    </w:p>
    <w:p>
      <w:pPr>
        <w:pStyle w:val="FirstParagraph"/>
      </w:pPr>
      <w:r>
        <w:t xml:space="preserve">Indirect N</w:t>
      </w:r>
      <m:oMath>
        <m:sSub>
          <m:e>
            <m:r>
              <m:t>​</m:t>
            </m:r>
          </m:e>
          <m:sub>
            <m:r>
              <m:t>2</m:t>
            </m:r>
          </m:sub>
        </m:sSub>
      </m:oMath>
      <w:r>
        <w:t xml:space="preserve">O from pasture deposition follows IPCC Vol.4 Ch.11 Eq. 11.9 (volatilisation pathway) and Eq. 11.10 (leaching/runoff pathway), using the same pathway structure as managed manure:</w:t>
      </w:r>
    </w:p>
    <w:p>
      <w:pPr>
        <w:pStyle w:val="BodyText"/>
      </w:pPr>
      <m:oMathPara>
        <m:oMathParaPr>
          <m:jc m:val="center"/>
        </m:oMathParaPr>
        <m:oMath>
          <m:sSub>
            <m:e>
              <m:r>
                <m:t>E</m:t>
              </m:r>
            </m:e>
            <m:sub>
              <m:r>
                <m:rPr>
                  <m:nor/>
                  <m:sty m:val="p"/>
                </m:rPr>
                <m:t>indirect,PRP</m:t>
              </m:r>
            </m:sub>
          </m:sSub>
          <m:r>
            <m:rPr>
              <m:sty m:val="p"/>
            </m:rPr>
            <m:t>=</m:t>
          </m:r>
          <m:sSub>
            <m:e>
              <m:r>
                <m:t>F</m:t>
              </m:r>
            </m:e>
            <m:sub>
              <m:r>
                <m:rPr>
                  <m:nor/>
                  <m:sty m:val="p"/>
                </m:rPr>
                <m:t>PRP</m:t>
              </m:r>
            </m:sub>
          </m:sSub>
          <m:r>
            <m:rPr>
              <m:sty m:val="p"/>
            </m:rPr>
            <m:t>×</m:t>
          </m:r>
          <m:d>
            <m:dPr>
              <m:begChr m:val="("/>
              <m:sepChr m:val=""/>
              <m:endChr m:val=")"/>
              <m:grow/>
            </m:dPr>
            <m:e>
              <m:r>
                <m:rPr>
                  <m:nor/>
                  <m:sty m:val="p"/>
                </m:rPr>
                <m:t>Frac_GasPRP</m:t>
              </m:r>
              <m:r>
                <m:rPr>
                  <m:sty m:val="p"/>
                </m:rPr>
                <m:t>×</m:t>
              </m:r>
              <m:r>
                <m:t>E</m:t>
              </m:r>
              <m:sSub>
                <m:e>
                  <m:r>
                    <m:t>F</m:t>
                  </m:r>
                </m:e>
                <m:sub>
                  <m:r>
                    <m:t>4</m:t>
                  </m:r>
                </m:sub>
              </m:sSub>
              <m:r>
                <m:rPr>
                  <m:sty m:val="p"/>
                </m:rPr>
                <m:t>+</m:t>
              </m:r>
              <m:r>
                <m:rPr>
                  <m:nor/>
                  <m:sty m:val="p"/>
                </m:rPr>
                <m:t>Frac_LeachPRP</m:t>
              </m:r>
              <m:r>
                <m:rPr>
                  <m:sty m:val="p"/>
                </m:rPr>
                <m:t>×</m:t>
              </m:r>
              <m:r>
                <m:t>E</m:t>
              </m:r>
              <m:sSub>
                <m:e>
                  <m:r>
                    <m:t>F</m:t>
                  </m:r>
                </m:e>
                <m:sub>
                  <m:r>
                    <m:t>5</m:t>
                  </m:r>
                </m:sub>
              </m:sSub>
            </m:e>
          </m:d>
          <m:r>
            <m:rPr>
              <m:sty m:val="p"/>
            </m:rPr>
            <m:t>×</m:t>
          </m:r>
          <m:f>
            <m:fPr>
              <m:type m:val="bar"/>
            </m:fPr>
            <m:num>
              <m:r>
                <m:t>44</m:t>
              </m:r>
            </m:num>
            <m:den>
              <m:r>
                <m:t>28</m:t>
              </m:r>
            </m:den>
          </m:f>
        </m:oMath>
      </m:oMathPara>
    </w:p>
    <w:p>
      <w:pPr>
        <w:pStyle w:val="FirstParagraph"/>
      </w:pPr>
      <w:r>
        <w:t xml:space="preserve">On the soil side of Eq.~11.9/11.10 the same role played by Frac_GasMS and Frac_LeachMS for managed manure is played by FracGASM and FracLEACH-(H) in IPCC Vol.4 Ch.11 Table 11.3: Frac_GasPRP corresponds to FracGASM (the fraction of applied/deposited N volatilised as NH</w:t>
      </w:r>
      <m:oMath>
        <m:sSub>
          <m:e>
            <m:r>
              <m:t>​</m:t>
            </m:r>
          </m:e>
          <m:sub>
            <m:r>
              <m:t>3</m:t>
            </m:r>
          </m:sub>
        </m:sSub>
      </m:oMath>
      <w:r>
        <w:t xml:space="preserve"> </w:t>
      </w:r>
      <w:r>
        <w:t xml:space="preserve">and NO</w:t>
      </w:r>
      <m:oMath>
        <m:sSub>
          <m:e>
            <m:r>
              <m:t>​</m:t>
            </m:r>
          </m:e>
          <m:sub>
            <m:r>
              <m:t>x</m:t>
            </m:r>
          </m:sub>
        </m:sSub>
      </m:oMath>
      <w:r>
        <w:t xml:space="preserve">) and Frac_LeachPRP corresponds to FracLEACH-(H) (the fraction leached/runoff in regions with annual precipitation exceeding evapotranspiration).</w:t>
      </w:r>
    </w:p>
    <w:p>
      <w:pPr>
        <w:pStyle w:val="BodyText"/>
      </w:pPr>
      <w:r>
        <w:t xml:space="preserve">Per IPCC Vol.4 Ch.11, where evapotranspiration exceeds precipitation, leaching may be assumed not to occur: in the tool,</w:t>
      </w:r>
      <w:r>
        <w:t xml:space="preserve"> </w:t>
      </w:r>
      <w:r>
        <w:t xml:space="preserve"> </w:t>
      </w:r>
      <w:r>
        <w:t xml:space="preserve">may be set equal to zero in those climate cases.</w:t>
      </w:r>
    </w:p>
    <w:bookmarkEnd w:id="32"/>
    <w:bookmarkStart w:id="33" w:name="gwp-based-co_2eq-conversion"/>
    <w:p>
      <w:pPr>
        <w:pStyle w:val="Heading2"/>
      </w:pPr>
      <w:r>
        <w:t xml:space="preserve">GWP-Based CO</w:t>
      </w:r>
      <m:oMath>
        <m:sSub>
          <m:e>
            <m:r>
              <m:t>​</m:t>
            </m:r>
          </m:e>
          <m:sub>
            <m:r>
              <m:t>2</m:t>
            </m:r>
          </m:sub>
        </m:sSub>
      </m:oMath>
      <w:r>
        <w:t xml:space="preserve">eq Conversion</w:t>
      </w:r>
    </w:p>
    <w:p>
      <w:pPr>
        <w:pStyle w:val="FirstParagraph"/>
      </w:pPr>
      <w:r>
        <w:t xml:space="preserve">All emission pathways are converted to CO</w:t>
      </w:r>
      <m:oMath>
        <m:sSub>
          <m:e>
            <m:r>
              <m:t>​</m:t>
            </m:r>
          </m:e>
          <m:sub>
            <m:r>
              <m:t>2</m:t>
            </m:r>
          </m:sub>
        </m:sSub>
      </m:oMath>
      <w:r>
        <w:t xml:space="preserve"> </w:t>
      </w:r>
      <w:r>
        <w:t xml:space="preserve">equivalents using Global Warming Potentials (GWP). The tool supports three IPCC assessment report baselines:</w:t>
      </w:r>
    </w:p>
    <w:p>
      <w:pPr>
        <w:pStyle w:val="BodyText"/>
      </w:pPr>
      <w:r>
        <w:t xml:space="preserve">Total CO</w:t>
      </w:r>
      <m:oMath>
        <m:sSub>
          <m:e>
            <m:r>
              <m:t>​</m:t>
            </m:r>
          </m:e>
          <m:sub>
            <m:r>
              <m:t>2</m:t>
            </m:r>
          </m:sub>
        </m:sSub>
      </m:oMath>
      <w:r>
        <w:t xml:space="preserve">eq = (total CH</w:t>
      </w:r>
      <m:oMath>
        <m:sSub>
          <m:e>
            <m:r>
              <m:t>​</m:t>
            </m:r>
          </m:e>
          <m:sub>
            <m:r>
              <m:t>4</m:t>
            </m:r>
          </m:sub>
        </m:sSub>
      </m:oMath>
      <w:r>
        <w:t xml:space="preserve"> </w:t>
      </w:r>
      <w:r>
        <w:t xml:space="preserve">tonnes</w:t>
      </w:r>
      <w:r>
        <w:t xml:space="preserve"> </w:t>
      </w:r>
      <m:oMath>
        <m:r>
          <m:rPr>
            <m:sty m:val="p"/>
          </m:rPr>
          <m:t>×</m:t>
        </m:r>
      </m:oMath>
      <w:r>
        <w:t xml:space="preserve"> </w:t>
      </w:r>
      <w:r>
        <w:t xml:space="preserve">GWP</w:t>
      </w:r>
      <m:oMath>
        <m:sSub>
          <m:e>
            <m:r>
              <m:t>​</m:t>
            </m:r>
          </m:e>
          <m:sub>
            <m:sSub>
              <m:e>
                <m:r>
                  <m:rPr>
                    <m:nor/>
                    <m:sty m:val="p"/>
                  </m:rPr>
                  <m:t>CH</m:t>
                </m:r>
              </m:e>
              <m:sub>
                <m:r>
                  <m:t>4</m:t>
                </m:r>
              </m:sub>
            </m:sSub>
          </m:sub>
        </m:sSub>
      </m:oMath>
      <w:r>
        <w:t xml:space="preserve">) + (total N</w:t>
      </w:r>
      <m:oMath>
        <m:sSub>
          <m:e>
            <m:r>
              <m:t>​</m:t>
            </m:r>
          </m:e>
          <m:sub>
            <m:r>
              <m:t>2</m:t>
            </m:r>
          </m:sub>
        </m:sSub>
      </m:oMath>
      <w:r>
        <w:t xml:space="preserve">O tonnes</w:t>
      </w:r>
      <w:r>
        <w:t xml:space="preserve"> </w:t>
      </w:r>
      <m:oMath>
        <m:r>
          <m:rPr>
            <m:sty m:val="p"/>
          </m:rPr>
          <m:t>×</m:t>
        </m:r>
      </m:oMath>
      <w:r>
        <w:t xml:space="preserve"> </w:t>
      </w:r>
      <w:r>
        <w:t xml:space="preserve">GWP</w:t>
      </w:r>
      <m:oMath>
        <m:sSub>
          <m:e>
            <m:r>
              <m:t>​</m:t>
            </m:r>
          </m:e>
          <m:sub>
            <m:sSub>
              <m:e>
                <m:r>
                  <m:rPr>
                    <m:nor/>
                    <m:sty m:val="p"/>
                  </m:rPr>
                  <m:t>N</m:t>
                </m:r>
              </m:e>
              <m:sub>
                <m:r>
                  <m:t>2</m:t>
                </m:r>
              </m:sub>
            </m:sSub>
            <m:r>
              <m:rPr>
                <m:nor/>
                <m:sty m:val="p"/>
              </m:rPr>
              <m:t>O</m:t>
            </m:r>
          </m:sub>
        </m:sSub>
      </m:oMath>
      <w:r>
        <w:t xml:space="preserve">).</w:t>
      </w:r>
    </w:p>
    <w:p>
      <w:r>
        <w:br w:type="page"/>
      </w:r>
    </w:p>
    <w:bookmarkEnd w:id="33"/>
    <w:bookmarkEnd w:id="34"/>
    <w:bookmarkStart w:id="40" w:name="monte-carlo-uncertainty-analysis"/>
    <w:p>
      <w:pPr>
        <w:pStyle w:val="Heading1"/>
      </w:pPr>
      <w:r>
        <w:t xml:space="preserve">Monte Carlo Uncertainty Analysis</w:t>
      </w:r>
    </w:p>
    <w:bookmarkStart w:id="35" w:name="ipcc-approach-2-rationale"/>
    <w:p>
      <w:pPr>
        <w:pStyle w:val="Heading2"/>
      </w:pPr>
      <w:r>
        <w:t xml:space="preserve">IPCC Approach 2 Rationale</w:t>
      </w:r>
    </w:p>
    <w:p>
      <w:pPr>
        <w:pStyle w:val="FirstParagraph"/>
      </w:pPr>
      <w:r>
        <w:t xml:space="preserve">The IPCC (2006) Volume 1, Chapter 3 defines two approaches to quantifying inventory uncertainty:</w:t>
      </w:r>
    </w:p>
    <w:p>
      <w:pPr>
        <w:numPr>
          <w:ilvl w:val="0"/>
          <w:numId w:val="1004"/>
        </w:numPr>
      </w:pPr>
      <w:r>
        <w:rPr>
          <w:b/>
          <w:bCs/>
        </w:rPr>
        <w:t xml:space="preserve">Approach 1 (error propagation):</w:t>
      </w:r>
      <w:r>
        <w:t xml:space="preserve"> </w:t>
      </w:r>
      <w:r>
        <w:t xml:space="preserve">Combines individual parameter uncertainties using simple algebraic rules. Suitable when the emission equation is a product or sum of independent terms. Underestimates uncertainty when equations are non-linear or inputs are correlated.</w:t>
      </w:r>
    </w:p>
    <w:p>
      <w:pPr>
        <w:numPr>
          <w:ilvl w:val="0"/>
          <w:numId w:val="1004"/>
        </w:numPr>
      </w:pPr>
      <w:r>
        <w:rPr>
          <w:b/>
          <w:bCs/>
        </w:rPr>
        <w:t xml:space="preserve">Approach 2 (Monte Carlo simulation):</w:t>
      </w:r>
      <w:r>
        <w:t xml:space="preserve"> </w:t>
      </w:r>
      <w:r>
        <w:t xml:space="preserve">Propagates uncertainty through the full equation chain by repeatedly sampling all parameters from their distributions. Exact for any equation structure. Recommended for Tier 2 livestock inventories because the GE equation chain is non-linear in</w:t>
      </w:r>
      <w:r>
        <w:t xml:space="preserve"> </w:t>
      </w:r>
      <m:oMath>
        <m:r>
          <m:t>B</m:t>
        </m:r>
        <m:r>
          <m:t>W</m:t>
        </m:r>
      </m:oMath>
      <w:r>
        <w:t xml:space="preserve">,</w:t>
      </w:r>
      <w:r>
        <w:t xml:space="preserve"> </w:t>
      </w:r>
      <m:oMath>
        <m:r>
          <m:t>W</m:t>
        </m:r>
        <m:r>
          <m:t>G</m:t>
        </m:r>
      </m:oMath>
      <w:r>
        <w:t xml:space="preserve">, and</w:t>
      </w:r>
      <w:r>
        <w:t xml:space="preserve"> </w:t>
      </w:r>
      <m:oMath>
        <m:r>
          <m:t>D</m:t>
        </m:r>
        <m:sSub>
          <m:e>
            <m:r>
              <m:t>E</m:t>
            </m:r>
          </m:e>
          <m:sub>
            <m:r>
              <m:rPr>
                <m:sty m:val="p"/>
              </m:rPr>
              <m:t>%</m:t>
            </m:r>
          </m:sub>
        </m:sSub>
      </m:oMath>
      <w:r>
        <w:t xml:space="preserve">.</w:t>
      </w:r>
    </w:p>
    <w:p>
      <w:pPr>
        <w:pStyle w:val="FirstParagraph"/>
      </w:pPr>
      <w:r>
        <w:t xml:space="preserve">This tool implements Approach 2. The simulation samples all input parameters simultaneously for each iteration, evaluates the full equation chain from</w:t>
      </w:r>
      <w:r>
        <w:t xml:space="preserve"> </w:t>
      </w:r>
      <m:oMath>
        <m:r>
          <m:t>N</m:t>
        </m:r>
        <m:sSub>
          <m:e>
            <m:r>
              <m:t>E</m:t>
            </m:r>
          </m:e>
          <m:sub>
            <m:r>
              <m:t>m</m:t>
            </m:r>
          </m:sub>
        </m:sSub>
      </m:oMath>
      <w:r>
        <w:t xml:space="preserve"> </w:t>
      </w:r>
      <w:r>
        <w:t xml:space="preserve">through to total CO</w:t>
      </w:r>
      <m:oMath>
        <m:sSub>
          <m:e>
            <m:r>
              <m:t>​</m:t>
            </m:r>
          </m:e>
          <m:sub>
            <m:r>
              <m:t>2</m:t>
            </m:r>
          </m:sub>
        </m:sSub>
      </m:oMath>
      <w:r>
        <w:t xml:space="preserve">eq, and records the output. The resulting distribution of outputs characterises the uncertainty.</w:t>
      </w:r>
    </w:p>
    <w:bookmarkEnd w:id="35"/>
    <w:bookmarkStart w:id="36" w:name="probability-distributions"/>
    <w:p>
      <w:pPr>
        <w:pStyle w:val="Heading2"/>
      </w:pPr>
      <w:r>
        <w:t xml:space="preserve">Probability Distributions</w:t>
      </w:r>
    </w:p>
    <w:p>
      <w:pPr>
        <w:pStyle w:val="FirstParagraph"/>
      </w:pPr>
      <w:r>
        <w:t xml:space="preserve">Each parameter is assigned a probability distribution reflecting the state of knowledge about its true value. The tool supports:</w:t>
      </w:r>
    </w:p>
    <w:p>
      <w:pPr>
        <w:pStyle w:val="BodyText"/>
      </w:pPr>
      <w:r>
        <w:t xml:space="preserve">When the user supplies</w:t>
      </w:r>
      <w:r>
        <w:t xml:space="preserve"> </w:t>
      </w:r>
      <w:r>
        <w:rPr>
          <w:rStyle w:val="VerbatimChar"/>
        </w:rPr>
        <w:t xml:space="preserve">uncertainty_pct</w:t>
      </w:r>
      <w:r>
        <w:t xml:space="preserve"> </w:t>
      </w:r>
      <w:r>
        <w:t xml:space="preserve">(a symmetric 95% half-width as a percentage of the mean), the tool derives the distribution parameters as:</w:t>
      </w:r>
    </w:p>
    <w:p>
      <w:pPr>
        <w:pStyle w:val="BodyText"/>
      </w:pPr>
      <m:oMathPara>
        <m:oMathParaPr>
          <m:jc m:val="center"/>
        </m:oMathParaPr>
        <m:oMath>
          <m:r>
            <m:t>σ</m:t>
          </m:r>
          <m:r>
            <m:rPr>
              <m:sty m:val="p"/>
            </m:rPr>
            <m:t>=</m:t>
          </m:r>
          <m:f>
            <m:fPr>
              <m:type m:val="bar"/>
            </m:fPr>
            <m:num>
              <m:r>
                <m:rPr>
                  <m:nor/>
                  <m:sty m:val="p"/>
                </m:rPr>
                <m:t>uncertainty_pct</m:t>
              </m:r>
              <m:r>
                <m:rPr>
                  <m:sty m:val="p"/>
                </m:rPr>
                <m:t>×</m:t>
              </m:r>
              <m:r>
                <m:t>μ</m:t>
              </m:r>
            </m:num>
            <m:den>
              <m:r>
                <m:t>100</m:t>
              </m:r>
              <m:r>
                <m:rPr>
                  <m:sty m:val="p"/>
                </m:rPr>
                <m:t>×</m:t>
              </m:r>
              <m:r>
                <m:t>1.96</m:t>
              </m:r>
            </m:den>
          </m:f>
        </m:oMath>
      </m:oMathPara>
    </w:p>
    <w:p>
      <w:pPr>
        <w:pStyle w:val="FirstParagraph"/>
      </w:pPr>
      <w:r>
        <w:t xml:space="preserve">for a normal distribution, or equivalent transformations for lognormal and PERT.</w:t>
      </w:r>
    </w:p>
    <w:bookmarkEnd w:id="36"/>
    <w:bookmarkStart w:id="37" w:name="correlated-sampling"/>
    <w:p>
      <w:pPr>
        <w:pStyle w:val="Heading2"/>
      </w:pPr>
      <w:r>
        <w:t xml:space="preserve">Correlated Sampling</w:t>
      </w:r>
    </w:p>
    <w:p>
      <w:pPr>
        <w:pStyle w:val="FirstParagraph"/>
      </w:pPr>
      <w:r>
        <w:t xml:space="preserve">When parameters are correlated (e.g. body weight and mature weight are positively correlated; diet quality and methane conversion factor may be negatively correlated), ignoring correlation underestimates or overestimates combined uncertainty. The tool applies the same correlated-sampling procedure to every path that supplies a correlation matrix: the structural-defaults preset, a manually uploaded matrix, and the matrix estimated automatically from a time-series upload all flow through the same algorithm.</w:t>
      </w:r>
    </w:p>
    <w:p>
      <w:pPr>
        <w:pStyle w:val="BodyText"/>
      </w:pPr>
      <w:r>
        <w:t xml:space="preserve"> </w:t>
      </w:r>
      <w:r>
        <w:t xml:space="preserve">(per IPCC Volume 1 Chapter 3 §3.2.3.2):</w:t>
      </w:r>
    </w:p>
    <w:p>
      <w:pPr>
        <w:pStyle w:val="Compact"/>
        <w:numPr>
          <w:ilvl w:val="0"/>
          <w:numId w:val="1005"/>
        </w:numPr>
      </w:pPr>
      <w:r>
        <w:t xml:space="preserve">For each parameter</w:t>
      </w:r>
      <w:r>
        <w:t xml:space="preserve"> </w:t>
      </w:r>
      <m:oMath>
        <m:r>
          <m:t>j</m:t>
        </m:r>
      </m:oMath>
      <w:r>
        <w:t xml:space="preserve">, draw</w:t>
      </w:r>
      <w:r>
        <w:t xml:space="preserve"> </w:t>
      </w:r>
      <m:oMath>
        <m:sSub>
          <m:e>
            <m:r>
              <m:t>n</m:t>
            </m:r>
          </m:e>
          <m:sub>
            <m:r>
              <m:rPr>
                <m:nor/>
                <m:sty m:val="p"/>
              </m:rPr>
              <m:t>iter</m:t>
            </m:r>
          </m:sub>
        </m:sSub>
      </m:oMath>
      <w:r>
        <w:t xml:space="preserve"> </w:t>
      </w:r>
      <w:r>
        <w:t xml:space="preserve">independent samples from the parameter’s own marginal distribution (normal, PERT, lognormal, beta, triangular, uniform, or constant, exactly as specified in the template).</w:t>
      </w:r>
    </w:p>
    <w:p>
      <w:pPr>
        <w:pStyle w:val="Compact"/>
        <w:numPr>
          <w:ilvl w:val="0"/>
          <w:numId w:val="1005"/>
        </w:numPr>
      </w:pPr>
      <w:r>
        <w:t xml:space="preserve">Reorder the columns of the resulting</w:t>
      </w:r>
      <w:r>
        <w:t xml:space="preserve"> </w:t>
      </w:r>
      <m:oMath>
        <m:sSub>
          <m:e>
            <m:r>
              <m:t>n</m:t>
            </m:r>
          </m:e>
          <m:sub>
            <m:r>
              <m:rPr>
                <m:nor/>
                <m:sty m:val="p"/>
              </m:rPr>
              <m:t>iter</m:t>
            </m:r>
          </m:sub>
        </m:sSub>
        <m:r>
          <m:rPr>
            <m:sty m:val="p"/>
          </m:rPr>
          <m:t>×</m:t>
        </m:r>
        <m:r>
          <m:t>p</m:t>
        </m:r>
      </m:oMath>
      <w:r>
        <w:t xml:space="preserve"> </w:t>
      </w:r>
      <w:r>
        <w:t xml:space="preserve">sample matrix so that the realised Spearman rank correlation between columns matches the target matrix</w:t>
      </w:r>
      <w:r>
        <w:t xml:space="preserve"> </w:t>
      </w:r>
      <m:oMath>
        <m:r>
          <m:rPr>
            <m:sty m:val="b"/>
          </m:rPr>
          <m:t>Σ</m:t>
        </m:r>
      </m:oMath>
      <w:r>
        <w:t xml:space="preserve"> </w:t>
      </w:r>
      <w:r>
        <w:t xml:space="preserve">(implemented via</w:t>
      </w:r>
      <w:r>
        <w:t xml:space="preserve"> </w:t>
      </w:r>
      <w:r>
        <w:t xml:space="preserve">, which performs the restricted-pairing operation IPCC §3.2.3.2 cites under ``restricted pairing methods that are included in many software packages’’).</w:t>
      </w:r>
    </w:p>
    <w:p>
      <w:pPr>
        <w:pStyle w:val="FirstParagraph"/>
      </w:pPr>
      <w:r>
        <w:t xml:space="preserve">This procedure is distribution-free: the marginal shapes are preserved exactly, regardless of whether the user has mixed normal / lognormal / PERT / beta parameters in the same correlation block. The target</w:t>
      </w:r>
      <w:r>
        <w:t xml:space="preserve"> </w:t>
      </w:r>
      <m:oMath>
        <m:r>
          <m:rPr>
            <m:sty m:val="b"/>
          </m:rPr>
          <m:t>Σ</m:t>
        </m:r>
      </m:oMath>
      <w:r>
        <w:t xml:space="preserve"> </w:t>
      </w:r>
      <w:r>
        <w:t xml:space="preserve">is interpreted as a Spearman rank correlation matrix throughout, the same convention the time-series matrix is computed under (Spearman rank correlation of the user’s annual values, after detrending; see Section ``Correlation Structure’’).</w:t>
      </w:r>
    </w:p>
    <w:p>
      <w:pPr>
        <w:pStyle w:val="BodyText"/>
      </w:pPr>
      <w:r>
        <w:t xml:space="preserve">If</w:t>
      </w:r>
      <w:r>
        <w:t xml:space="preserve"> </w:t>
      </w:r>
      <m:oMath>
        <m:r>
          <m:rPr>
            <m:sty m:val="b"/>
          </m:rPr>
          <m:t>Σ</m:t>
        </m:r>
      </m:oMath>
      <w:r>
        <w:t xml:space="preserve"> </w:t>
      </w:r>
      <w:r>
        <w:t xml:space="preserve">is not positive definite (e.g. a manually entered matrix that turns out to be inconsistent), the tool projects it onto the nearest positive-definite correlation matrix via</w:t>
      </w:r>
      <w:r>
        <w:t xml:space="preserve"> </w:t>
      </w:r>
      <w:r>
        <w:t xml:space="preserve"> </w:t>
      </w:r>
      <w:r>
        <w:t xml:space="preserve">and emits a warning whenever any individual entry is shifted by more than 0.01. The tool does</w:t>
      </w:r>
      <w:r>
        <w:t xml:space="preserve"> </w:t>
      </w:r>
      <w:r>
        <w:t xml:space="preserve"> </w:t>
      </w:r>
      <w:r>
        <w:t xml:space="preserve">silently fall back to uncorrelated sampling.</w:t>
      </w:r>
    </w:p>
    <w:p>
      <w:pPr>
        <w:pStyle w:val="BodyText"/>
      </w:pPr>
      <w:r>
        <w:t xml:space="preserve">The tool supports both within-block and across-block correlations. The default scope is independence; a single unified correlation matrix spanning AD + coefficients is used whenever cross-block pairs are specified.</w:t>
      </w:r>
    </w:p>
    <w:bookmarkEnd w:id="37"/>
    <w:bookmarkStart w:id="38" w:name="simulation-procedure"/>
    <w:p>
      <w:pPr>
        <w:pStyle w:val="Heading2"/>
      </w:pPr>
      <w:r>
        <w:t xml:space="preserve">Simulation Procedure</w:t>
      </w:r>
    </w:p>
    <w:p>
      <w:pPr>
        <w:pStyle w:val="FirstParagraph"/>
      </w:pPr>
      <w:r>
        <w:t xml:space="preserve">For each Monte Carlo iteration</w:t>
      </w:r>
      <w:r>
        <w:t xml:space="preserve"> </w:t>
      </w:r>
      <m:oMath>
        <m:r>
          <m:t>i</m:t>
        </m:r>
        <m:r>
          <m:rPr>
            <m:sty m:val="p"/>
          </m:rPr>
          <m:t>=</m:t>
        </m:r>
        <m:r>
          <m:t>1</m:t>
        </m:r>
        <m:r>
          <m:rPr>
            <m:sty m:val="p"/>
          </m:rPr>
          <m:t>,</m:t>
        </m:r>
        <m:r>
          <m:rPr>
            <m:sty m:val="p"/>
          </m:rPr>
          <m:t>…</m:t>
        </m:r>
        <m:r>
          <m:rPr>
            <m:sty m:val="p"/>
          </m:rPr>
          <m:t>,</m:t>
        </m:r>
        <m:sSub>
          <m:e>
            <m:r>
              <m:t>n</m:t>
            </m:r>
          </m:e>
          <m:sub>
            <m:r>
              <m:rPr>
                <m:nor/>
                <m:sty m:val="p"/>
              </m:rPr>
              <m:t>iter</m:t>
            </m:r>
          </m:sub>
        </m:sSub>
      </m:oMath>
      <w:r>
        <w:t xml:space="preserve">:</w:t>
      </w:r>
    </w:p>
    <w:p>
      <w:pPr>
        <w:pStyle w:val="Compact"/>
        <w:numPr>
          <w:ilvl w:val="0"/>
          <w:numId w:val="1006"/>
        </w:numPr>
      </w:pPr>
      <w:r>
        <w:t xml:space="preserve">Sample all parameters from their distributions (with correlation structure if supplied).</w:t>
      </w:r>
    </w:p>
    <w:p>
      <w:pPr>
        <w:pStyle w:val="Compact"/>
        <w:numPr>
          <w:ilvl w:val="0"/>
          <w:numId w:val="1006"/>
        </w:numPr>
      </w:pPr>
      <w:r>
        <w:t xml:space="preserve">For each cattle sub-category</w:t>
      </w:r>
      <w:r>
        <w:t xml:space="preserve"> </w:t>
      </w:r>
      <m:oMath>
        <m:r>
          <m:t>k</m:t>
        </m:r>
      </m:oMath>
      <w:r>
        <w:t xml:space="preserve">:</w:t>
      </w:r>
    </w:p>
    <w:p>
      <w:pPr>
        <w:pStyle w:val="Compact"/>
        <w:numPr>
          <w:ilvl w:val="1"/>
          <w:numId w:val="1007"/>
        </w:numPr>
      </w:pPr>
      <w:r>
        <w:t xml:space="preserve">Compute</w:t>
      </w:r>
      <w:r>
        <w:t xml:space="preserve"> </w:t>
      </w:r>
      <m:oMath>
        <m:r>
          <m:t>N</m:t>
        </m:r>
        <m:sSubSup>
          <m:e>
            <m:r>
              <m:t>E</m:t>
            </m:r>
          </m:e>
          <m:sub>
            <m:r>
              <m:t>m</m:t>
            </m:r>
          </m:sub>
          <m:sup>
            <m:r>
              <m:rPr>
                <m:sty m:val="p"/>
              </m:rPr>
              <m:t>(</m:t>
            </m:r>
            <m:r>
              <m:t>k</m:t>
            </m:r>
            <m:r>
              <m:rPr>
                <m:sty m:val="p"/>
              </m:rPr>
              <m:t>)</m:t>
            </m:r>
          </m:sup>
        </m:sSubSup>
      </m:oMath>
      <w:r>
        <w:t xml:space="preserve">,</w:t>
      </w:r>
      <w:r>
        <w:t xml:space="preserve"> </w:t>
      </w:r>
      <m:oMath>
        <m:r>
          <m:t>N</m:t>
        </m:r>
        <m:sSubSup>
          <m:e>
            <m:r>
              <m:t>E</m:t>
            </m:r>
          </m:e>
          <m:sub>
            <m:r>
              <m:t>a</m:t>
            </m:r>
          </m:sub>
          <m:sup>
            <m:r>
              <m:rPr>
                <m:sty m:val="p"/>
              </m:rPr>
              <m:t>(</m:t>
            </m:r>
            <m:r>
              <m:t>k</m:t>
            </m:r>
            <m:r>
              <m:rPr>
                <m:sty m:val="p"/>
              </m:rPr>
              <m:t>)</m:t>
            </m:r>
          </m:sup>
        </m:sSubSup>
      </m:oMath>
      <w:r>
        <w:t xml:space="preserve">,</w:t>
      </w:r>
      <w:r>
        <w:t xml:space="preserve"> </w:t>
      </w:r>
      <m:oMath>
        <m:r>
          <m:t>N</m:t>
        </m:r>
        <m:sSubSup>
          <m:e>
            <m:r>
              <m:t>E</m:t>
            </m:r>
          </m:e>
          <m:sub>
            <m:r>
              <m:t>g</m:t>
            </m:r>
          </m:sub>
          <m:sup>
            <m:r>
              <m:rPr>
                <m:sty m:val="p"/>
              </m:rPr>
              <m:t>(</m:t>
            </m:r>
            <m:r>
              <m:t>k</m:t>
            </m:r>
            <m:r>
              <m:rPr>
                <m:sty m:val="p"/>
              </m:rPr>
              <m:t>)</m:t>
            </m:r>
          </m:sup>
        </m:sSubSup>
      </m:oMath>
      <w:r>
        <w:t xml:space="preserve">,</w:t>
      </w:r>
      <w:r>
        <w:t xml:space="preserve"> </w:t>
      </w:r>
      <m:oMath>
        <m:r>
          <m:t>N</m:t>
        </m:r>
        <m:sSubSup>
          <m:e>
            <m:r>
              <m:t>E</m:t>
            </m:r>
          </m:e>
          <m:sub>
            <m:r>
              <m:t>l</m:t>
            </m:r>
          </m:sub>
          <m:sup>
            <m:r>
              <m:rPr>
                <m:sty m:val="p"/>
              </m:rPr>
              <m:t>(</m:t>
            </m:r>
            <m:r>
              <m:t>k</m:t>
            </m:r>
            <m:r>
              <m:rPr>
                <m:sty m:val="p"/>
              </m:rPr>
              <m:t>)</m:t>
            </m:r>
          </m:sup>
        </m:sSubSup>
      </m:oMath>
      <w:r>
        <w:t xml:space="preserve">,</w:t>
      </w:r>
      <w:r>
        <w:t xml:space="preserve"> </w:t>
      </w:r>
      <m:oMath>
        <m:r>
          <m:t>N</m:t>
        </m:r>
        <m:sSubSup>
          <m:e>
            <m:r>
              <m:t>E</m:t>
            </m:r>
          </m:e>
          <m:sub>
            <m:r>
              <m:t>w</m:t>
            </m:r>
          </m:sub>
          <m:sup>
            <m:r>
              <m:rPr>
                <m:sty m:val="p"/>
              </m:rPr>
              <m:t>(</m:t>
            </m:r>
            <m:r>
              <m:t>k</m:t>
            </m:r>
            <m:r>
              <m:rPr>
                <m:sty m:val="p"/>
              </m:rPr>
              <m:t>)</m:t>
            </m:r>
          </m:sup>
        </m:sSubSup>
      </m:oMath>
      <w:r>
        <w:t xml:space="preserve">,</w:t>
      </w:r>
      <w:r>
        <w:t xml:space="preserve"> </w:t>
      </w:r>
      <m:oMath>
        <m:r>
          <m:t>N</m:t>
        </m:r>
        <m:sSubSup>
          <m:e>
            <m:r>
              <m:t>E</m:t>
            </m:r>
          </m:e>
          <m:sub>
            <m:r>
              <m:t>p</m:t>
            </m:r>
          </m:sub>
          <m:sup>
            <m:r>
              <m:rPr>
                <m:sty m:val="p"/>
              </m:rPr>
              <m:t>(</m:t>
            </m:r>
            <m:r>
              <m:t>k</m:t>
            </m:r>
            <m:r>
              <m:rPr>
                <m:sty m:val="p"/>
              </m:rPr>
              <m:t>)</m:t>
            </m:r>
          </m:sup>
        </m:sSubSup>
      </m:oMath>
      <w:r>
        <w:t xml:space="preserve">.</w:t>
      </w:r>
    </w:p>
    <w:p>
      <w:pPr>
        <w:pStyle w:val="Compact"/>
        <w:numPr>
          <w:ilvl w:val="1"/>
          <w:numId w:val="1007"/>
        </w:numPr>
      </w:pPr>
      <w:r>
        <w:t xml:space="preserve">Compute</w:t>
      </w:r>
      <w:r>
        <w:t xml:space="preserve"> </w:t>
      </w:r>
      <m:oMath>
        <m:r>
          <m:t>R</m:t>
        </m:r>
        <m:r>
          <m:t>E</m:t>
        </m:r>
        <m:sSup>
          <m:e>
            <m:r>
              <m:t>M</m:t>
            </m:r>
          </m:e>
          <m:sup>
            <m:r>
              <m:rPr>
                <m:sty m:val="p"/>
              </m:rPr>
              <m:t>(</m:t>
            </m:r>
            <m:r>
              <m:t>k</m:t>
            </m:r>
            <m:r>
              <m:rPr>
                <m:sty m:val="p"/>
              </m:rPr>
              <m:t>)</m:t>
            </m:r>
          </m:sup>
        </m:sSup>
      </m:oMath>
      <w:r>
        <w:t xml:space="preserve"> </w:t>
      </w:r>
      <w:r>
        <w:t xml:space="preserve">and</w:t>
      </w:r>
      <w:r>
        <w:t xml:space="preserve"> </w:t>
      </w:r>
      <m:oMath>
        <m:r>
          <m:t>R</m:t>
        </m:r>
        <m:r>
          <m:t>E</m:t>
        </m:r>
        <m:sSup>
          <m:e>
            <m:r>
              <m:t>G</m:t>
            </m:r>
          </m:e>
          <m:sup>
            <m:r>
              <m:rPr>
                <m:sty m:val="p"/>
              </m:rPr>
              <m:t>(</m:t>
            </m:r>
            <m:r>
              <m:t>k</m:t>
            </m:r>
            <m:r>
              <m:rPr>
                <m:sty m:val="p"/>
              </m:rPr>
              <m:t>)</m:t>
            </m:r>
          </m:sup>
        </m:sSup>
      </m:oMath>
      <w:r>
        <w:t xml:space="preserve"> </w:t>
      </w:r>
      <w:r>
        <w:t xml:space="preserve">from</w:t>
      </w:r>
      <w:r>
        <w:t xml:space="preserve"> </w:t>
      </w:r>
      <m:oMath>
        <m:r>
          <m:t>D</m:t>
        </m:r>
        <m:sSubSup>
          <m:e>
            <m:r>
              <m:t>E</m:t>
            </m:r>
          </m:e>
          <m:sub>
            <m:r>
              <m:rPr>
                <m:sty m:val="p"/>
              </m:rPr>
              <m:t>%</m:t>
            </m:r>
          </m:sub>
          <m:sup>
            <m:r>
              <m:rPr>
                <m:sty m:val="p"/>
              </m:rPr>
              <m:t>(</m:t>
            </m:r>
            <m:r>
              <m:t>k</m:t>
            </m:r>
            <m:r>
              <m:rPr>
                <m:sty m:val="p"/>
              </m:rPr>
              <m:t>)</m:t>
            </m:r>
          </m:sup>
        </m:sSubSup>
      </m:oMath>
      <w:r>
        <w:t xml:space="preserve">.</w:t>
      </w:r>
    </w:p>
    <w:p>
      <w:pPr>
        <w:pStyle w:val="Compact"/>
        <w:numPr>
          <w:ilvl w:val="1"/>
          <w:numId w:val="1007"/>
        </w:numPr>
      </w:pPr>
      <w:r>
        <w:t xml:space="preserve">Compute</w:t>
      </w:r>
      <w:r>
        <w:t xml:space="preserve"> </w:t>
      </w:r>
      <m:oMath>
        <m:r>
          <m:t>G</m:t>
        </m:r>
        <m:sSup>
          <m:e>
            <m:r>
              <m:t>E</m:t>
            </m:r>
          </m:e>
          <m:sup>
            <m:r>
              <m:rPr>
                <m:sty m:val="p"/>
              </m:rPr>
              <m:t>(</m:t>
            </m:r>
            <m:r>
              <m:t>k</m:t>
            </m:r>
            <m:r>
              <m:rPr>
                <m:sty m:val="p"/>
              </m:rPr>
              <m:t>)</m:t>
            </m:r>
          </m:sup>
        </m:sSup>
      </m:oMath>
      <w:r>
        <w:t xml:space="preserve">,</w:t>
      </w:r>
      <w:r>
        <w:t xml:space="preserve"> </w:t>
      </w:r>
      <m:oMath>
        <m:r>
          <m:t>E</m:t>
        </m:r>
        <m:sSubSup>
          <m:e>
            <m:r>
              <m:t>F</m:t>
            </m:r>
          </m:e>
          <m:sub>
            <m:r>
              <m:t>1</m:t>
            </m:r>
          </m:sub>
          <m:sup>
            <m:r>
              <m:rPr>
                <m:sty m:val="p"/>
              </m:rPr>
              <m:t>(</m:t>
            </m:r>
            <m:r>
              <m:t>k</m:t>
            </m:r>
            <m:r>
              <m:rPr>
                <m:sty m:val="p"/>
              </m:rPr>
              <m:t>)</m:t>
            </m:r>
          </m:sup>
        </m:sSubSup>
      </m:oMath>
      <w:r>
        <w:t xml:space="preserve">,</w:t>
      </w:r>
      <w:r>
        <w:t xml:space="preserve"> </w:t>
      </w:r>
      <m:oMath>
        <m:sSubSup>
          <m:e>
            <m:r>
              <m:t>N</m:t>
            </m:r>
          </m:e>
          <m:sub>
            <m:r>
              <m:rPr>
                <m:nor/>
                <m:sty m:val="p"/>
              </m:rPr>
              <m:t>ex</m:t>
            </m:r>
          </m:sub>
          <m:sup>
            <m:r>
              <m:rPr>
                <m:sty m:val="p"/>
              </m:rPr>
              <m:t>(</m:t>
            </m:r>
            <m:r>
              <m:t>k</m:t>
            </m:r>
            <m:r>
              <m:rPr>
                <m:sty m:val="p"/>
              </m:rPr>
              <m:t>)</m:t>
            </m:r>
          </m:sup>
        </m:sSubSup>
      </m:oMath>
      <w:r>
        <w:t xml:space="preserve">,</w:t>
      </w:r>
      <w:r>
        <w:t xml:space="preserve"> </w:t>
      </w:r>
      <m:oMath>
        <m:r>
          <m:t>V</m:t>
        </m:r>
        <m:sSup>
          <m:e>
            <m:r>
              <m:t>S</m:t>
            </m:r>
          </m:e>
          <m:sup>
            <m:r>
              <m:rPr>
                <m:sty m:val="p"/>
              </m:rPr>
              <m:t>(</m:t>
            </m:r>
            <m:r>
              <m:t>k</m:t>
            </m:r>
            <m:r>
              <m:rPr>
                <m:sty m:val="p"/>
              </m:rPr>
              <m:t>)</m:t>
            </m:r>
          </m:sup>
        </m:sSup>
      </m:oMath>
      <w:r>
        <w:t xml:space="preserve">.</w:t>
      </w:r>
    </w:p>
    <w:p>
      <w:pPr>
        <w:pStyle w:val="Compact"/>
        <w:numPr>
          <w:ilvl w:val="1"/>
          <w:numId w:val="1007"/>
        </w:numPr>
      </w:pPr>
      <w:r>
        <w:t xml:space="preserve">Compute emission totals for all six pathways.</w:t>
      </w:r>
    </w:p>
    <w:p>
      <w:pPr>
        <w:pStyle w:val="Compact"/>
        <w:numPr>
          <w:ilvl w:val="0"/>
          <w:numId w:val="1006"/>
        </w:numPr>
      </w:pPr>
      <w:r>
        <w:t xml:space="preserve">Sum across all sub-categories to obtain national pathway totals and total CO</w:t>
      </w:r>
      <m:oMath>
        <m:sSub>
          <m:e>
            <m:r>
              <m:t>​</m:t>
            </m:r>
          </m:e>
          <m:sub>
            <m:r>
              <m:t>2</m:t>
            </m:r>
          </m:sub>
        </m:sSub>
      </m:oMath>
      <w:r>
        <w:t xml:space="preserve">eq.</w:t>
      </w:r>
    </w:p>
    <w:p>
      <w:pPr>
        <w:pStyle w:val="Compact"/>
        <w:numPr>
          <w:ilvl w:val="0"/>
          <w:numId w:val="1006"/>
        </w:numPr>
      </w:pPr>
      <w:r>
        <w:t xml:space="preserve">Record all outputs for iteration</w:t>
      </w:r>
      <w:r>
        <w:t xml:space="preserve"> </w:t>
      </w:r>
      <m:oMath>
        <m:r>
          <m:t>i</m:t>
        </m:r>
      </m:oMath>
      <w:r>
        <w:t xml:space="preserve">.</w:t>
      </w:r>
    </w:p>
    <w:p>
      <w:pPr>
        <w:pStyle w:val="FirstParagraph"/>
      </w:pPr>
      <w:r>
        <w:t xml:space="preserve">After all iterations, compute summary statistics from the distribution of recorded outputs.</w:t>
      </w:r>
    </w:p>
    <w:bookmarkEnd w:id="38"/>
    <w:bookmarkStart w:id="39" w:name="X47b7ed686ccf393c1d1bb79c4a0478440b4b498"/>
    <w:p>
      <w:pPr>
        <w:pStyle w:val="Heading2"/>
      </w:pPr>
      <w:r>
        <w:t xml:space="preserve">Recommended Iteration Count and Convergence</w:t>
      </w:r>
    </w:p>
    <w:p>
      <w:pPr>
        <w:pStyle w:val="FirstParagraph"/>
      </w:pPr>
      <w:r>
        <w:t xml:space="preserve">Monte Carlo estimates converge as</w:t>
      </w:r>
      <w:r>
        <w:t xml:space="preserve"> </w:t>
      </w:r>
      <m:oMath>
        <m:sSub>
          <m:e>
            <m:r>
              <m:t>n</m:t>
            </m:r>
          </m:e>
          <m:sub>
            <m:r>
              <m:rPr>
                <m:nor/>
                <m:sty m:val="p"/>
              </m:rPr>
              <m:t>iter</m:t>
            </m:r>
          </m:sub>
        </m:sSub>
        <m:r>
          <m:rPr>
            <m:sty m:val="p"/>
          </m:rPr>
          <m:t>→</m:t>
        </m:r>
        <m:r>
          <m:rPr>
            <m:sty m:val="p"/>
          </m:rPr>
          <m:t>∞</m:t>
        </m:r>
      </m:oMath>
      <w:r>
        <w:t xml:space="preserve">. For practical use:</w:t>
      </w:r>
    </w:p>
    <w:p>
      <w:pPr>
        <w:pStyle w:val="Compact"/>
        <w:numPr>
          <w:ilvl w:val="0"/>
          <w:numId w:val="1008"/>
        </w:numPr>
      </w:pPr>
      <w:r>
        <w:rPr>
          <w:b/>
          <w:bCs/>
        </w:rPr>
        <w:t xml:space="preserve">1,000 iterations</w:t>
      </w:r>
      <w:r>
        <w:t xml:space="preserve">: suitable only for a quick test run to verify the model runs without errors. Do not report results from 1,000 iterations.</w:t>
      </w:r>
    </w:p>
    <w:p>
      <w:pPr>
        <w:pStyle w:val="Compact"/>
        <w:numPr>
          <w:ilvl w:val="0"/>
          <w:numId w:val="1008"/>
        </w:numPr>
      </w:pPr>
      <w:r>
        <w:rPr>
          <w:b/>
          <w:bCs/>
        </w:rPr>
        <w:t xml:space="preserve">10,000 iterations</w:t>
      </w:r>
      <w:r>
        <w:t xml:space="preserve">: minimum recommended for any result intended for use. Convergence is generally adequate for inventories with up to 5 sub-categories and 30 parameters.</w:t>
      </w:r>
    </w:p>
    <w:p>
      <w:pPr>
        <w:pStyle w:val="Compact"/>
        <w:numPr>
          <w:ilvl w:val="0"/>
          <w:numId w:val="1008"/>
        </w:numPr>
      </w:pPr>
      <w:r>
        <w:rPr>
          <w:b/>
          <w:bCs/>
        </w:rPr>
        <w:t xml:space="preserve">25,000–30,000 iterations</w:t>
      </w:r>
      <w:r>
        <w:t xml:space="preserve">: recommended for final reporting, especially when correlations are enabled or the inventory has many sub-categories or asymmetric distributions.</w:t>
      </w:r>
    </w:p>
    <w:p>
      <w:pPr>
        <w:pStyle w:val="Compact"/>
        <w:numPr>
          <w:ilvl w:val="0"/>
          <w:numId w:val="1008"/>
        </w:numPr>
      </w:pPr>
      <w:r>
        <w:rPr>
          <w:b/>
          <w:bCs/>
        </w:rPr>
        <w:t xml:space="preserve">50,000 iterations</w:t>
      </w:r>
      <w:r>
        <w:t xml:space="preserve">: high-precision run; use when the 95% CI bounds need to be stable to two significant figures.</w:t>
      </w:r>
    </w:p>
    <w:p>
      <w:pPr>
        <w:pStyle w:val="FirstParagraph"/>
      </w:pPr>
      <w:r>
        <w:rPr>
          <w:b/>
          <w:bCs/>
        </w:rPr>
        <w:t xml:space="preserve">Convergence check:</w:t>
      </w:r>
      <w:r>
        <w:t xml:space="preserve"> </w:t>
      </w:r>
      <w:r>
        <w:t xml:space="preserve">Re-run with a different random seed (e.g. 123 and 456). If the 95% MoE changes by more than 1–2 percentage points, increase the number of iterations.</w:t>
      </w:r>
    </w:p>
    <w:p>
      <w:r>
        <w:br w:type="page"/>
      </w:r>
    </w:p>
    <w:bookmarkEnd w:id="39"/>
    <w:bookmarkEnd w:id="40"/>
    <w:bookmarkStart w:id="45" w:name="uncertainty-metrics"/>
    <w:p>
      <w:pPr>
        <w:pStyle w:val="Heading1"/>
      </w:pPr>
      <w:r>
        <w:t xml:space="preserve">Uncertainty Metrics</w:t>
      </w:r>
    </w:p>
    <w:p>
      <w:pPr>
        <w:pStyle w:val="FirstParagraph"/>
      </w:pPr>
      <w:r>
        <w:t xml:space="preserve">The following metrics are reported for each emission pathway and for the total CO</w:t>
      </w:r>
      <m:oMath>
        <m:sSub>
          <m:e>
            <m:r>
              <m:t>​</m:t>
            </m:r>
          </m:e>
          <m:sub>
            <m:r>
              <m:t>2</m:t>
            </m:r>
          </m:sub>
        </m:sSub>
      </m:oMath>
      <w:r>
        <w:t xml:space="preserve">eq:</w:t>
      </w:r>
    </w:p>
    <w:bookmarkStart w:id="41" w:name="confidence-interval"/>
    <w:p>
      <w:pPr>
        <w:pStyle w:val="Heading2"/>
      </w:pPr>
      <w:r>
        <w:t xml:space="preserve">95% Confidence Interval</w:t>
      </w:r>
    </w:p>
    <w:p>
      <w:pPr>
        <w:pStyle w:val="FirstParagraph"/>
      </w:pPr>
      <w:r>
        <w:t xml:space="preserve">The 95% CI is defined as the 2.5th and 97.5th percentiles of the Monte Carlo output distribution:</w:t>
      </w:r>
    </w:p>
    <w:p>
      <w:pPr>
        <w:pStyle w:val="BodyText"/>
      </w:pPr>
      <m:oMathPara>
        <m:oMathParaPr>
          <m:jc m:val="center"/>
        </m:oMathParaPr>
        <m:oMath>
          <m:sSub>
            <m:e>
              <m:r>
                <m:rPr>
                  <m:nor/>
                  <m:sty m:val="p"/>
                </m:rPr>
                <m:t>CI</m:t>
              </m:r>
            </m:e>
            <m:sub>
              <m:r>
                <m:t>95</m:t>
              </m:r>
            </m:sub>
          </m:sSub>
          <m:r>
            <m:rPr>
              <m:sty m:val="p"/>
            </m:rPr>
            <m:t>=</m:t>
          </m:r>
          <m:r>
            <m:rPr>
              <m:sty m:val="p"/>
            </m:rPr>
            <m:t>[</m:t>
          </m:r>
          <m:sSub>
            <m:e>
              <m:r>
                <m:t>Q</m:t>
              </m:r>
            </m:e>
            <m:sub>
              <m:r>
                <m:t>0.025</m:t>
              </m:r>
            </m:sub>
          </m:sSub>
          <m:r>
            <m:rPr>
              <m:sty m:val="p"/>
            </m:rPr>
            <m:t>,</m:t>
          </m:r>
          <m:r>
            <m:t> </m:t>
          </m:r>
          <m:sSub>
            <m:e>
              <m:r>
                <m:t>Q</m:t>
              </m:r>
            </m:e>
            <m:sub>
              <m:r>
                <m:t>0.975</m:t>
              </m:r>
            </m:sub>
          </m:sSub>
          <m:r>
            <m:rPr>
              <m:sty m:val="p"/>
            </m:rPr>
            <m:t>]</m:t>
          </m:r>
        </m:oMath>
      </m:oMathPara>
    </w:p>
    <w:p>
      <w:pPr>
        <w:pStyle w:val="FirstParagraph"/>
      </w:pPr>
      <w:r>
        <w:t xml:space="preserve">This is a simulation-based (quantile) interval: it does not assume a normal distribution and is therefore valid for asymmetric emission distributions.</w:t>
      </w:r>
    </w:p>
    <w:bookmarkEnd w:id="41"/>
    <w:bookmarkStart w:id="42" w:name="Xa485e9d7bd874125388a1b5728a01d514d3bbee"/>
    <w:p>
      <w:pPr>
        <w:pStyle w:val="Heading2"/>
      </w:pPr>
      <w:r>
        <w:t xml:space="preserve">Margin of Error (the IPCC reporting metric)</w:t>
      </w:r>
    </w:p>
    <w:p>
      <w:pPr>
        <w:pStyle w:val="FirstParagraph"/>
      </w:pPr>
      <w:r>
        <w:t xml:space="preserve">The margin of error (MoE%) is the half-width of the 95% CI expressed as a percentage of the mean:</w:t>
      </w:r>
    </w:p>
    <w:p>
      <w:pPr>
        <w:pStyle w:val="BodyText"/>
      </w:pPr>
      <m:oMathPara>
        <m:oMathParaPr>
          <m:jc m:val="center"/>
        </m:oMathParaPr>
        <m:oMath>
          <m:r>
            <m:rPr>
              <m:nor/>
              <m:sty m:val="p"/>
            </m:rPr>
            <m:t>MoE%</m:t>
          </m:r>
          <m:r>
            <m:rPr>
              <m:sty m:val="p"/>
            </m:rPr>
            <m:t>=</m:t>
          </m:r>
          <m:f>
            <m:fPr>
              <m:type m:val="bar"/>
            </m:fPr>
            <m:num>
              <m:sSub>
                <m:e>
                  <m:r>
                    <m:t>Q</m:t>
                  </m:r>
                </m:e>
                <m:sub>
                  <m:r>
                    <m:t>0.975</m:t>
                  </m:r>
                </m:sub>
              </m:sSub>
              <m:r>
                <m:rPr>
                  <m:sty m:val="p"/>
                </m:rPr>
                <m:t>−</m:t>
              </m:r>
              <m:sSub>
                <m:e>
                  <m:r>
                    <m:t>Q</m:t>
                  </m:r>
                </m:e>
                <m:sub>
                  <m:r>
                    <m:t>0.025</m:t>
                  </m:r>
                </m:sub>
              </m:sSub>
            </m:num>
            <m:den>
              <m:r>
                <m:t>2</m:t>
              </m:r>
              <m:r>
                <m:rPr>
                  <m:sty m:val="p"/>
                </m:rPr>
                <m:t>×</m:t>
              </m:r>
              <m:acc>
                <m:accPr>
                  <m:chr m:val="‾"/>
                </m:accPr>
                <m:e>
                  <m:r>
                    <m:t>x</m:t>
                  </m:r>
                </m:e>
              </m:acc>
            </m:den>
          </m:f>
          <m:r>
            <m:rPr>
              <m:sty m:val="p"/>
            </m:rPr>
            <m:t>×</m:t>
          </m:r>
          <m:r>
            <m:t>100</m:t>
          </m:r>
        </m:oMath>
      </m:oMathPara>
    </w:p>
    <w:p>
      <w:pPr>
        <w:pStyle w:val="FirstParagraph"/>
      </w:pPr>
      <w:r>
        <w:t xml:space="preserve"> </w:t>
      </w:r>
      <w:r>
        <w:t xml:space="preserve">(</w:t>
      </w:r>
      <w:r>
        <w:t xml:space="preserve">“% uncertainty”</w:t>
      </w:r>
      <w:r>
        <w:t xml:space="preserve"> </w:t>
      </w:r>
      <w:r>
        <w:t xml:space="preserve">in that table is defined as the half-width of the 95% CI divided by the mean). It is the headline number reported in the user-facing value boxes, in the IPCC Report tab, and in the Excel / Word downloads. Because MoE is derived from the empirical 2.5% / 97.5% quantiles of the Monte Carlo output, it correctly captures distribution skewness: for a perfectly normal distribution it reduces to</w:t>
      </w:r>
      <w:r>
        <w:t xml:space="preserve"> </w:t>
      </w:r>
      <m:oMath>
        <m:r>
          <m:rPr>
            <m:sty m:val="p"/>
          </m:rPr>
          <m:t>≈</m:t>
        </m:r>
        <m:r>
          <m:t>1.96</m:t>
        </m:r>
        <m:r>
          <m:rPr>
            <m:sty m:val="p"/>
          </m:rPr>
          <m:t>×</m:t>
        </m:r>
        <m:r>
          <m:rPr>
            <m:nor/>
            <m:sty m:val="p"/>
          </m:rPr>
          <m:t>CV%</m:t>
        </m:r>
      </m:oMath>
      <w:r>
        <w:t xml:space="preserve">, but for skewed distributions (lognormal EFs, PERT-bounded fractions, manure-N</w:t>
      </w:r>
      <m:oMath>
        <m:sSub>
          <m:e>
            <m:r>
              <m:t>​</m:t>
            </m:r>
          </m:e>
          <m:sub>
            <m:r>
              <m:t>2</m:t>
            </m:r>
          </m:sub>
        </m:sSub>
      </m:oMath>
      <w:r>
        <w:t xml:space="preserve">O sums) MoE and 1.96·CV differ.</w:t>
      </w:r>
    </w:p>
    <w:bookmarkEnd w:id="42"/>
    <w:bookmarkStart w:id="43" w:name="X8439b4aedc45e295a171a1777beb40ca371afbe"/>
    <w:p>
      <w:pPr>
        <w:pStyle w:val="Heading2"/>
      </w:pPr>
      <w:r>
        <w:t xml:space="preserve">Coefficient of Variation (kept for reference, not reported as headline)</w:t>
      </w:r>
    </w:p>
    <w:p>
      <w:pPr>
        <w:pStyle w:val="FirstParagraph"/>
      </w:pPr>
      <w:r>
        <w:t xml:space="preserve">The coefficient of variation (CV%) expresses uncertainty relative to the mean:</w:t>
      </w:r>
    </w:p>
    <w:p>
      <w:pPr>
        <w:pStyle w:val="BodyText"/>
      </w:pPr>
      <m:oMathPara>
        <m:oMathParaPr>
          <m:jc m:val="center"/>
        </m:oMathParaPr>
        <m:oMath>
          <m:r>
            <m:rPr>
              <m:nor/>
              <m:sty m:val="p"/>
            </m:rPr>
            <m:t>CV%</m:t>
          </m:r>
          <m:r>
            <m:rPr>
              <m:sty m:val="p"/>
            </m:rPr>
            <m:t>=</m:t>
          </m:r>
          <m:f>
            <m:fPr>
              <m:type m:val="bar"/>
            </m:fPr>
            <m:num>
              <m:r>
                <m:t>σ</m:t>
              </m:r>
            </m:num>
            <m:den>
              <m:acc>
                <m:accPr>
                  <m:chr m:val="‾"/>
                </m:accPr>
                <m:e>
                  <m:r>
                    <m:t>x</m:t>
                  </m:r>
                </m:e>
              </m:acc>
            </m:den>
          </m:f>
          <m:r>
            <m:rPr>
              <m:sty m:val="p"/>
            </m:rPr>
            <m:t>×</m:t>
          </m:r>
          <m:r>
            <m:t>100</m:t>
          </m:r>
        </m:oMath>
      </m:oMathPara>
    </w:p>
    <w:p>
      <w:pPr>
        <w:pStyle w:val="FirstParagraph"/>
      </w:pPr>
      <w:r>
        <w:t xml:space="preserve">where</w:t>
      </w:r>
      <w:r>
        <w:t xml:space="preserve"> </w:t>
      </w:r>
      <m:oMath>
        <m:r>
          <m:t>σ</m:t>
        </m:r>
      </m:oMath>
      <w:r>
        <w:t xml:space="preserve"> </w:t>
      </w:r>
      <w:r>
        <w:t xml:space="preserve">is the standard deviation and</w:t>
      </w:r>
      <w:r>
        <w:t xml:space="preserve"> </w:t>
      </w:r>
      <m:oMath>
        <m:acc>
          <m:accPr>
            <m:chr m:val="‾"/>
          </m:accPr>
          <m:e>
            <m:r>
              <m:t>x</m:t>
            </m:r>
          </m:e>
        </m:acc>
      </m:oMath>
      <w:r>
        <w:t xml:space="preserve"> </w:t>
      </w:r>
      <w:r>
        <w:t xml:space="preserve">is the mean. CV% is</w:t>
      </w:r>
      <w:r>
        <w:t xml:space="preserve"> </w:t>
      </w:r>
      <w:r>
        <w:t xml:space="preserve"> </w:t>
      </w:r>
      <w:r>
        <w:t xml:space="preserve">for every emission source (kept in the underlying</w:t>
      </w:r>
      <w:r>
        <w:t xml:space="preserve"> </w:t>
      </w:r>
      <w:r>
        <w:t xml:space="preserve"> </w:t>
      </w:r>
      <w:r>
        <w:t xml:space="preserve">data frame for advanced reproducibility) but it is no longer surfaced in any user-facing display: IPCC Annex 7 expects MoE%, not CV%. It is undefined (reported as NA) when the mean emission is zero (e.g. pasture N</w:t>
      </w:r>
      <m:oMath>
        <m:sSub>
          <m:e>
            <m:r>
              <m:t>​</m:t>
            </m:r>
          </m:e>
          <m:sub>
            <m:r>
              <m:t>2</m:t>
            </m:r>
          </m:sub>
        </m:sSub>
      </m:oMath>
      <w:r>
        <w:t xml:space="preserve">O for fully housed systems).</w:t>
      </w:r>
    </w:p>
    <w:bookmarkEnd w:id="43"/>
    <w:bookmarkStart w:id="44" w:name="ipcc-table-3.3-format"/>
    <w:p>
      <w:pPr>
        <w:pStyle w:val="Heading2"/>
      </w:pPr>
      <w:r>
        <w:t xml:space="preserve">IPCC Table 3.3 Format</w:t>
      </w:r>
    </w:p>
    <w:p>
      <w:pPr>
        <w:pStyle w:val="FirstParagraph"/>
      </w:pPr>
      <w:r>
        <w:t xml:space="preserve">IPCC (2006) Volume 1, Table 3.3 requires reporting uncertainty for each emission category as follows: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Source / Sink Category</w:t>
            </w:r>
          </w:p>
        </w:tc>
        <w:tc>
          <w:tcPr/>
          <w:p>
            <w:pPr>
              <w:pStyle w:val="Compact"/>
            </w:pPr>
            <w:r>
              <w:t xml:space="preserve">Emission (t CH</w:t>
            </w:r>
            <m:oMath>
              <m:sSub>
                <m:e>
                  <m:r>
                    <m:t>​</m:t>
                  </m:r>
                </m:e>
                <m:sub>
                  <m:r>
                    <m:t>4</m:t>
                  </m:r>
                </m:sub>
              </m:sSub>
            </m:oMath>
            <w:r>
              <w:t xml:space="preserve"> </w:t>
            </w:r>
            <w:r>
              <w:t xml:space="preserve">or t N</w:t>
            </w:r>
            <m:oMath>
              <m:sSub>
                <m:e>
                  <m:r>
                    <m:t>​</m:t>
                  </m:r>
                </m:e>
                <m:sub>
                  <m:r>
                    <m:t>2</m:t>
                  </m:r>
                </m:sub>
              </m:sSub>
            </m:oMath>
            <w:r>
              <w:t xml:space="preserve">O)</w:t>
            </w:r>
          </w:p>
        </w:tc>
        <w:tc>
          <w:tcPr/>
          <w:p>
            <w:pPr>
              <w:pStyle w:val="Compact"/>
            </w:pPr>
            <w:r>
              <w:t xml:space="preserve">AD Uncertainty (95% MoE %)</w:t>
            </w:r>
          </w:p>
        </w:tc>
        <w:tc>
          <w:tcPr/>
          <w:p>
            <w:pPr>
              <w:pStyle w:val="Compact"/>
            </w:pPr>
            <w:r>
              <w:t xml:space="preserve">EF Uncertainty (95% MoE %)</w:t>
            </w:r>
          </w:p>
        </w:tc>
        <w:tc>
          <w:tcPr/>
          <w:p>
            <w:pPr>
              <w:pStyle w:val="Compact"/>
            </w:pPr>
            <w:r>
              <w:t xml:space="preserve">Combined Uncertainty (95% MoE %)</w:t>
            </w:r>
          </w:p>
        </w:tc>
      </w:tr>
      <w:tr>
        <w:tc>
          <w:tcPr/>
          <w:p>
            <w:pPr>
              <w:pStyle w:val="Compact"/>
            </w:pPr>
            <w:r>
              <w:t xml:space="preserve">Enteric fermentation CH</w:t>
            </w:r>
            <m:oMath>
              <m:sSub>
                <m:e>
                  <m:r>
                    <m:t>​</m:t>
                  </m:r>
                </m:e>
                <m:sub>
                  <m:r>
                    <m:t>4</m:t>
                  </m:r>
                </m:sub>
              </m:sSub>
            </m:oMath>
          </w:p>
        </w:tc>
        <w:tc>
          <w:tcPr/>
          <w:p>
            <w:pPr>
              <w:pStyle w:val="Compact"/>
            </w:pPr>
            <w:r>
              <w:t xml:space="preserve">…</w:t>
            </w:r>
          </w:p>
        </w:tc>
        <w:tc>
          <w:tcPr/>
          <w:p>
            <w:pPr>
              <w:pStyle w:val="Compact"/>
            </w:pPr>
            <w:r>
              <w:t xml:space="preserve">MoE% from AD-only run</w:t>
            </w:r>
          </w:p>
        </w:tc>
        <w:tc>
          <w:tcPr/>
          <w:p>
            <w:pPr>
              <w:pStyle w:val="Compact"/>
            </w:pPr>
            <w:r>
              <w:t xml:space="preserve">MoE% from EF-only run</w:t>
            </w:r>
          </w:p>
        </w:tc>
        <w:tc>
          <w:tcPr/>
          <w:p>
            <w:pPr>
              <w:pStyle w:val="Compact"/>
            </w:pPr>
            <w:r>
              <w:t xml:space="preserve">MoE% from combined run</w:t>
            </w:r>
          </w:p>
        </w:tc>
      </w:tr>
      <w:tr>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r>
    </w:tbl>
    <w:p>
      <w:pPr>
        <w:pStyle w:val="BodyText"/>
      </w:pPr>
      <w:r>
        <w:t xml:space="preserve">The tool generates this table automatically after each simulation run. The Excel download labels each uncertainty column explicitly as</w:t>
      </w:r>
      <w:r>
        <w:t xml:space="preserve"> </w:t>
      </w:r>
      <w:r>
        <w:t xml:space="preserve">“(95% MoE %)”</w:t>
      </w:r>
      <w:r>
        <w:t xml:space="preserve"> </w:t>
      </w:r>
      <w:r>
        <w:t xml:space="preserve">so there is no ambiguity with CV.</w:t>
      </w:r>
    </w:p>
    <w:p>
      <w:r>
        <w:br w:type="page"/>
      </w:r>
    </w:p>
    <w:bookmarkEnd w:id="44"/>
    <w:bookmarkEnd w:id="45"/>
    <w:bookmarkStart w:id="46" w:name="uncertainty-decomposition"/>
    <w:p>
      <w:pPr>
        <w:pStyle w:val="Heading1"/>
      </w:pPr>
      <w:r>
        <w:t xml:space="preserve">Uncertainty Decomposition</w:t>
      </w:r>
    </w:p>
    <w:p>
      <w:pPr>
        <w:pStyle w:val="FirstParagraph"/>
      </w:pPr>
      <w:r>
        <w:t xml:space="preserve">To separate the contributions of activity data (AD) uncertainty and emission factor (EF) uncertainty to the combined uncertainty, the tool performs three simulation runs:</w:t>
      </w:r>
    </w:p>
    <w:p>
      <w:pPr>
        <w:pStyle w:val="Compact"/>
        <w:numPr>
          <w:ilvl w:val="0"/>
          <w:numId w:val="1009"/>
        </w:numPr>
      </w:pPr>
      <w:r>
        <w:rPr>
          <w:b/>
          <w:bCs/>
        </w:rPr>
        <w:t xml:space="preserve">Combined run</w:t>
      </w:r>
      <w:r>
        <w:t xml:space="preserve">: all parameters varied according to their distributions. This is the primary result.</w:t>
      </w:r>
    </w:p>
    <w:p>
      <w:pPr>
        <w:pStyle w:val="Compact"/>
        <w:numPr>
          <w:ilvl w:val="0"/>
          <w:numId w:val="1009"/>
        </w:numPr>
      </w:pPr>
      <w:r>
        <w:rPr>
          <w:b/>
          <w:bCs/>
        </w:rPr>
        <w:t xml:space="preserve">AD-only run</w:t>
      </w:r>
      <w:r>
        <w:t xml:space="preserve">: emission factors fixed at their central values (</w:t>
      </w:r>
      <m:oMath>
        <m:r>
          <m:t>σ</m:t>
        </m:r>
        <m:r>
          <m:rPr>
            <m:sty m:val="p"/>
          </m:rPr>
          <m:t>=</m:t>
        </m:r>
        <m:r>
          <m:t>0</m:t>
        </m:r>
      </m:oMath>
      <w:r>
        <w:t xml:space="preserve">); only AD parameters vary. 95% MoE from this run = AD uncertainty contribution.</w:t>
      </w:r>
    </w:p>
    <w:p>
      <w:pPr>
        <w:pStyle w:val="Compact"/>
        <w:numPr>
          <w:ilvl w:val="0"/>
          <w:numId w:val="1009"/>
        </w:numPr>
      </w:pPr>
      <w:r>
        <w:rPr>
          <w:b/>
          <w:bCs/>
        </w:rPr>
        <w:t xml:space="preserve">EF-only run</w:t>
      </w:r>
      <w:r>
        <w:t xml:space="preserve">: AD parameters fixed at their central values; only emission factors vary. 95% MoE from this run = EF uncertainty contribution.</w:t>
      </w:r>
    </w:p>
    <w:p>
      <w:pPr>
        <w:pStyle w:val="FirstParagraph"/>
      </w:pPr>
      <w:r>
        <w:t xml:space="preserve">This approach correctly handles multi-group inventories by running all three simulations through the full multi-sub-category equation chain and aggregating to national totals before computing metrics.</w:t>
      </w:r>
    </w:p>
    <w:p>
      <w:pPr>
        <w:pStyle w:val="BodyText"/>
      </w:pPr>
      <w:r>
        <w:t xml:space="preserve">The decomposition reveals whether uncertainty reduction efforts should focus on improving animal population surveys (AD) or on refining emission factor estimates (EF).</w:t>
      </w:r>
    </w:p>
    <w:p>
      <w:pPr>
        <w:pStyle w:val="BodyText"/>
      </w:pPr>
      <w:r>
        <w:t xml:space="preserve"> </w:t>
      </w:r>
      <w:r>
        <w:t xml:space="preserve">The AD-only run pins ALL coefficient-side variance, not only the Parameters-sheet rows. The per-MMS sample matrices used for MCF, EF3, Frac_GasMS, Frac_LeachMS, and (when supplied) the MMS-allocation</w:t>
      </w:r>
      <w:r>
        <w:t xml:space="preserve"> </w:t>
      </w:r>
      <m:oMath>
        <m:r>
          <m:t>M</m:t>
        </m:r>
        <m:sSub>
          <m:e>
            <m:r>
              <m:t>S</m:t>
            </m:r>
          </m:e>
          <m:sub>
            <m:r>
              <m:t>s</m:t>
            </m:r>
          </m:sub>
        </m:sSub>
      </m:oMath>
      <w:r>
        <w:t xml:space="preserve"> </w:t>
      </w:r>
      <w:r>
        <w:t xml:space="preserve">fractions are nulled out for the AD-only sub-run so iteration-to-iteration variation in those quantities cannot leak into the AD-only result. As a result, AD-only CV equals CV(N) for every emission source in a single-sub-category inventory and varies across sources only through the Herfindahl-like concentration of each source over multiple sub-categories.</w:t>
      </w:r>
    </w:p>
    <w:p>
      <w:r>
        <w:br w:type="page"/>
      </w:r>
    </w:p>
    <w:bookmarkEnd w:id="46"/>
    <w:bookmarkStart w:id="50" w:name="sensitivity-analysis"/>
    <w:p>
      <w:pPr>
        <w:pStyle w:val="Heading1"/>
      </w:pPr>
      <w:r>
        <w:t xml:space="preserve">Sensitivity Analysis</w:t>
      </w:r>
    </w:p>
    <w:p>
      <w:pPr>
        <w:pStyle w:val="FirstParagraph"/>
      </w:pPr>
      <w:r>
        <w:t xml:space="preserve">Sensitivity analysis identifies which input parameters have the greatest influence on the total emission estimate. The tool implements two complementary methods.</w:t>
      </w:r>
    </w:p>
    <w:bookmarkStart w:id="47" w:name="standardised-regression-coefficients-src"/>
    <w:p>
      <w:pPr>
        <w:pStyle w:val="Heading2"/>
      </w:pPr>
      <w:r>
        <w:t xml:space="preserve">Standardised Regression Coefficients (SRC)</w:t>
      </w:r>
    </w:p>
    <w:p>
      <w:pPr>
        <w:pStyle w:val="FirstParagraph"/>
      </w:pPr>
      <w:r>
        <w:t xml:space="preserve">SRC is based on fitting a multiple linear regression of the standardised output on all standardised inputs:</w:t>
      </w:r>
    </w:p>
    <w:p>
      <w:pPr>
        <w:pStyle w:val="BodyText"/>
      </w:pPr>
      <m:oMathPara>
        <m:oMathParaPr>
          <m:jc m:val="center"/>
        </m:oMathParaPr>
        <m:oMath>
          <m:sSup>
            <m:e>
              <m:r>
                <m:t>Y</m:t>
              </m:r>
            </m:e>
            <m:sup>
              <m:r>
                <m:rPr>
                  <m:sty m:val="p"/>
                </m:rPr>
                <m:t>*</m:t>
              </m:r>
            </m:sup>
          </m:sSup>
          <m:r>
            <m:rPr>
              <m:sty m:val="p"/>
            </m:rPr>
            <m:t>=</m:t>
          </m:r>
          <m:sSub>
            <m:e>
              <m:r>
                <m:t>β</m:t>
              </m:r>
            </m:e>
            <m:sub>
              <m:r>
                <m:t>0</m:t>
              </m:r>
            </m:sub>
          </m:sSub>
          <m:r>
            <m:rPr>
              <m:sty m:val="p"/>
            </m:rPr>
            <m:t>+</m:t>
          </m:r>
          <m:nary>
            <m:naryPr>
              <m:chr m:val="∑"/>
              <m:limLoc m:val="undOvr"/>
              <m:subHide m:val="off"/>
              <m:supHide m:val="on"/>
            </m:naryPr>
            <m:sub>
              <m:r>
                <m:t>j</m:t>
              </m:r>
            </m:sub>
            <m:sup>
              <m:r>
                <m:t>​</m:t>
              </m:r>
            </m:sup>
            <m:e>
              <m:sSub>
                <m:e>
                  <m:r>
                    <m:t>β</m:t>
                  </m:r>
                </m:e>
                <m:sub>
                  <m:r>
                    <m:t>j</m:t>
                  </m:r>
                </m:sub>
              </m:sSub>
            </m:e>
          </m:nary>
          <m:sSubSup>
            <m:e>
              <m:r>
                <m:t>X</m:t>
              </m:r>
            </m:e>
            <m:sub>
              <m:r>
                <m:t>j</m:t>
              </m:r>
            </m:sub>
            <m:sup>
              <m:r>
                <m:rPr>
                  <m:sty m:val="p"/>
                </m:rPr>
                <m:t>*</m:t>
              </m:r>
            </m:sup>
          </m:sSubSup>
          <m:r>
            <m:rPr>
              <m:sty m:val="p"/>
            </m:rPr>
            <m:t>+</m:t>
          </m:r>
          <m:r>
            <m:t>ε</m:t>
          </m:r>
        </m:oMath>
      </m:oMathPara>
    </w:p>
    <w:p>
      <w:pPr>
        <w:pStyle w:val="FirstParagraph"/>
      </w:pPr>
      <w:r>
        <w:t xml:space="preserve">where</w:t>
      </w:r>
      <w:r>
        <w:t xml:space="preserve"> </w:t>
      </w:r>
      <m:oMath>
        <m:sSup>
          <m:e>
            <m:r>
              <m:t>Y</m:t>
            </m:r>
          </m:e>
          <m:sup>
            <m:r>
              <m:rPr>
                <m:sty m:val="p"/>
              </m:rPr>
              <m:t>*</m:t>
            </m:r>
          </m:sup>
        </m:sSup>
        <m:r>
          <m:rPr>
            <m:sty m:val="p"/>
          </m:rPr>
          <m:t>=</m:t>
        </m:r>
        <m:r>
          <m:rPr>
            <m:sty m:val="p"/>
          </m:rPr>
          <m:t>(</m:t>
        </m:r>
        <m:r>
          <m:t>Y</m:t>
        </m:r>
        <m:r>
          <m:rPr>
            <m:sty m:val="p"/>
          </m:rPr>
          <m:t>−</m:t>
        </m:r>
        <m:acc>
          <m:accPr>
            <m:chr m:val="‾"/>
          </m:accPr>
          <m:e>
            <m:r>
              <m:t>Y</m:t>
            </m:r>
          </m:e>
        </m:acc>
        <m:r>
          <m:rPr>
            <m:sty m:val="p"/>
          </m:rPr>
          <m:t>)</m:t>
        </m:r>
        <m:r>
          <m:rPr>
            <m:sty m:val="p"/>
          </m:rPr>
          <m:t>/</m:t>
        </m:r>
        <m:sSub>
          <m:e>
            <m:r>
              <m:t>σ</m:t>
            </m:r>
          </m:e>
          <m:sub>
            <m:r>
              <m:t>Y</m:t>
            </m:r>
          </m:sub>
        </m:sSub>
      </m:oMath>
      <w:r>
        <w:t xml:space="preserve"> </w:t>
      </w:r>
      <w:r>
        <w:t xml:space="preserve">and</w:t>
      </w:r>
      <w:r>
        <w:t xml:space="preserve"> </w:t>
      </w:r>
      <m:oMath>
        <m:sSubSup>
          <m:e>
            <m:r>
              <m:t>X</m:t>
            </m:r>
          </m:e>
          <m:sub>
            <m:r>
              <m:t>j</m:t>
            </m:r>
          </m:sub>
          <m:sup>
            <m:r>
              <m:rPr>
                <m:sty m:val="p"/>
              </m:rPr>
              <m:t>*</m:t>
            </m:r>
          </m:sup>
        </m:sSubSup>
        <m:r>
          <m:rPr>
            <m:sty m:val="p"/>
          </m:rPr>
          <m:t>=</m:t>
        </m:r>
        <m:r>
          <m:rPr>
            <m:sty m:val="p"/>
          </m:rPr>
          <m:t>(</m:t>
        </m:r>
        <m:sSub>
          <m:e>
            <m:r>
              <m:t>X</m:t>
            </m:r>
          </m:e>
          <m:sub>
            <m:r>
              <m:t>j</m:t>
            </m:r>
          </m:sub>
        </m:sSub>
        <m:r>
          <m:rPr>
            <m:sty m:val="p"/>
          </m:rPr>
          <m:t>−</m:t>
        </m:r>
        <m:sSub>
          <m:e>
            <m:acc>
              <m:accPr>
                <m:chr m:val="‾"/>
              </m:accPr>
              <m:e>
                <m:r>
                  <m:t>X</m:t>
                </m:r>
              </m:e>
            </m:acc>
          </m:e>
          <m:sub>
            <m:r>
              <m:t>j</m:t>
            </m:r>
          </m:sub>
        </m:sSub>
        <m:r>
          <m:rPr>
            <m:sty m:val="p"/>
          </m:rPr>
          <m:t>)</m:t>
        </m:r>
        <m:r>
          <m:rPr>
            <m:sty m:val="p"/>
          </m:rPr>
          <m:t>/</m:t>
        </m:r>
        <m:sSub>
          <m:e>
            <m:r>
              <m:t>σ</m:t>
            </m:r>
          </m:e>
          <m:sub>
            <m:sSub>
              <m:e>
                <m:r>
                  <m:t>X</m:t>
                </m:r>
              </m:e>
              <m:sub>
                <m:r>
                  <m:t>j</m:t>
                </m:r>
              </m:sub>
            </m:sSub>
          </m:sub>
        </m:sSub>
      </m:oMath>
      <w:r>
        <w:t xml:space="preserve">. The SRC for parameter</w:t>
      </w:r>
      <w:r>
        <w:t xml:space="preserve"> </w:t>
      </w:r>
      <m:oMath>
        <m:r>
          <m:t>j</m:t>
        </m:r>
      </m:oMath>
      <w:r>
        <w:t xml:space="preserve"> </w:t>
      </w:r>
      <w:r>
        <w:t xml:space="preserve">is the coefficient</w:t>
      </w:r>
      <w:r>
        <w:t xml:space="preserve"> </w:t>
      </w:r>
      <m:oMath>
        <m:sSub>
          <m:e>
            <m:r>
              <m:t>β</m:t>
            </m:r>
          </m:e>
          <m:sub>
            <m:r>
              <m:t>j</m:t>
            </m:r>
          </m:sub>
        </m:sSub>
      </m:oMath>
      <w:r>
        <w:t xml:space="preserve"> </w:t>
      </w:r>
      <w:r>
        <w:t xml:space="preserve">from this regression.</w:t>
      </w:r>
    </w:p>
    <w:p>
      <w:pPr>
        <w:pStyle w:val="BodyText"/>
      </w:pPr>
      <w:r>
        <w:t xml:space="preserve">Properties:</w:t>
      </w:r>
      <w:r>
        <w:t xml:space="preserve"> </w:t>
      </w:r>
      <w:r>
        <w:t xml:space="preserve">- A positive SRC indicates that higher values of the parameter produce higher emissions.</w:t>
      </w:r>
      <w:r>
        <w:t xml:space="preserve"> </w:t>
      </w:r>
      <w:r>
        <w:t xml:space="preserve">- The magnitude</w:t>
      </w:r>
      <w:r>
        <w:t xml:space="preserve"> </w:t>
      </w:r>
      <m:oMath>
        <m:r>
          <m:rPr>
            <m:sty m:val="p"/>
          </m:rPr>
          <m:t>|</m:t>
        </m:r>
        <m:sSub>
          <m:e>
            <m:r>
              <m:t>β</m:t>
            </m:r>
          </m:e>
          <m:sub>
            <m:r>
              <m:t>j</m:t>
            </m:r>
          </m:sub>
        </m:sSub>
        <m:r>
          <m:rPr>
            <m:sty m:val="p"/>
          </m:rPr>
          <m:t>|</m:t>
        </m:r>
      </m:oMath>
      <w:r>
        <w:t xml:space="preserve"> </w:t>
      </w:r>
      <w:r>
        <w:t xml:space="preserve">reflects the relative importance of parameter</w:t>
      </w:r>
      <w:r>
        <w:t xml:space="preserve"> </w:t>
      </w:r>
      <m:oMath>
        <m:r>
          <m:t>j</m:t>
        </m:r>
      </m:oMath>
      <w:r>
        <w:t xml:space="preserve">.</w:t>
      </w:r>
      <w:r>
        <w:t xml:space="preserve"> </w:t>
      </w:r>
      <w:r>
        <w:t xml:space="preserve">- SRC values range from approximately</w:t>
      </w:r>
      <w:r>
        <w:t xml:space="preserve"> </w:t>
      </w:r>
      <m:oMath>
        <m:r>
          <m:rPr>
            <m:sty m:val="p"/>
          </m:rPr>
          <m:t>−</m:t>
        </m:r>
        <m:r>
          <m:t>1</m:t>
        </m:r>
      </m:oMath>
      <w:r>
        <w:t xml:space="preserve"> </w:t>
      </w:r>
      <w:r>
        <w:t xml:space="preserve">to</w:t>
      </w:r>
      <w:r>
        <w:t xml:space="preserve"> </w:t>
      </w:r>
      <m:oMath>
        <m:r>
          <m:rPr>
            <m:sty m:val="p"/>
          </m:rPr>
          <m:t>+</m:t>
        </m:r>
        <m:r>
          <m:t>1</m:t>
        </m:r>
      </m:oMath>
      <w:r>
        <w:t xml:space="preserve"> </w:t>
      </w:r>
      <w:r>
        <w:t xml:space="preserve">when a single parameter dominates.</w:t>
      </w:r>
      <w:r>
        <w:t xml:space="preserve"> </w:t>
      </w:r>
      <w:r>
        <w:t xml:space="preserve">- The</w:t>
      </w:r>
      <w:r>
        <w:t xml:space="preserve"> </w:t>
      </w:r>
      <m:oMath>
        <m:sSup>
          <m:e>
            <m:r>
              <m:t>R</m:t>
            </m:r>
          </m:e>
          <m:sup>
            <m:r>
              <m:t>2</m:t>
            </m:r>
          </m:sup>
        </m:sSup>
      </m:oMath>
      <w:r>
        <w:t xml:space="preserve"> </w:t>
      </w:r>
      <w:r>
        <w:t xml:space="preserve">of the regression indicates what fraction of the total variance in the output is explained by the linear model. High</w:t>
      </w:r>
      <w:r>
        <w:t xml:space="preserve"> </w:t>
      </w:r>
      <m:oMath>
        <m:sSup>
          <m:e>
            <m:r>
              <m:t>R</m:t>
            </m:r>
          </m:e>
          <m:sup>
            <m:r>
              <m:t>2</m:t>
            </m:r>
          </m:sup>
        </m:sSup>
      </m:oMath>
      <w:r>
        <w:t xml:space="preserve"> </w:t>
      </w:r>
      <w:r>
        <w:t xml:space="preserve">(</w:t>
      </w:r>
      <m:oMath>
        <m:r>
          <m:rPr>
            <m:sty m:val="p"/>
          </m:rPr>
          <m:t>&gt;</m:t>
        </m:r>
      </m:oMath>
      <w:r>
        <w:t xml:space="preserve"> </w:t>
      </w:r>
      <w:r>
        <w:t xml:space="preserve">0.9) indicates SRC is a reliable measure; low</w:t>
      </w:r>
      <w:r>
        <w:t xml:space="preserve"> </w:t>
      </w:r>
      <m:oMath>
        <m:sSup>
          <m:e>
            <m:r>
              <m:t>R</m:t>
            </m:r>
          </m:e>
          <m:sup>
            <m:r>
              <m:t>2</m:t>
            </m:r>
          </m:sup>
        </m:sSup>
      </m:oMath>
      <w:r>
        <w:t xml:space="preserve"> </w:t>
      </w:r>
      <w:r>
        <w:t xml:space="preserve">suggests non-linearity.</w:t>
      </w:r>
      <w:r>
        <w:t xml:space="preserve"> </w:t>
      </w:r>
      <w:r>
        <w:t xml:space="preserve">- SRC requires only a single regression fit, making it computationally efficient for any number of parameters.</w:t>
      </w:r>
    </w:p>
    <w:bookmarkEnd w:id="47"/>
    <w:bookmarkStart w:id="48" w:name="X48fb187001d2401bd46bb45505631353ad9463d"/>
    <w:p>
      <w:pPr>
        <w:pStyle w:val="Heading2"/>
      </w:pPr>
      <w:r>
        <w:t xml:space="preserve">Partial Rank Correlation Coefficients (PRCC)</w:t>
      </w:r>
    </w:p>
    <w:p>
      <w:pPr>
        <w:pStyle w:val="FirstParagraph"/>
      </w:pPr>
      <w:r>
        <w:t xml:space="preserve">PRCC is a rank-based method that is robust to non-linearity and non-normal distributions:</w:t>
      </w:r>
    </w:p>
    <w:p>
      <w:pPr>
        <w:pStyle w:val="Compact"/>
        <w:numPr>
          <w:ilvl w:val="0"/>
          <w:numId w:val="1010"/>
        </w:numPr>
      </w:pPr>
      <w:r>
        <w:t xml:space="preserve">Replace all input columns and the output column with their ranks.</w:t>
      </w:r>
    </w:p>
    <w:p>
      <w:pPr>
        <w:pStyle w:val="Compact"/>
        <w:numPr>
          <w:ilvl w:val="0"/>
          <w:numId w:val="1010"/>
        </w:numPr>
      </w:pPr>
      <w:r>
        <w:t xml:space="preserve">For each parameter</w:t>
      </w:r>
      <w:r>
        <w:t xml:space="preserve"> </w:t>
      </w:r>
      <m:oMath>
        <m:r>
          <m:t>j</m:t>
        </m:r>
      </m:oMath>
      <w:r>
        <w:t xml:space="preserve">:</w:t>
      </w:r>
    </w:p>
    <w:p>
      <w:pPr>
        <w:pStyle w:val="Compact"/>
        <w:numPr>
          <w:ilvl w:val="1"/>
          <w:numId w:val="1011"/>
        </w:numPr>
      </w:pPr>
      <w:r>
        <w:t xml:space="preserve">Regress</w:t>
      </w:r>
      <w:r>
        <w:t xml:space="preserve"> </w:t>
      </w:r>
      <m:oMath>
        <m:r>
          <m:rPr>
            <m:nor/>
            <m:sty m:val="p"/>
          </m:rPr>
          <m:t>rank</m:t>
        </m:r>
        <m:r>
          <m:rPr>
            <m:sty m:val="p"/>
          </m:rPr>
          <m:t>(</m:t>
        </m:r>
        <m:sSub>
          <m:e>
            <m:r>
              <m:t>X</m:t>
            </m:r>
          </m:e>
          <m:sub>
            <m:r>
              <m:t>j</m:t>
            </m:r>
          </m:sub>
        </m:sSub>
        <m:r>
          <m:rPr>
            <m:sty m:val="p"/>
          </m:rPr>
          <m:t>)</m:t>
        </m:r>
      </m:oMath>
      <w:r>
        <w:t xml:space="preserve"> </w:t>
      </w:r>
      <w:r>
        <w:t xml:space="preserve">on all other ranked inputs; compute residuals</w:t>
      </w:r>
      <w:r>
        <w:t xml:space="preserve"> </w:t>
      </w:r>
      <m:oMath>
        <m:sSub>
          <m:e>
            <m:r>
              <m:t>e</m:t>
            </m:r>
          </m:e>
          <m:sub>
            <m:sSub>
              <m:e>
                <m:r>
                  <m:t>X</m:t>
                </m:r>
              </m:e>
              <m:sub>
                <m:r>
                  <m:t>j</m:t>
                </m:r>
              </m:sub>
            </m:sSub>
          </m:sub>
        </m:sSub>
      </m:oMath>
      <w:r>
        <w:t xml:space="preserve">.</w:t>
      </w:r>
    </w:p>
    <w:p>
      <w:pPr>
        <w:pStyle w:val="Compact"/>
        <w:numPr>
          <w:ilvl w:val="1"/>
          <w:numId w:val="1011"/>
        </w:numPr>
      </w:pPr>
      <w:r>
        <w:t xml:space="preserve">Regress</w:t>
      </w:r>
      <w:r>
        <w:t xml:space="preserve"> </w:t>
      </w:r>
      <m:oMath>
        <m:r>
          <m:rPr>
            <m:nor/>
            <m:sty m:val="p"/>
          </m:rPr>
          <m:t>rank</m:t>
        </m:r>
        <m:r>
          <m:rPr>
            <m:sty m:val="p"/>
          </m:rPr>
          <m:t>(</m:t>
        </m:r>
        <m:r>
          <m:t>Y</m:t>
        </m:r>
        <m:r>
          <m:rPr>
            <m:sty m:val="p"/>
          </m:rPr>
          <m:t>)</m:t>
        </m:r>
      </m:oMath>
      <w:r>
        <w:t xml:space="preserve"> </w:t>
      </w:r>
      <w:r>
        <w:t xml:space="preserve">on all other ranked inputs; compute residuals</w:t>
      </w:r>
      <w:r>
        <w:t xml:space="preserve"> </w:t>
      </w:r>
      <m:oMath>
        <m:sSub>
          <m:e>
            <m:r>
              <m:t>e</m:t>
            </m:r>
          </m:e>
          <m:sub>
            <m:r>
              <m:t>Y</m:t>
            </m:r>
          </m:sub>
        </m:sSub>
      </m:oMath>
      <w:r>
        <w:t xml:space="preserve">.</w:t>
      </w:r>
    </w:p>
    <w:p>
      <w:pPr>
        <w:pStyle w:val="Compact"/>
        <w:numPr>
          <w:ilvl w:val="1"/>
          <w:numId w:val="1011"/>
        </w:numPr>
      </w:pPr>
      <m:oMath>
        <m:sSub>
          <m:e>
            <m:r>
              <m:rPr>
                <m:nor/>
                <m:sty m:val="p"/>
              </m:rPr>
              <m:t>PRCC</m:t>
            </m:r>
          </m:e>
          <m:sub>
            <m:r>
              <m:t>j</m:t>
            </m:r>
          </m:sub>
        </m:sSub>
        <m:r>
          <m:rPr>
            <m:sty m:val="p"/>
          </m:rPr>
          <m:t>=</m:t>
        </m:r>
        <m:r>
          <m:rPr>
            <m:nor/>
            <m:sty m:val="p"/>
          </m:rPr>
          <m:t>cor</m:t>
        </m:r>
        <m:r>
          <m:rPr>
            <m:sty m:val="p"/>
          </m:rPr>
          <m:t>(</m:t>
        </m:r>
        <m:sSub>
          <m:e>
            <m:r>
              <m:t>e</m:t>
            </m:r>
          </m:e>
          <m:sub>
            <m:sSub>
              <m:e>
                <m:r>
                  <m:t>X</m:t>
                </m:r>
              </m:e>
              <m:sub>
                <m:r>
                  <m:t>j</m:t>
                </m:r>
              </m:sub>
            </m:sSub>
          </m:sub>
        </m:sSub>
        <m:r>
          <m:rPr>
            <m:sty m:val="p"/>
          </m:rPr>
          <m:t>,</m:t>
        </m:r>
        <m:r>
          <m:t> </m:t>
        </m:r>
        <m:sSub>
          <m:e>
            <m:r>
              <m:t>e</m:t>
            </m:r>
          </m:e>
          <m:sub>
            <m:r>
              <m:t>Y</m:t>
            </m:r>
          </m:sub>
        </m:sSub>
        <m:r>
          <m:rPr>
            <m:sty m:val="p"/>
          </m:rPr>
          <m:t>)</m:t>
        </m:r>
      </m:oMath>
      <w:r>
        <w:t xml:space="preserve">.</w:t>
      </w:r>
    </w:p>
    <w:p>
      <w:pPr>
        <w:pStyle w:val="FirstParagraph"/>
      </w:pPr>
      <w:r>
        <w:t xml:space="preserve">PRCC measures the unique rank-correlation between each input and the output after removing the shared linear effect of all other inputs. It is more appropriate than SRC when the relationship between inputs and output is monotone but non-linear, or when input distributions are strongly skewed.</w:t>
      </w:r>
    </w:p>
    <w:p>
      <w:pPr>
        <w:pStyle w:val="BodyText"/>
      </w:pPr>
      <w:r>
        <w:rPr>
          <w:b/>
          <w:bCs/>
        </w:rPr>
        <w:t xml:space="preserve">Computational note:</w:t>
      </w:r>
      <w:r>
        <w:t xml:space="preserve"> </w:t>
      </w:r>
      <w:r>
        <w:t xml:space="preserve">PRCC requires one regression fit per parameter. For large inventories (more than 40 combined parameters across all sub-categories), PRCC computation can take several minutes. In this case, the tool automatically falls back to SRC for the aggregate sensitivity result; PRCC remains available for individual sub-category analyses.</w:t>
      </w:r>
    </w:p>
    <w:bookmarkEnd w:id="48"/>
    <w:bookmarkStart w:id="49" w:name="tornado-chart-interpretation"/>
    <w:p>
      <w:pPr>
        <w:pStyle w:val="Heading2"/>
      </w:pPr>
      <w:r>
        <w:t xml:space="preserve">Tornado Chart Interpretation</w:t>
      </w:r>
    </w:p>
    <w:p>
      <w:pPr>
        <w:pStyle w:val="FirstParagraph"/>
      </w:pPr>
      <w:r>
        <w:t xml:space="preserve">Each parameter label on the tornado chart is formatted as</w:t>
      </w:r>
      <w:r>
        <w:t xml:space="preserve"> </w:t>
      </w:r>
      <w:r>
        <w:rPr>
          <w:rStyle w:val="VerbatimChar"/>
        </w:rPr>
        <w:t xml:space="preserve">&lt;parameter&gt; (&lt;sub_category&gt;)</w:t>
      </w:r>
      <w:r>
        <w:t xml:space="preserve">: for example</w:t>
      </w:r>
      <w:r>
        <w:t xml:space="preserve"> </w:t>
      </w:r>
      <w:r>
        <w:rPr>
          <w:rStyle w:val="VerbatimChar"/>
        </w:rPr>
        <w:t xml:space="preserve">Ym (DINT_cow)</w:t>
      </w:r>
      <w:r>
        <w:t xml:space="preserve">,</w:t>
      </w:r>
      <w:r>
        <w:t xml:space="preserve"> </w:t>
      </w:r>
      <w:r>
        <w:rPr>
          <w:rStyle w:val="VerbatimChar"/>
        </w:rPr>
        <w:t xml:space="preserve">BW (DINT_heif)</w:t>
      </w:r>
      <w:r>
        <w:t xml:space="preserve">,</w:t>
      </w:r>
      <w:r>
        <w:t xml:space="preserve"> </w:t>
      </w:r>
      <w:r>
        <w:rPr>
          <w:rStyle w:val="VerbatimChar"/>
        </w:rPr>
        <w:t xml:space="preserve">MCF_solid_storage (DINT_cow)</w:t>
      </w:r>
      <w:r>
        <w:t xml:space="preserve">. The sub-category in parentheses identifies which animal group each influential parameter belongs to so that reduction efforts can be targeted at the specific sub-category that drives uncertainty rather than at the parameter in aggregate. The same labels appear in the rank-correlation table and the downloadable Word / Excel sensitivity sheets.</w:t>
      </w:r>
    </w:p>
    <w:p>
      <w:pPr>
        <w:pStyle w:val="BodyText"/>
      </w:pPr>
      <w:r>
        <w:t xml:space="preserve">The tornado chart displays the top parameters ranked by</w:t>
      </w:r>
      <w:r>
        <w:t xml:space="preserve"> </w:t>
      </w:r>
      <m:oMath>
        <m:r>
          <m:rPr>
            <m:sty m:val="p"/>
          </m:rPr>
          <m:t>|</m:t>
        </m:r>
        <m:r>
          <m:rPr>
            <m:nor/>
            <m:sty m:val="p"/>
          </m:rPr>
          <m:t>SRC</m:t>
        </m:r>
        <m:r>
          <m:rPr>
            <m:sty m:val="p"/>
          </m:rPr>
          <m:t>|</m:t>
        </m:r>
      </m:oMath>
      <w:r>
        <w:t xml:space="preserve"> </w:t>
      </w:r>
      <w:r>
        <w:t xml:space="preserve">or</w:t>
      </w:r>
      <w:r>
        <w:t xml:space="preserve"> </w:t>
      </w:r>
      <m:oMath>
        <m:r>
          <m:rPr>
            <m:sty m:val="p"/>
          </m:rPr>
          <m:t>|</m:t>
        </m:r>
        <m:r>
          <m:rPr>
            <m:nor/>
            <m:sty m:val="p"/>
          </m:rPr>
          <m:t>PRCC</m:t>
        </m:r>
        <m:r>
          <m:rPr>
            <m:sty m:val="p"/>
          </m:rPr>
          <m:t>|</m:t>
        </m:r>
      </m:oMath>
      <w:r>
        <w:t xml:space="preserve">:</w:t>
      </w:r>
    </w:p>
    <w:p>
      <w:pPr>
        <w:pStyle w:val="Compact"/>
        <w:numPr>
          <w:ilvl w:val="0"/>
          <w:numId w:val="1012"/>
        </w:numPr>
      </w:pPr>
      <w:r>
        <w:rPr>
          <w:b/>
          <w:bCs/>
        </w:rPr>
        <w:t xml:space="preserve">Green bars</w:t>
      </w:r>
      <w:r>
        <w:t xml:space="preserve"> </w:t>
      </w:r>
      <w:r>
        <w:t xml:space="preserve">(positive coefficient): increasing this parameter increases total emissions; reduction in uncertainty would directly reduce total emission uncertainty.</w:t>
      </w:r>
    </w:p>
    <w:p>
      <w:pPr>
        <w:pStyle w:val="Compact"/>
        <w:numPr>
          <w:ilvl w:val="0"/>
          <w:numId w:val="1012"/>
        </w:numPr>
      </w:pPr>
      <w:r>
        <w:rPr>
          <w:b/>
          <w:bCs/>
        </w:rPr>
        <w:t xml:space="preserve">Red bars</w:t>
      </w:r>
      <w:r>
        <w:t xml:space="preserve"> </w:t>
      </w:r>
      <w:r>
        <w:t xml:space="preserve">(negative coefficient): increasing this parameter decreases total emissions.</w:t>
      </w:r>
    </w:p>
    <w:p>
      <w:pPr>
        <w:pStyle w:val="Compact"/>
        <w:numPr>
          <w:ilvl w:val="0"/>
          <w:numId w:val="1012"/>
        </w:numPr>
      </w:pPr>
      <w:r>
        <w:rPr>
          <w:b/>
          <w:bCs/>
        </w:rPr>
        <w:t xml:space="preserve">Dark (slate) bars</w:t>
      </w:r>
      <w:r>
        <w:t xml:space="preserve">: IPCC-defined coefficients that cannot be improved by the national inventory compiler (e.g. GWP values, Cfi, Cp). Uncertainty in these parameters is irreducible without IPCC guidance changes.</w:t>
      </w:r>
    </w:p>
    <w:p>
      <w:pPr>
        <w:pStyle w:val="Compact"/>
        <w:numPr>
          <w:ilvl w:val="0"/>
          <w:numId w:val="1012"/>
        </w:numPr>
      </w:pPr>
      <w:r>
        <w:rPr>
          <w:b/>
          <w:bCs/>
        </w:rPr>
        <w:t xml:space="preserve">Bright (green/red) bars</w:t>
      </w:r>
      <w:r>
        <w:t xml:space="preserve">: user-reducible parameters where better national data could meaningfully reduce inventory uncertainty.</w:t>
      </w:r>
    </w:p>
    <w:p>
      <w:r>
        <w:br w:type="page"/>
      </w:r>
    </w:p>
    <w:bookmarkEnd w:id="49"/>
    <w:bookmarkEnd w:id="50"/>
    <w:bookmarkStart w:id="57" w:name="correlation-structure"/>
    <w:p>
      <w:pPr>
        <w:pStyle w:val="Heading1"/>
      </w:pPr>
      <w:r>
        <w:t xml:space="preserve">Correlation Structure</w:t>
      </w:r>
    </w:p>
    <w:bookmarkStart w:id="51" w:name="activity-data-correlations"/>
    <w:p>
      <w:pPr>
        <w:pStyle w:val="Heading2"/>
      </w:pPr>
      <w:r>
        <w:t xml:space="preserve">Activity Data Correlations</w:t>
      </w:r>
    </w:p>
    <w:p>
      <w:pPr>
        <w:pStyle w:val="FirstParagraph"/>
      </w:pPr>
      <w:r>
        <w:t xml:space="preserve">Correlations between activity data parameters (e.g. body weight and mature weight, milk yield and milk fat content) are entered in the Tab~4</w:t>
      </w:r>
      <w:r>
        <w:t xml:space="preserve"> </w:t>
      </w:r>
      <w:r>
        <w:t xml:space="preserve"> </w:t>
      </w:r>
      <w:r>
        <w:t xml:space="preserve">card. Four modes are available; each is described in detail below.</w:t>
      </w:r>
    </w:p>
    <w:p>
      <w:pPr>
        <w:pStyle w:val="BodyText"/>
      </w:pPr>
      <w:r>
        <w:t xml:space="preserve"> </w:t>
      </w:r>
      <w:r>
        <w:t xml:space="preserve">Modes whose prerequisites are missing are greyed out automatically and cannot be selected:</w:t>
      </w:r>
      <w:r>
        <w:t xml:space="preserve"> </w:t>
      </w:r>
      <w:r>
        <w:rPr>
          <w:rStyle w:val="VerbatimChar"/>
        </w:rPr>
        <w:t xml:space="preserve">From template'' is disabled when the upload has no usable \texttt{Parameter\_TimeSeries} sheet,</w:t>
      </w:r>
      <w:r>
        <w:t xml:space="preserve">Manual entry’’ is disabled until the user uploads a CSV matrix, and</w:t>
      </w:r>
      <w:r>
        <w:t xml:space="preserve"> </w:t>
      </w:r>
      <w:r>
        <w:rPr>
          <w:rStyle w:val="VerbatimChar"/>
        </w:rPr>
        <w:t xml:space="preserve">Structural defaults'' is disabled until a template (built-in example or custom upload) is loaded. The Run button additionally blocks the simulation with an explicit error if a no-op mode somehow slips through. These gates prevent the silent fall-back to</w:t>
      </w:r>
      <w:r>
        <w:t xml:space="preserve">no correlations’’ that would otherwise occur when a mode is selected without the data it needs.</w:t>
      </w:r>
    </w:p>
    <w:p>
      <w:pPr>
        <w:pStyle w:val="BodyText"/>
      </w:pPr>
      <w:r>
        <w:t xml:space="preserve"> </w:t>
      </w:r>
      <w:r>
        <w:t xml:space="preserve">Picking the structural-defaults preset on a typical single-year inventory widens the 95% uncertainty interval by approximately</w:t>
      </w:r>
      <w:r>
        <w:t xml:space="preserve"> </w:t>
      </w:r>
      <m:oMath>
        <m:r>
          <m:t>3</m:t>
        </m:r>
      </m:oMath>
      <w:r>
        <w:t xml:space="preserve">–</w:t>
      </w:r>
      <m:oMath>
        <m:r>
          <m:t>10</m:t>
        </m:r>
      </m:oMath>
      <w:r>
        <w:t xml:space="preserve">%, depending mainly on how wide the user’s Ym range is (the cross-block DE</w:t>
      </w:r>
      <w:r>
        <w:t xml:space="preserve"> </w:t>
      </w:r>
      <m:oMath>
        <m:r>
          <m:rPr>
            <m:sty m:val="p"/>
          </m:rPr>
          <m:t>↔</m:t>
        </m:r>
      </m:oMath>
      <w:r>
        <w:t xml:space="preserve"> </w:t>
      </w:r>
      <w:r>
        <w:t xml:space="preserve">Ym</w:t>
      </w:r>
      <w:r>
        <w:t xml:space="preserve"> </w:t>
      </w:r>
      <m:oMath>
        <m:r>
          <m:rPr>
            <m:sty m:val="p"/>
          </m:rPr>
          <m:t>=</m:t>
        </m:r>
        <m:r>
          <m:rPr>
            <m:sty m:val="p"/>
          </m:rPr>
          <m:t>−</m:t>
        </m:r>
        <m:r>
          <m:t>0.50</m:t>
        </m:r>
      </m:oMath>
      <w:r>
        <w:t xml:space="preserve"> </w:t>
      </w:r>
      <w:r>
        <w:t xml:space="preserve">pair is the dominant mover). The central estimate is essentially unchanged because correlations preserve marginal means. The ``From template (auto)’’ mode produces effects in the same general range when the time-series is rich enough to deliver multiple correlated pairs; a sparse or near-static time-series will produce a much smaller effect (the matrix collapses to near-identity after detrending).</w:t>
      </w:r>
    </w:p>
    <w:bookmarkEnd w:id="51"/>
    <w:bookmarkStart w:id="52" w:name="emission-factor-correlations"/>
    <w:p>
      <w:pPr>
        <w:pStyle w:val="Heading2"/>
      </w:pPr>
      <w:r>
        <w:t xml:space="preserve">Emission Factor Correlations</w:t>
      </w:r>
    </w:p>
    <w:p>
      <w:pPr>
        <w:pStyle w:val="FirstParagraph"/>
      </w:pPr>
      <w:r>
        <w:t xml:space="preserve">Emission factors that share systematic bias because they come from the same measurement literature (e.g. all rumen-fermentation coefficients from one regional database, or all NH</w:t>
      </w:r>
      <m:oMath>
        <m:sSub>
          <m:e>
            <m:r>
              <m:t>​</m:t>
            </m:r>
          </m:e>
          <m:sub>
            <m:r>
              <m:t>3</m:t>
            </m:r>
          </m:sub>
        </m:sSub>
      </m:oMath>
      <w:r>
        <w:t xml:space="preserve"> </w:t>
      </w:r>
      <w:r>
        <w:t xml:space="preserve">volatilisation parameters from one experimental programme) can be assigned correlations in the Tab~4</w:t>
      </w:r>
      <w:r>
        <w:t xml:space="preserve"> </w:t>
      </w:r>
      <w:r>
        <w:t xml:space="preserve"> </w:t>
      </w:r>
      <w:r>
        <w:t xml:space="preserve">card. Two modes are available:</w:t>
      </w:r>
    </w:p>
    <w:p>
      <w:pPr>
        <w:pStyle w:val="BodyText"/>
      </w:pPr>
      <w:r>
        <w:t xml:space="preserve">The same correlated-sampling procedure used for activity data (Section ``Correlated Sampling’’ above) is applied to the coefficient block: no special-case sampler. Setting a within-block slider to</w:t>
      </w:r>
      <w:r>
        <w:t xml:space="preserve"> </w:t>
      </w:r>
      <m:oMath>
        <m:r>
          <m:t>ρ</m:t>
        </m:r>
        <m:r>
          <m:rPr>
            <m:sty m:val="p"/>
          </m:rPr>
          <m:t>=</m:t>
        </m:r>
        <m:r>
          <m:t>0.3</m:t>
        </m:r>
      </m:oMath>
      <w:r>
        <w:t xml:space="preserve"> </w:t>
      </w:r>
      <w:r>
        <w:t xml:space="preserve">typically widens the 95% uncertainty interval by a further few percent on top of any activity-data correlation effect; setting it to</w:t>
      </w:r>
      <w:r>
        <w:t xml:space="preserve"> </w:t>
      </w:r>
      <m:oMath>
        <m:r>
          <m:t>ρ</m:t>
        </m:r>
        <m:r>
          <m:rPr>
            <m:sty m:val="p"/>
          </m:rPr>
          <m:t>=</m:t>
        </m:r>
        <m:r>
          <m:t>0.5</m:t>
        </m:r>
      </m:oMath>
      <w:r>
        <w:t xml:space="preserve"> </w:t>
      </w:r>
      <w:r>
        <w:t xml:space="preserve">(the slider maximum) approximately doubles that.</w:t>
      </w:r>
    </w:p>
    <w:bookmarkEnd w:id="52"/>
    <w:bookmarkStart w:id="53" w:name="X9da91f631b680feae2f52606f0115594c6def0d"/>
    <w:p>
      <w:pPr>
        <w:pStyle w:val="Heading2"/>
      </w:pPr>
      <w:r>
        <w:t xml:space="preserve">Structural-Defaults Preset (Expert-Elicited)</w:t>
      </w:r>
    </w:p>
    <w:p>
      <w:pPr>
        <w:pStyle w:val="FirstParagraph"/>
      </w:pPr>
      <w:r>
        <w:t xml:space="preserve">The tool provides a</w:t>
      </w:r>
      <w:r>
        <w:t xml:space="preserve"> </w:t>
      </w:r>
      <w:r>
        <w:rPr>
          <w:b/>
          <w:bCs/>
        </w:rPr>
        <w:t xml:space="preserve">structural-defaults preset</w:t>
      </w:r>
      <w:r>
        <w:t xml:space="preserve"> </w:t>
      </w:r>
      <w:r>
        <w:t xml:space="preserve">correlation matrix as a middle ground between full independence and user-specified correlations. This preset assigns non-zero correlations to a small set of structurally linked pairs drawn from the IPCC equation structure and the published livestock literature.</w:t>
      </w:r>
      <w:r>
        <w:t xml:space="preserve"> </w:t>
      </w:r>
      <w:r>
        <w:t xml:space="preserve"> </w:t>
      </w:r>
      <w:r>
        <w:t xml:space="preserve">All other pairs are set to zero. Hover any non-zero cell in the heatmap for the per-pair source citation. This is appropriate when no empirical correlation data are available but the inventory compiler wants to avoid the unrealistic assumption of full independence.</w:t>
      </w:r>
    </w:p>
    <w:p>
      <w:pPr>
        <w:pStyle w:val="BodyText"/>
      </w:pPr>
      <w:r>
        <w:t xml:space="preserve">The current preset contains seven pairs:</w:t>
      </w:r>
    </w:p>
    <w:p>
      <w:pPr>
        <w:pStyle w:val="BodyText"/>
      </w:pPr>
      <w:r>
        <w:t xml:space="preserve"> </w:t>
      </w:r>
      <w:r>
        <w:t xml:space="preserve">A previously included N</w:t>
      </w:r>
      <w:r>
        <w:t xml:space="preserve"> </w:t>
      </w:r>
      <m:oMath>
        <m:r>
          <m:rPr>
            <m:sty m:val="p"/>
          </m:rPr>
          <m:t>↔</m:t>
        </m:r>
      </m:oMath>
      <w:r>
        <w:t xml:space="preserve"> </w:t>
      </w:r>
      <w:r>
        <w:t xml:space="preserve">BW</w:t>
      </w:r>
      <w:r>
        <w:t xml:space="preserve"> </w:t>
      </w:r>
      <m:oMath>
        <m:r>
          <m:rPr>
            <m:sty m:val="p"/>
          </m:rPr>
          <m:t>=</m:t>
        </m:r>
        <m:r>
          <m:t>0.30</m:t>
        </m:r>
      </m:oMath>
      <w:r>
        <w:t xml:space="preserve"> </w:t>
      </w:r>
      <w:r>
        <w:t xml:space="preserve">pair was removed (no defensible cross-country source); DE</w:t>
      </w:r>
      <w:r>
        <w:t xml:space="preserve"> </w:t>
      </w:r>
      <m:oMath>
        <m:r>
          <m:rPr>
            <m:sty m:val="p"/>
          </m:rPr>
          <m:t>↔</m:t>
        </m:r>
      </m:oMath>
      <w:r>
        <w:t xml:space="preserve"> </w:t>
      </w:r>
      <w:r>
        <w:t xml:space="preserve">Ym was set to</w:t>
      </w:r>
      <w:r>
        <w:t xml:space="preserve"> </w:t>
      </w:r>
      <m:oMath>
        <m:r>
          <m:rPr>
            <m:sty m:val="p"/>
          </m:rPr>
          <m:t>−</m:t>
        </m:r>
        <m:r>
          <m:t>0.50</m:t>
        </m:r>
      </m:oMath>
      <w:r>
        <w:t xml:space="preserve"> </w:t>
      </w:r>
      <w:r>
        <w:t xml:space="preserve">(cross-diet meta-analyses cited in Section ``Activity Data Correlations’’); Cfi</w:t>
      </w:r>
      <w:r>
        <w:t xml:space="preserve"> </w:t>
      </w:r>
      <m:oMath>
        <m:r>
          <m:rPr>
            <m:sty m:val="p"/>
          </m:rPr>
          <m:t>↔</m:t>
        </m:r>
      </m:oMath>
      <w:r>
        <w:t xml:space="preserve"> </w:t>
      </w:r>
      <w:r>
        <w:t xml:space="preserve">Ca was set to</w:t>
      </w:r>
      <w:r>
        <w:t xml:space="preserve"> </w:t>
      </w:r>
      <m:oMath>
        <m:r>
          <m:t>0.30</m:t>
        </m:r>
      </m:oMath>
      <w:r>
        <w:t xml:space="preserve"> </w:t>
      </w:r>
      <w:r>
        <w:t xml:space="preserve">rather than the previously assumed</w:t>
      </w:r>
      <w:r>
        <w:t xml:space="preserve"> </w:t>
      </w:r>
      <m:oMath>
        <m:r>
          <m:t>0.60</m:t>
        </m:r>
      </m:oMath>
      <w:r>
        <w:t xml:space="preserve">, recognising that Cfi and Ca are independent inputs in IPCC Eq 10.3 / 10.4 rather than jointly estimated; BW</w:t>
      </w:r>
      <w:r>
        <w:t xml:space="preserve"> </w:t>
      </w:r>
      <m:oMath>
        <m:r>
          <m:rPr>
            <m:sty m:val="p"/>
          </m:rPr>
          <m:t>↔</m:t>
        </m:r>
      </m:oMath>
      <w:r>
        <w:t xml:space="preserve"> </w:t>
      </w:r>
      <w:r>
        <w:t xml:space="preserve">MW was set to</w:t>
      </w:r>
      <w:r>
        <w:t xml:space="preserve"> </w:t>
      </w:r>
      <m:oMath>
        <m:r>
          <m:t>0.50</m:t>
        </m:r>
      </m:oMath>
      <w:r>
        <w:t xml:space="preserve"> </w:t>
      </w:r>
      <w:r>
        <w:t xml:space="preserve">rather than</w:t>
      </w:r>
      <w:r>
        <w:t xml:space="preserve"> </w:t>
      </w:r>
      <m:oMath>
        <m:r>
          <m:t>0.85</m:t>
        </m:r>
      </m:oMath>
      <w:r>
        <w:t xml:space="preserve"> </w:t>
      </w:r>
      <w:r>
        <w:t xml:space="preserve">to reflect the typical mixed-source data provenance (BW from the national census, MW from a breed reference); the two cross-group dairy pairs (Milk</w:t>
      </w:r>
      <w:r>
        <w:t xml:space="preserve"> </w:t>
      </w:r>
      <m:oMath>
        <m:r>
          <m:rPr>
            <m:sty m:val="p"/>
          </m:rPr>
          <m:t>↔</m:t>
        </m:r>
      </m:oMath>
      <w:r>
        <w:t xml:space="preserve"> </w:t>
      </w:r>
      <w:r>
        <w:t xml:space="preserve">BW and Milk</w:t>
      </w:r>
      <w:r>
        <w:t xml:space="preserve"> </w:t>
      </w:r>
      <m:oMath>
        <m:r>
          <m:rPr>
            <m:sty m:val="p"/>
          </m:rPr>
          <m:t>↔</m:t>
        </m:r>
      </m:oMath>
      <w:r>
        <w:t xml:space="preserve"> </w:t>
      </w:r>
      <w:r>
        <w:t xml:space="preserve">DE) were added to capture biological linkages between herd-population and feed-quality parameters; and a Milk</w:t>
      </w:r>
      <w:r>
        <w:t xml:space="preserve"> </w:t>
      </w:r>
      <m:oMath>
        <m:r>
          <m:rPr>
            <m:sty m:val="p"/>
          </m:rPr>
          <m:t>↔</m:t>
        </m:r>
      </m:oMath>
      <w:r>
        <w:t xml:space="preserve"> </w:t>
      </w:r>
      <w:r>
        <w:t xml:space="preserve">pct_pregnant pair was not included because the sign is ambiguous between per-cow genetic and per-herd management interpretations. The resulting matrix is positive-definite without nearest-PD repair.</w:t>
      </w:r>
    </w:p>
    <w:bookmarkEnd w:id="53"/>
    <w:bookmarkStart w:id="54" w:name="cross-block-correlations"/>
    <w:p>
      <w:pPr>
        <w:pStyle w:val="Heading2"/>
      </w:pPr>
      <w:r>
        <w:t xml:space="preserve">Cross-Block Correlations</w:t>
      </w:r>
    </w:p>
    <w:p>
      <w:pPr>
        <w:pStyle w:val="FirstParagraph"/>
      </w:pPr>
      <w:r>
        <w:t xml:space="preserve">The preset and the manual / time-series matrices support cross-block correlations (i.e. correlations between an activity-data parameter and a coefficient: for example BW</w:t>
      </w:r>
      <w:r>
        <w:t xml:space="preserve"> </w:t>
      </w:r>
      <m:oMath>
        <m:r>
          <m:rPr>
            <m:sty m:val="p"/>
          </m:rPr>
          <m:t>↔</m:t>
        </m:r>
      </m:oMath>
      <w:r>
        <w:t xml:space="preserve"> </w:t>
      </w:r>
      <w:r>
        <w:t xml:space="preserve">Cfi). This is implemented via a single unified correlation matrix that spans the union of all parameter names; the sampler draws from one multivariate distribution covering both blocks rather than two independent block-level distributions. Independence within and across blocks is the default.</w:t>
      </w:r>
    </w:p>
    <w:bookmarkEnd w:id="54"/>
    <w:bookmarkStart w:id="55" w:name="time-series-correlation-matrix"/>
    <w:p>
      <w:pPr>
        <w:pStyle w:val="Heading2"/>
      </w:pPr>
      <w:r>
        <w:t xml:space="preserve">Time-Series Correlation Matrix</w:t>
      </w:r>
    </w:p>
    <w:p>
      <w:pPr>
        <w:pStyle w:val="FirstParagraph"/>
      </w:pPr>
      <w:r>
        <w:t xml:space="preserve">When the user uploads a</w:t>
      </w:r>
      <w:r>
        <w:t xml:space="preserve"> </w:t>
      </w:r>
      <w:r>
        <w:t xml:space="preserve"> </w:t>
      </w:r>
      <w:r>
        <w:t xml:space="preserve">sheet, the correlation matrix is computed automatically as a</w:t>
      </w:r>
      <w:r>
        <w:t xml:space="preserve"> </w:t>
      </w:r>
      <w:r>
        <w:t xml:space="preserve"> </w:t>
      </w:r>
      <w:r>
        <w:t xml:space="preserve">rank correlation of the annual values, after</w:t>
      </w:r>
      <w:r>
        <w:t xml:space="preserve"> </w:t>
      </w:r>
      <w:r>
        <w:t xml:space="preserve"> </w:t>
      </w:r>
      <w:r>
        <w:t xml:space="preserve">(first differences by default, with a UI option to switch to linear detrend or raw series). Detrending separates shared long-run growth (which is not the year-to-year joint uncertainty Approach 2 is meant to capture) from genuine parameter co-movement. The resulting matrix is then projected onto the nearest positive-definite correlation matrix via</w:t>
      </w:r>
      <w:r>
        <w:t xml:space="preserve"> </w:t>
      </w:r>
      <w:r>
        <w:t xml:space="preserve"> </w:t>
      </w:r>
      <w:r>
        <w:t xml:space="preserve">so it can be supplied directly to the sampler described in the ``Correlated Sampling’’ section above.</w:t>
      </w:r>
    </w:p>
    <w:bookmarkEnd w:id="55"/>
    <w:bookmarkStart w:id="56" w:name="X08ae039b0a52ccb699b77be70c03cc9032dadd7"/>
    <w:p>
      <w:pPr>
        <w:pStyle w:val="Heading2"/>
      </w:pPr>
      <w:r>
        <w:t xml:space="preserve">Year-to-Year Coefficient Correlation (Trend Mode)</w:t>
      </w:r>
    </w:p>
    <w:p>
      <w:pPr>
        <w:pStyle w:val="FirstParagraph"/>
      </w:pPr>
      <w:r>
        <w:t xml:space="preserve">When the tool is run in</w:t>
      </w:r>
      <w:r>
        <w:t xml:space="preserve"> </w:t>
      </w:r>
      <w:r>
        <w:t xml:space="preserve"> </w:t>
      </w:r>
      <w:r>
        <w:t xml:space="preserve">(multi-year inventory), an additional decision arises: within a single Monte Carlo iteration, how should the IPCC coefficients (Cfi, Ca, Ym, Bo, MCF, EF3, EF4, EF5,</w:t>
      </w:r>
      <w:r>
        <w:t xml:space="preserve"> </w:t>
      </w:r>
      <w:r>
        <w:t xml:space="preserve">) move from one year to the next? IPCC Volume 1 Chapter 3 Section 3.2.3.2 (Trend Analysis) and 2019 Refinement §3.2.2.4 discuss this explicitly: emission factor uncertainties are typically estimated once for an inventory series and reused across years (correlated), while activity data is normally re-estimated each year and treated as independent across years.</w:t>
      </w:r>
    </w:p>
    <w:p>
      <w:pPr>
        <w:pStyle w:val="BodyText"/>
      </w:pPr>
      <w:r>
        <w:t xml:space="preserve">The tool exposes three options on the Simulate tab when Trend mode is selected. Activity data (</w:t>
      </w:r>
      <m:oMath>
        <m:r>
          <m:t>N</m:t>
        </m:r>
      </m:oMath>
      <w:r>
        <w:t xml:space="preserve">,</w:t>
      </w:r>
      <w:r>
        <w:t xml:space="preserve"> </w:t>
      </w:r>
      <m:oMath>
        <m:r>
          <m:t>B</m:t>
        </m:r>
        <m:r>
          <m:t>W</m:t>
        </m:r>
      </m:oMath>
      <w:r>
        <w:t xml:space="preserve">,</w:t>
      </w:r>
      <w:r>
        <w:t xml:space="preserve"> </w:t>
      </w:r>
      <m:oMath>
        <m:r>
          <m:t>W</m:t>
        </m:r>
        <m:r>
          <m:t>G</m:t>
        </m:r>
      </m:oMath>
      <w:r>
        <w:t xml:space="preserve">, Milk,</w:t>
      </w:r>
      <w:r>
        <w:t xml:space="preserve"> </w:t>
      </w:r>
      <w:r>
        <w:t xml:space="preserve">) is re-sampled fresh each year regardless of this setting:</w:t>
      </w:r>
    </w:p>
    <w:p>
      <w:pPr>
        <w:pStyle w:val="BodyText"/>
      </w:pPr>
      <w:r>
        <w:t xml:space="preserve">The choice is implemented in</w:t>
      </w:r>
      <w:r>
        <w:t xml:space="preserve"> </w:t>
      </w:r>
      <w:r>
        <w:t xml:space="preserve">. The</w:t>
      </w:r>
      <w:r>
        <w:t xml:space="preserve"> </w:t>
      </w:r>
      <w:r>
        <w:rPr>
          <w:rStyle w:val="VerbatimChar"/>
        </w:rPr>
        <w:t xml:space="preserve">full'' branch pre-samples a single $n_{\text{iter}} \times n_{\text{coef}}$ matrix and reuses it for every year. The</w:t>
      </w:r>
      <w:r>
        <w:t xml:space="preserve">partial’’ branch builds an</w:t>
      </w:r>
      <w:r>
        <w:t xml:space="preserve"> </w:t>
      </w:r>
      <m:oMath>
        <m:sSub>
          <m:e>
            <m:r>
              <m:t>n</m:t>
            </m:r>
          </m:e>
          <m:sub>
            <m:r>
              <m:rPr>
                <m:nor/>
                <m:sty m:val="p"/>
              </m:rPr>
              <m:t>iter</m:t>
            </m:r>
          </m:sub>
        </m:sSub>
        <m:r>
          <m:rPr>
            <m:sty m:val="p"/>
          </m:rPr>
          <m:t>×</m:t>
        </m:r>
        <m:sSub>
          <m:e>
            <m:r>
              <m:t>n</m:t>
            </m:r>
          </m:e>
          <m:sub>
            <m:r>
              <m:rPr>
                <m:nor/>
                <m:sty m:val="p"/>
              </m:rPr>
              <m:t>years</m:t>
            </m:r>
          </m:sub>
        </m:sSub>
      </m:oMath>
      <w:r>
        <w:t xml:space="preserve"> </w:t>
      </w:r>
      <w:r>
        <w:t xml:space="preserve">rank-correlated draw for each coefficient against an AR(1) target rank correlation matrix, then runs each year’s MC with the corresponding column slice. The ``independent’’ branch re-samples coefficients inside every per-year call.</w:t>
      </w:r>
    </w:p>
    <w:p>
      <w:pPr>
        <w:pStyle w:val="BodyText"/>
      </w:pPr>
      <w:r>
        <w:t xml:space="preserve"> </w:t>
      </w:r>
      <w:r>
        <w:t xml:space="preserve">For an emission factor whose uncertainty is largely systematic, full correlation produces the</w:t>
      </w:r>
      <w:r>
        <w:t xml:space="preserve"> </w:t>
      </w:r>
      <w:r>
        <w:t xml:space="preserve"> </w:t>
      </w:r>
      <w:r>
        <w:t xml:space="preserve">trend uncertainty (because the EF cancels) and independent sampling the</w:t>
      </w:r>
      <w:r>
        <w:t xml:space="preserve"> </w:t>
      </w:r>
      <w:r>
        <w:t xml:space="preserve">. IPCC V1 Ch3 p. 25 explicitly notes that</w:t>
      </w:r>
      <w:r>
        <w:t xml:space="preserve"> </w:t>
      </w:r>
      <w:r>
        <w:rPr>
          <w:rStyle w:val="VerbatimChar"/>
        </w:rPr>
        <w:t xml:space="preserve">positive correlations in uncertainties when comparing two years as part of trend analysis will decrease uncertainty in the trend''. Choosing</w:t>
      </w:r>
      <w:r>
        <w:t xml:space="preserve">independent’’ when the EFs are in fact reused will over-state trend uncertainty; choosing</w:t>
      </w:r>
      <w:r>
        <w:t xml:space="preserve"> </w:t>
      </w:r>
      <w:r>
        <w:rPr>
          <w:rStyle w:val="VerbatimChar"/>
        </w:rPr>
        <w:t xml:space="preserve">full'' when the EFs are in fact re-measured each year will under-state it. The IPCC default (</w:t>
      </w:r>
      <w:r>
        <w:t xml:space="preserve">full’’) is the conservative choice for the typical case where the inventory compiler is using IPCC defaults or a single national estimation programme.</w:t>
      </w:r>
    </w:p>
    <w:p>
      <w:r>
        <w:br w:type="page"/>
      </w:r>
    </w:p>
    <w:bookmarkEnd w:id="56"/>
    <w:bookmarkEnd w:id="57"/>
    <w:bookmarkStart w:id="58" w:name="validation-and-quality-assurance"/>
    <w:p>
      <w:pPr>
        <w:pStyle w:val="Heading1"/>
      </w:pPr>
      <w:r>
        <w:t xml:space="preserve">Validation and Quality Assurance</w:t>
      </w:r>
    </w:p>
    <w:p>
      <w:pPr>
        <w:pStyle w:val="FirstParagraph"/>
      </w:pPr>
      <w:r>
        <w:t xml:space="preserve">The tool includes a QA/QC module (</w:t>
      </w:r>
      <w:r>
        <w:t xml:space="preserve">) that runs a series of checks against the loaded parameter data before simulation. Each check returns one of five statuses:</w:t>
      </w:r>
    </w:p>
    <w:p>
      <w:pPr>
        <w:pStyle w:val="BodyText"/>
      </w:pPr>
      <w:r>
        <w:t xml:space="preserve">The Pass / Warn / Fail thresholds for benchmark deviation apply</w:t>
      </w:r>
      <w:r>
        <w:t xml:space="preserve"> </w:t>
      </w:r>
      <w:r>
        <w:t xml:space="preserve">, the single parameter for which the tool holds a defensible continental IPCC default lookup: Vol.4 Ch.10 Annex Table 10A.1 (dairy cows), Annex Table 10A.2 (other cattle), or Annex Table 10A.3 (buffalo). Earlier versions of the tool also flagged deviations on Milk, MW, DE, Ym, and Bo against heuristic mid-points derived from the same Annex 10A illustrative tables; these were removed (Andreas Wilkes review, May 2026) because those mid-points were not directly citable to a published IPCC default and a reviewer auditing the QA tab could not locate them in the guidelines. The</w:t>
      </w:r>
      <w:r>
        <w:t xml:space="preserve"> </w:t>
      </w:r>
      <w:r>
        <w:t xml:space="preserve"> </w:t>
      </w:r>
      <w:r>
        <w:t xml:space="preserve">column of</w:t>
      </w:r>
      <w:r>
        <w:t xml:space="preserve"> </w:t>
      </w:r>
      <w:r>
        <w:t xml:space="preserve"> </w:t>
      </w:r>
      <w:r>
        <w:t xml:space="preserve">is still used to auto-fill missing values and is sourced from Vol.4 Ch.10 (Tables 10.4, 10.5, 10.7, 10.11, 10.12, 10.16(a), 10.17, 10.21, 10.22, 10.23) and Vol.4 Ch.11 (Tables 11.1, 11.3), it is just no longer used as a deviation benchmark for parameters other than BW. Reinstating per-parameter benchmarks properly would require a multi-dimensional table indexed by continent, IPCC version (2006 vs 2019R), production system, and animal sub-category; that is deferred to a future release. Auto-filled parameters are listed in a banner on Tab~1 immediately after data upload; they should be replaced with country-specific values wherever possible, because both the central estimate and the propagated uncertainty depend on them.</w:t>
      </w:r>
    </w:p>
    <w:p>
      <w:r>
        <w:br w:type="page"/>
      </w:r>
    </w:p>
    <w:bookmarkEnd w:id="58"/>
    <w:bookmarkStart w:id="64" w:name="verification-of-calculation-accuracy"/>
    <w:p>
      <w:pPr>
        <w:pStyle w:val="Heading1"/>
      </w:pPr>
      <w:r>
        <w:t xml:space="preserve">Verification of Calculation Accuracy</w:t>
      </w:r>
    </w:p>
    <w:p>
      <w:pPr>
        <w:pStyle w:val="FirstParagraph"/>
      </w:pPr>
      <w:r>
        <w:t xml:space="preserve">The previous section describes the checks the tool applies to the user’s</w:t>
      </w:r>
      <w:r>
        <w:t xml:space="preserve"> </w:t>
      </w:r>
      <w:r>
        <w:t xml:space="preserve">. This section describes how the tool’s</w:t>
      </w:r>
      <w:r>
        <w:t xml:space="preserve"> </w:t>
      </w:r>
      <w:r>
        <w:t xml:space="preserve">: the implementation of the IPCC equation chain and the Monte Carlo sampler, has itself been verified to produce correct numbers. Input validation and calculation verification are complementary: the former guards against bad data going in, the latter guarantees the equations are implemented correctly.</w:t>
      </w:r>
    </w:p>
    <w:bookmarkStart w:id="59" w:name="X4783eb254dc3b2061d58bfe305eaa5ea4dc7341"/>
    <w:p>
      <w:pPr>
        <w:pStyle w:val="Heading2"/>
      </w:pPr>
      <w:r>
        <w:t xml:space="preserve">Equation-chain verification against manual calculation</w:t>
      </w:r>
    </w:p>
    <w:p>
      <w:pPr>
        <w:pStyle w:val="FirstParagraph"/>
      </w:pPr>
      <w:r>
        <w:t xml:space="preserve">The core of the verification is a fixed, fully worked test case. For a single representative animal with a complete set of fixed parameters, every intermediate quantity in the IPCC Tier 2 chain was computed independently by hand and in a spreadsheet, directly from the published equations: the net-energy terms (</w:t>
      </w:r>
      <m:oMath>
        <m:r>
          <m:t>N</m:t>
        </m:r>
        <m:sSub>
          <m:e>
            <m:r>
              <m:t>E</m:t>
            </m:r>
          </m:e>
          <m:sub>
            <m:r>
              <m:t>m</m:t>
            </m:r>
          </m:sub>
        </m:sSub>
      </m:oMath>
      <w:r>
        <w:t xml:space="preserve">,</w:t>
      </w:r>
      <w:r>
        <w:t xml:space="preserve"> </w:t>
      </w:r>
      <m:oMath>
        <m:r>
          <m:t>N</m:t>
        </m:r>
        <m:sSub>
          <m:e>
            <m:r>
              <m:t>E</m:t>
            </m:r>
          </m:e>
          <m:sub>
            <m:r>
              <m:t>a</m:t>
            </m:r>
          </m:sub>
        </m:sSub>
      </m:oMath>
      <w:r>
        <w:t xml:space="preserve">,</w:t>
      </w:r>
      <w:r>
        <w:t xml:space="preserve"> </w:t>
      </w:r>
      <m:oMath>
        <m:r>
          <m:t>N</m:t>
        </m:r>
        <m:sSub>
          <m:e>
            <m:r>
              <m:t>E</m:t>
            </m:r>
          </m:e>
          <m:sub>
            <m:r>
              <m:t>g</m:t>
            </m:r>
          </m:sub>
        </m:sSub>
      </m:oMath>
      <w:r>
        <w:t xml:space="preserve">,</w:t>
      </w:r>
      <w:r>
        <w:t xml:space="preserve"> </w:t>
      </w:r>
      <m:oMath>
        <m:r>
          <m:t>N</m:t>
        </m:r>
        <m:sSub>
          <m:e>
            <m:r>
              <m:t>E</m:t>
            </m:r>
          </m:e>
          <m:sub>
            <m:r>
              <m:t>l</m:t>
            </m:r>
          </m:sub>
        </m:sSub>
      </m:oMath>
      <w:r>
        <w:t xml:space="preserve">,</w:t>
      </w:r>
      <w:r>
        <w:t xml:space="preserve"> </w:t>
      </w:r>
      <m:oMath>
        <m:r>
          <m:t>N</m:t>
        </m:r>
        <m:sSub>
          <m:e>
            <m:r>
              <m:t>E</m:t>
            </m:r>
          </m:e>
          <m:sub>
            <m:r>
              <m:t>w</m:t>
            </m:r>
          </m:sub>
        </m:sSub>
      </m:oMath>
      <w:r>
        <w:t xml:space="preserve">,</w:t>
      </w:r>
      <w:r>
        <w:t xml:space="preserve"> </w:t>
      </w:r>
      <m:oMath>
        <m:r>
          <m:t>N</m:t>
        </m:r>
        <m:sSub>
          <m:e>
            <m:r>
              <m:t>E</m:t>
            </m:r>
          </m:e>
          <m:sub>
            <m:r>
              <m:t>p</m:t>
            </m:r>
          </m:sub>
        </m:sSub>
      </m:oMath>
      <w:r>
        <w:t xml:space="preserve">), the energy ratios (</w:t>
      </w:r>
      <m:oMath>
        <m:r>
          <m:t>R</m:t>
        </m:r>
        <m:r>
          <m:t>E</m:t>
        </m:r>
        <m:r>
          <m:t>M</m:t>
        </m:r>
      </m:oMath>
      <w:r>
        <w:t xml:space="preserve">,</w:t>
      </w:r>
      <w:r>
        <w:t xml:space="preserve"> </w:t>
      </w:r>
      <m:oMath>
        <m:r>
          <m:t>R</m:t>
        </m:r>
        <m:r>
          <m:t>E</m:t>
        </m:r>
        <m:r>
          <m:t>G</m:t>
        </m:r>
      </m:oMath>
      <w:r>
        <w:t xml:space="preserve">), gross energy intake (</w:t>
      </w:r>
      <m:oMath>
        <m:r>
          <m:t>G</m:t>
        </m:r>
        <m:r>
          <m:t>E</m:t>
        </m:r>
      </m:oMath>
      <w:r>
        <w:t xml:space="preserve">), the enteric emission factor (</w:t>
      </w:r>
      <m:oMath>
        <m:r>
          <m:t>E</m:t>
        </m:r>
        <m:sSub>
          <m:e>
            <m:r>
              <m:t>F</m:t>
            </m:r>
          </m:e>
          <m:sub>
            <m:r>
              <m:t>1</m:t>
            </m:r>
          </m:sub>
        </m:sSub>
      </m:oMath>
      <w:r>
        <w:t xml:space="preserve">), volatile-solid excretion (</w:t>
      </w:r>
      <m:oMath>
        <m:r>
          <m:t>V</m:t>
        </m:r>
        <m:r>
          <m:t>S</m:t>
        </m:r>
      </m:oMath>
      <w:r>
        <w:t xml:space="preserve">), nitrogen excretion (</w:t>
      </w:r>
      <m:oMath>
        <m:sSub>
          <m:e>
            <m:r>
              <m:t>N</m:t>
            </m:r>
          </m:e>
          <m:sub>
            <m:r>
              <m:rPr>
                <m:nor/>
                <m:sty m:val="p"/>
              </m:rPr>
              <m:t>ex</m:t>
            </m:r>
          </m:sub>
        </m:sSub>
      </m:oMath>
      <w:r>
        <w:t xml:space="preserve">), and all four manure- and pasture-N</w:t>
      </w:r>
      <m:oMath>
        <m:sSub>
          <m:e>
            <m:r>
              <m:t>​</m:t>
            </m:r>
          </m:e>
          <m:sub>
            <m:r>
              <m:t>2</m:t>
            </m:r>
          </m:sub>
        </m:sSub>
      </m:oMath>
      <w:r>
        <w:t xml:space="preserve">O pathways, through to the inventory totals (total CH</w:t>
      </w:r>
      <m:oMath>
        <m:sSub>
          <m:e>
            <m:r>
              <m:t>​</m:t>
            </m:r>
          </m:e>
          <m:sub>
            <m:r>
              <m:t>4</m:t>
            </m:r>
          </m:sub>
        </m:sSub>
      </m:oMath>
      <w:r>
        <w:t xml:space="preserve">, total N</w:t>
      </w:r>
      <m:oMath>
        <m:sSub>
          <m:e>
            <m:r>
              <m:t>​</m:t>
            </m:r>
          </m:e>
          <m:sub>
            <m:r>
              <m:t>2</m:t>
            </m:r>
          </m:sub>
        </m:sSub>
      </m:oMath>
      <w:r>
        <w:t xml:space="preserve">O, and total CO</w:t>
      </w:r>
      <m:oMath>
        <m:sSub>
          <m:e>
            <m:r>
              <m:t>​</m:t>
            </m:r>
          </m:e>
          <m:sub>
            <m:r>
              <m:t>2</m:t>
            </m:r>
          </m:sub>
        </m:sSub>
      </m:oMath>
      <w:r>
        <w:t xml:space="preserve">eq under each GWP basis).</w:t>
      </w:r>
    </w:p>
    <w:p>
      <w:pPr>
        <w:pStyle w:val="BodyText"/>
      </w:pPr>
      <w:r>
        <w:t xml:space="preserve">The tool’s computed value for each of these quantities must match the independently calculated reference to a relative tolerance of</w:t>
      </w:r>
      <w:r>
        <w:t xml:space="preserve"> </w:t>
      </w:r>
      <m:oMath>
        <m:r>
          <m:t>1</m:t>
        </m:r>
        <m:r>
          <m:rPr>
            <m:sty m:val="p"/>
          </m:rPr>
          <m:t>×</m:t>
        </m:r>
        <m:sSup>
          <m:e>
            <m:r>
              <m:t>10</m:t>
            </m:r>
          </m:e>
          <m:sup>
            <m:r>
              <m:rPr>
                <m:sty m:val="p"/>
              </m:rPr>
              <m:t>−</m:t>
            </m:r>
            <m:r>
              <m:t>4</m:t>
            </m:r>
          </m:sup>
        </m:sSup>
      </m:oMath>
      <w:r>
        <w:t xml:space="preserve">. These comparisons are encoded as automated assertions that run on every build, so any future change to the calculation code that altered a result: even slightly, would be caught immediately. This is the primary guarantee that the equations in Section</w:t>
      </w:r>
      <w:r>
        <w:t xml:space="preserve"> </w:t>
      </w:r>
      <w:r>
        <w:t xml:space="preserve">“IPCC Tier 2 Emission Equations”</w:t>
      </w:r>
      <w:r>
        <w:t xml:space="preserve"> </w:t>
      </w:r>
      <w:r>
        <w:t xml:space="preserve">are implemented exactly as written.</w:t>
      </w:r>
    </w:p>
    <w:bookmarkEnd w:id="59"/>
    <w:bookmarkStart w:id="60" w:name="X3af40e86e6c3533a97769c998397f52a172e7fb"/>
    <w:p>
      <w:pPr>
        <w:pStyle w:val="Heading2"/>
      </w:pPr>
      <w:r>
        <w:t xml:space="preserve">Cross-comparison with an independent Monte Carlo package</w:t>
      </w:r>
    </w:p>
    <w:p>
      <w:pPr>
        <w:pStyle w:val="FirstParagraph"/>
      </w:pPr>
      <w:r>
        <w:t xml:space="preserve">Beyond the single worked case, the tool has been exercised on real Tier 2 national cattle inventories and its results compared against two independent references: (i) manual re-calculation of the per-head emission factors and inventory totals, and (ii) an independent commercial Monte Carlo package configured with the same parameters, distributions and iteration count.</w:t>
      </w:r>
    </w:p>
    <w:p>
      <w:pPr>
        <w:pStyle w:val="BodyText"/>
      </w:pPr>
      <w:r>
        <w:t xml:space="preserve">On these real inventories the tool reproduced the deterministic emission totals from the manual calculation, and produced a 95% uncertainty interval consistent with the independent Monte Carlo package to within the sampling variability expected between two stochastic runs.</w:t>
      </w:r>
      <w:r>
        <w:t xml:space="preserve"> </w:t>
      </w:r>
      <w:r>
        <w:t xml:space="preserve">%% OPTIONAL: if you wish to quote a specific figure, insert it here, e.g.</w:t>
      </w:r>
      <w:r>
        <w:t xml:space="preserve"> </w:t>
      </w:r>
      <w:r>
        <w:t xml:space="preserve">%%</w:t>
      </w:r>
      <w:r>
        <w:t xml:space="preserve"> </w:t>
      </w:r>
      <w:r>
        <w:t xml:space="preserve">“(agreement within X% on the 95% margin of error for the manure-N2O pathway)”</w:t>
      </w:r>
      <w:r>
        <w:t xml:space="preserve">.</w:t>
      </w:r>
      <w:r>
        <w:t xml:space="preserve"> </w:t>
      </w:r>
      <w:r>
        <w:t xml:space="preserve">A regression guard retained in the automated test suite keeps the manure-N</w:t>
      </w:r>
      <m:oMath>
        <m:sSub>
          <m:e>
            <m:r>
              <m:t>​</m:t>
            </m:r>
          </m:e>
          <m:sub>
            <m:r>
              <m:t>2</m:t>
            </m:r>
          </m:sub>
        </m:sSub>
      </m:oMath>
      <w:r>
        <w:t xml:space="preserve">O pathway within the range established by this cross-comparison, so a future code change cannot silently introduce a large (e.g. order-of-magnitude) error in that pathway.</w:t>
      </w:r>
    </w:p>
    <w:bookmarkEnd w:id="60"/>
    <w:bookmarkStart w:id="61" w:name="automated-regression-test-suite"/>
    <w:p>
      <w:pPr>
        <w:pStyle w:val="Heading2"/>
      </w:pPr>
      <w:r>
        <w:t xml:space="preserve">Automated regression test suite</w:t>
      </w:r>
    </w:p>
    <w:p>
      <w:pPr>
        <w:pStyle w:val="FirstParagraph"/>
      </w:pPr>
      <w:r>
        <w:t xml:space="preserve">The two verification activities above are part of a broader automated test suite (91 checks at the time of writing) that is run before each release and deployment. The checks are organised into seven groups:</w:t>
      </w:r>
    </w:p>
    <w:p>
      <w:pPr>
        <w:pStyle w:val="BodyText"/>
      </w:pPr>
      <w:r>
        <w:t xml:space="preserve">The full multi-sub-category inventory chain must pass all checks before the tool is published.</w:t>
      </w:r>
    </w:p>
    <w:bookmarkEnd w:id="61"/>
    <w:bookmarkStart w:id="62" w:name="X076c15e95af57cebd5bcd2a03dee00b5ab0420b"/>
    <w:p>
      <w:pPr>
        <w:pStyle w:val="Heading2"/>
      </w:pPr>
      <w:r>
        <w:t xml:space="preserve">Verification of IPCC default values and uncertainty ranges</w:t>
      </w:r>
    </w:p>
    <w:p>
      <w:pPr>
        <w:pStyle w:val="FirstParagraph"/>
      </w:pPr>
      <w:r>
        <w:t xml:space="preserve">Every IPCC default value and uncertainty range pre-loaded in the tool: the energy-equation coefficients, the methane conversion factor</w:t>
      </w:r>
      <w:r>
        <w:t xml:space="preserve"> </w:t>
      </w:r>
      <m:oMath>
        <m:sSub>
          <m:e>
            <m:r>
              <m:t>Y</m:t>
            </m:r>
          </m:e>
          <m:sub>
            <m:r>
              <m:t>m</m:t>
            </m:r>
          </m:sub>
        </m:sSub>
      </m:oMath>
      <w:r>
        <w:t xml:space="preserve">, the maximum methane producing capacity</w:t>
      </w:r>
      <w:r>
        <w:t xml:space="preserve"> </w:t>
      </w:r>
      <m:oMath>
        <m:sSub>
          <m:e>
            <m:r>
              <m:t>B</m:t>
            </m:r>
          </m:e>
          <m:sub>
            <m:r>
              <m:t>o</m:t>
            </m:r>
          </m:sub>
        </m:sSub>
      </m:oMath>
      <w:r>
        <w:t xml:space="preserve">, the manure-system MCF values, and the N</w:t>
      </w:r>
      <m:oMath>
        <m:sSub>
          <m:e>
            <m:r>
              <m:t>​</m:t>
            </m:r>
          </m:e>
          <m:sub>
            <m:r>
              <m:t>2</m:t>
            </m:r>
          </m:sub>
        </m:sSub>
      </m:oMath>
      <w:r>
        <w:t xml:space="preserve">O emission factors and volatilisation / leaching fractions (</w:t>
      </w:r>
      <m:oMath>
        <m:r>
          <m:t>E</m:t>
        </m:r>
        <m:sSub>
          <m:e>
            <m:r>
              <m:t>F</m:t>
            </m:r>
          </m:e>
          <m:sub>
            <m:r>
              <m:t>3</m:t>
            </m:r>
          </m:sub>
        </m:sSub>
      </m:oMath>
      <w:r>
        <w:t xml:space="preserve">,</w:t>
      </w:r>
      <w:r>
        <w:t xml:space="preserve"> </w:t>
      </w:r>
      <m:oMath>
        <m:r>
          <m:t>E</m:t>
        </m:r>
        <m:sSub>
          <m:e>
            <m:r>
              <m:t>F</m:t>
            </m:r>
          </m:e>
          <m:sub>
            <m:r>
              <m:t>4</m:t>
            </m:r>
          </m:sub>
        </m:sSub>
      </m:oMath>
      <w:r>
        <w:t xml:space="preserve">,</w:t>
      </w:r>
      <w:r>
        <w:t xml:space="preserve"> </w:t>
      </w:r>
      <m:oMath>
        <m:r>
          <m:t>E</m:t>
        </m:r>
        <m:sSub>
          <m:e>
            <m:r>
              <m:t>F</m:t>
            </m:r>
          </m:e>
          <m:sub>
            <m:r>
              <m:t>5</m:t>
            </m:r>
          </m:sub>
        </m:sSub>
      </m:oMath>
      <w:r>
        <w:t xml:space="preserve">, FracGASM, FracLEACH), has been checked line-by-line against the IPCC 2019 Refinement source text (Volume 4, Chapter 10 and Chapter 11). This review confirmed the central values and corrected two pre-loaded uncertainty ranges (</w:t>
      </w:r>
      <m:oMath>
        <m:sSub>
          <m:e>
            <m:r>
              <m:t>B</m:t>
            </m:r>
          </m:e>
          <m:sub>
            <m:r>
              <m:t>o</m:t>
            </m:r>
          </m:sub>
        </m:sSub>
      </m:oMath>
      <w:r>
        <w:t xml:space="preserve"> </w:t>
      </w:r>
      <w:r>
        <w:t xml:space="preserve">and the pasture direct-N</w:t>
      </w:r>
      <m:oMath>
        <m:sSub>
          <m:e>
            <m:r>
              <m:t>​</m:t>
            </m:r>
          </m:e>
          <m:sub>
            <m:r>
              <m:t>2</m:t>
            </m:r>
          </m:sub>
        </m:sSub>
      </m:oMath>
      <w:r>
        <w:t xml:space="preserve">O factor</w:t>
      </w:r>
      <w:r>
        <w:t xml:space="preserve"> </w:t>
      </w:r>
      <m:oMath>
        <m:r>
          <m:t>E</m:t>
        </m:r>
        <m:sSub>
          <m:e>
            <m:r>
              <m:t>F</m:t>
            </m:r>
          </m:e>
          <m:sub>
            <m:r>
              <m:t>3</m:t>
            </m:r>
            <m:r>
              <m:rPr>
                <m:sty m:val="p"/>
              </m:rPr>
              <m:t>,</m:t>
            </m:r>
            <m:r>
              <m:rPr>
                <m:nor/>
                <m:sty m:val="p"/>
              </m:rPr>
              <m:t>PRP</m:t>
            </m:r>
          </m:sub>
        </m:sSub>
      </m:oMath>
      <w:r>
        <w:t xml:space="preserve">) to match the climate-specific ranges in Tables 10.16a and 11.1.</w:t>
      </w:r>
    </w:p>
    <w:bookmarkEnd w:id="62"/>
    <w:bookmarkStart w:id="63" w:name="reproducibility"/>
    <w:p>
      <w:pPr>
        <w:pStyle w:val="Heading2"/>
      </w:pPr>
      <w:r>
        <w:t xml:space="preserve">Reproducibility</w:t>
      </w:r>
    </w:p>
    <w:p>
      <w:pPr>
        <w:pStyle w:val="FirstParagraph"/>
      </w:pPr>
      <w:r>
        <w:t xml:space="preserve">Each simulation is driven by an explicit random seed, so any run can be reproduced exactly by re-supplying the same inputs and seed. The convergence guidance in Section</w:t>
      </w:r>
      <w:r>
        <w:t xml:space="preserve"> </w:t>
      </w:r>
      <w:r>
        <w:t xml:space="preserve">“Recommended Iteration Count and Convergence”</w:t>
      </w:r>
      <w:r>
        <w:t xml:space="preserve">: re-running with a second seed and checking that the 95% margin of error is stable, lets a user confirm that a reported result is converged rather than an artefact of a particular random draw.</w:t>
      </w:r>
    </w:p>
    <w:p>
      <w:r>
        <w:br w:type="page"/>
      </w:r>
    </w:p>
    <w:bookmarkEnd w:id="63"/>
    <w:bookmarkEnd w:id="64"/>
    <w:bookmarkStart w:id="68" w:name="reporting"/>
    <w:p>
      <w:pPr>
        <w:pStyle w:val="Heading1"/>
      </w:pPr>
      <w:r>
        <w:t xml:space="preserve">Reporting</w:t>
      </w:r>
    </w:p>
    <w:p>
      <w:pPr>
        <w:pStyle w:val="FirstParagraph"/>
      </w:pPr>
      <w:r>
        <w:t xml:space="preserve">The results calculated by the tool are designed to align with IPCC uncertainty reporting guidelines (IPCC 2006 Vol 1 Ch 3). The outputs reported by the tool can be used in a hybrid Approach 1 / Approach 2 uncertainty analysis for the whole inventory (IPCC 2006 §3.2.3.3) by entering into Table 3.3 the results reported by the tool for cattle emission sources alongside Approach 1 results for other emission categories. The outputs produced by the tool can also be used as inputs to a full Approach 2 analysis of uncertainty for the whole inventory.</w:t>
      </w:r>
    </w:p>
    <w:bookmarkStart w:id="65" w:name="ipcc-table-3.3-inputs"/>
    <w:p>
      <w:pPr>
        <w:pStyle w:val="Heading2"/>
      </w:pPr>
      <w:r>
        <w:t xml:space="preserve">IPCC Table 3.3 Inputs</w:t>
      </w:r>
    </w:p>
    <w:p>
      <w:pPr>
        <w:pStyle w:val="FirstParagraph"/>
      </w:pPr>
      <w:r>
        <w:t xml:space="preserve">In the case of a hybrid Approach 1 / Approach 2, IPCC 2006 Table 3.3 (see also the IPCC 2019 MS Excel tool for Approach 1, and the IPCC 2019 Vol 1 Ch 3 addendum) requires the following inputs to characterise uncertainty of each emission source, each expressed as</w:t>
      </w:r>
      <w:r>
        <w:t xml:space="preserve"> </w:t>
      </w:r>
      <m:oMath>
        <m:r>
          <m:rPr>
            <m:sty m:val="p"/>
          </m:rPr>
          <m:t>±</m:t>
        </m:r>
        <m:r>
          <m:t>x</m:t>
        </m:r>
        <m:r>
          <m:rPr>
            <m:sty m:val="p"/>
          </m:rPr>
          <m:t>%</m:t>
        </m:r>
      </m:oMath>
      <w:r>
        <w:t xml:space="preserve"> </w:t>
      </w:r>
      <w:r>
        <w:t xml:space="preserve">of the inventory emission estimate:</w:t>
      </w:r>
    </w:p>
    <w:p>
      <w:pPr>
        <w:pStyle w:val="Compact"/>
        <w:numPr>
          <w:ilvl w:val="0"/>
          <w:numId w:val="1013"/>
        </w:numPr>
      </w:pPr>
      <w:r>
        <w:t xml:space="preserve">Activity-data (population) uncertainty (Column E);</w:t>
      </w:r>
    </w:p>
    <w:p>
      <w:pPr>
        <w:pStyle w:val="Compact"/>
        <w:numPr>
          <w:ilvl w:val="0"/>
          <w:numId w:val="1013"/>
        </w:numPr>
      </w:pPr>
      <w:r>
        <w:t xml:space="preserve">Emission-factor uncertainty (Column F);</w:t>
      </w:r>
    </w:p>
    <w:p>
      <w:pPr>
        <w:pStyle w:val="Compact"/>
        <w:numPr>
          <w:ilvl w:val="0"/>
          <w:numId w:val="1013"/>
        </w:numPr>
      </w:pPr>
      <w:r>
        <w:t xml:space="preserve">Combined uncertainty (Column G).</w:t>
      </w:r>
    </w:p>
    <w:p>
      <w:pPr>
        <w:pStyle w:val="FirstParagraph"/>
      </w:pPr>
      <w:r>
        <w:t xml:space="preserve">The tool reports all three figures for each cattle emission source via the IPCC Report tab and the Excel / Word downloads. The activity-data vs emission-factor split follows the convention adopted in this tool: AD = animal population (N) only; coefficient (EF) = the IPCC equation parameters that combine into the per-head emission factor (Cfi, Ca, Ym, Bo, MCF, EF3, EF4, EF5, Frac_GasMS, Frac_LeachMS, Frac_PRP, EF3_PRP, Frac_GasPRP, Frac_LeachPRP).</w:t>
      </w:r>
    </w:p>
    <w:bookmarkEnd w:id="65"/>
    <w:bookmarkStart w:id="66" w:name="X940a691fc25763a2902709dda785410ec26e745"/>
    <w:p>
      <w:pPr>
        <w:pStyle w:val="Heading2"/>
      </w:pPr>
      <w:r>
        <w:t xml:space="preserve">UNFCCC Common Reporting Tables Category Map</w:t>
      </w:r>
    </w:p>
    <w:p>
      <w:pPr>
        <w:pStyle w:val="FirstParagraph"/>
      </w:pPr>
      <w:r>
        <w:t xml:space="preserve">The tool can calculate AD, EF and combined uncertainties for one or more cattle categories. While country-specific classifications are allowed for, the UNFCCC Common Reporting Tables (CRTs) indicate reporting of emissions from cattle at the following levels of disaggregation:</w:t>
      </w:r>
    </w:p>
    <w:p>
      <w:pPr>
        <w:pStyle w:val="Compact"/>
        <w:numPr>
          <w:ilvl w:val="0"/>
          <w:numId w:val="1014"/>
        </w:numPr>
      </w:pPr>
    </w:p>
    <w:p>
      <w:pPr>
        <w:pStyle w:val="Compact"/>
        <w:numPr>
          <w:ilvl w:val="1"/>
          <w:numId w:val="1015"/>
        </w:numPr>
      </w:pPr>
      <w:r>
        <w:t xml:space="preserve">3.A.1.a Dairy cattle</w:t>
      </w:r>
    </w:p>
    <w:p>
      <w:pPr>
        <w:pStyle w:val="Compact"/>
        <w:numPr>
          <w:ilvl w:val="1"/>
          <w:numId w:val="1015"/>
        </w:numPr>
      </w:pPr>
      <w:r>
        <w:t xml:space="preserve">3.A.1.b Non-dairy cattle</w:t>
      </w:r>
    </w:p>
    <w:p>
      <w:pPr>
        <w:pStyle w:val="Compact"/>
        <w:numPr>
          <w:ilvl w:val="0"/>
          <w:numId w:val="1014"/>
        </w:numPr>
      </w:pPr>
      <w:r>
        <w:t xml:space="preserve"> </w:t>
      </w:r>
      <w:r>
        <w:t xml:space="preserve">(CH</w:t>
      </w:r>
      <m:oMath>
        <m:sSub>
          <m:e>
            <m:r>
              <m:t>​</m:t>
            </m:r>
          </m:e>
          <m:sub>
            <m:r>
              <m:t>4</m:t>
            </m:r>
          </m:sub>
        </m:sSub>
      </m:oMath>
      <w:r>
        <w:t xml:space="preserve">; direct and indirect N</w:t>
      </w:r>
      <m:oMath>
        <m:sSub>
          <m:e>
            <m:r>
              <m:t>​</m:t>
            </m:r>
          </m:e>
          <m:sub>
            <m:r>
              <m:t>2</m:t>
            </m:r>
          </m:sub>
        </m:sSub>
      </m:oMath>
      <w:r>
        <w:t xml:space="preserve">O combined)</w:t>
      </w:r>
    </w:p>
    <w:p>
      <w:pPr>
        <w:pStyle w:val="Compact"/>
        <w:numPr>
          <w:ilvl w:val="1"/>
          <w:numId w:val="1016"/>
        </w:numPr>
      </w:pPr>
      <w:r>
        <w:t xml:space="preserve">3.B.1 Cattle (3.B.1.a Dairy, 3.B.1.b Non-dairy)</w:t>
      </w:r>
    </w:p>
    <w:p>
      <w:pPr>
        <w:pStyle w:val="Compact"/>
        <w:numPr>
          <w:ilvl w:val="0"/>
          <w:numId w:val="1014"/>
        </w:numPr>
      </w:pPr>
      <w:r>
        <w:t xml:space="preserve"> </w:t>
      </w:r>
      <w:r>
        <w:t xml:space="preserve">(direct and indirect N</w:t>
      </w:r>
      <m:oMath>
        <m:sSub>
          <m:e>
            <m:r>
              <m:t>​</m:t>
            </m:r>
          </m:e>
          <m:sub>
            <m:r>
              <m:t>2</m:t>
            </m:r>
          </m:sub>
        </m:sSub>
      </m:oMath>
      <w:r>
        <w:t xml:space="preserve">O)</w:t>
      </w:r>
    </w:p>
    <w:p>
      <w:pPr>
        <w:pStyle w:val="Compact"/>
        <w:numPr>
          <w:ilvl w:val="1"/>
          <w:numId w:val="1017"/>
        </w:numPr>
      </w:pPr>
      <w:r>
        <w:t xml:space="preserve">3.D.1.c Urine and dung deposited by grazing animals (direct N</w:t>
      </w:r>
      <m:oMath>
        <m:sSub>
          <m:e>
            <m:r>
              <m:t>​</m:t>
            </m:r>
          </m:e>
          <m:sub>
            <m:r>
              <m:t>2</m:t>
            </m:r>
          </m:sub>
        </m:sSub>
      </m:oMath>
      <w:r>
        <w:t xml:space="preserve">O)</w:t>
      </w:r>
    </w:p>
    <w:p>
      <w:pPr>
        <w:pStyle w:val="Compact"/>
        <w:numPr>
          <w:ilvl w:val="1"/>
          <w:numId w:val="1017"/>
        </w:numPr>
      </w:pPr>
      <w:r>
        <w:t xml:space="preserve">3.D.2.a Atmospheric deposition (multiple sources, including dung and urine deposited on pasture)</w:t>
      </w:r>
    </w:p>
    <w:p>
      <w:pPr>
        <w:pStyle w:val="Compact"/>
        <w:numPr>
          <w:ilvl w:val="1"/>
          <w:numId w:val="1017"/>
        </w:numPr>
      </w:pPr>
      <w:r>
        <w:t xml:space="preserve">3.D.2.b Nitrogen leaching and run-off (multiple sources, including dung and urine deposited on pasture)</w:t>
      </w:r>
    </w:p>
    <w:p>
      <w:pPr>
        <w:pStyle w:val="FirstParagraph"/>
      </w:pPr>
      <w:r>
        <w:t xml:space="preserve">Country-specific options in the CRTs may include reporting of emissions at the level of production systems, regions or cattle sub-categories.</w:t>
      </w:r>
    </w:p>
    <w:bookmarkEnd w:id="66"/>
    <w:bookmarkStart w:id="67" w:name="disaggregation-levels"/>
    <w:p>
      <w:pPr>
        <w:pStyle w:val="Heading2"/>
      </w:pPr>
      <w:r>
        <w:t xml:space="preserve">Disaggregation Levels</w:t>
      </w:r>
    </w:p>
    <w:p>
      <w:pPr>
        <w:pStyle w:val="FirstParagraph"/>
      </w:pPr>
      <w:r>
        <w:t xml:space="preserve">To facilitate uncertainty analysis at these different levels of disaggregation, the default outputs in the tool are produced at three disaggregation levels concurrently:</w:t>
      </w:r>
    </w:p>
    <w:p>
      <w:pPr>
        <w:pStyle w:val="Compact"/>
        <w:numPr>
          <w:ilvl w:val="0"/>
          <w:numId w:val="1018"/>
        </w:numPr>
      </w:pPr>
      <w:r>
        <w:t xml:space="preserve">: disaggregated by cattle type (dairy, non-dairy), emission source (3.A, 3.B, 3.D) and gas (CH</w:t>
      </w:r>
      <m:oMath>
        <m:sSub>
          <m:e>
            <m:r>
              <m:t>​</m:t>
            </m:r>
          </m:e>
          <m:sub>
            <m:r>
              <m:t>4</m:t>
            </m:r>
          </m:sub>
        </m:sSub>
      </m:oMath>
      <w:r>
        <w:t xml:space="preserve">, N</w:t>
      </w:r>
      <m:oMath>
        <m:sSub>
          <m:e>
            <m:r>
              <m:t>​</m:t>
            </m:r>
          </m:e>
          <m:sub>
            <m:r>
              <m:t>2</m:t>
            </m:r>
          </m:sub>
        </m:sSub>
      </m:oMath>
      <w:r>
        <w:t xml:space="preserve">O). Available in the IPCC Report tab and the headline summary of the Word / Excel run-summary.</w:t>
      </w:r>
    </w:p>
    <w:p>
      <w:pPr>
        <w:pStyle w:val="Compact"/>
        <w:numPr>
          <w:ilvl w:val="0"/>
          <w:numId w:val="1018"/>
        </w:numPr>
      </w:pPr>
      <w:r>
        <w:t xml:space="preserve">: Level 1 plus a user-defined second level (production system, region) using the template’s</w:t>
      </w:r>
      <w:r>
        <w:t xml:space="preserve"> </w:t>
      </w:r>
      <w:r>
        <w:t xml:space="preserve"> </w:t>
      </w:r>
      <w:r>
        <w:t xml:space="preserve">and</w:t>
      </w:r>
      <w:r>
        <w:t xml:space="preserve"> </w:t>
      </w:r>
      <w:r>
        <w:t xml:space="preserve"> </w:t>
      </w:r>
      <w:r>
        <w:t xml:space="preserve">fields. Available in the per-cattle-type results section of the Word run-summary.</w:t>
      </w:r>
    </w:p>
    <w:p>
      <w:pPr>
        <w:pStyle w:val="Compact"/>
        <w:numPr>
          <w:ilvl w:val="0"/>
          <w:numId w:val="1018"/>
        </w:numPr>
      </w:pPr>
      <w:r>
        <w:t xml:space="preserve">: Level 2 plus cattle sub-categories (dairy_cow, heifer, bull, etc.). Available in the per-(cattle type</w:t>
      </w:r>
      <w:r>
        <w:t xml:space="preserve"> </w:t>
      </w:r>
      <m:oMath>
        <m:r>
          <m:rPr>
            <m:sty m:val="p"/>
          </m:rPr>
          <m:t>×</m:t>
        </m:r>
      </m:oMath>
      <w:r>
        <w:t xml:space="preserve"> </w:t>
      </w:r>
      <w:r>
        <w:t xml:space="preserve">emission source) breakdown of the Word run-summary and the per-sub-category CSV download from the IPCC Report tab.</w:t>
      </w:r>
    </w:p>
    <w:p>
      <w:pPr>
        <w:pStyle w:val="FirstParagraph"/>
      </w:pPr>
      <w:r>
        <w:t xml:space="preserve">A user-selectable toggle to choose the reporting disaggregation level for the whole tool is not implemented in this release; the three levels are produced concurrently in their respective output channels. A single-toggle option may be added in a future version after feedback from UNFCCC partners on the right default level.</w:t>
      </w:r>
    </w:p>
    <w:p>
      <w:r>
        <w:br w:type="page"/>
      </w:r>
    </w:p>
    <w:bookmarkEnd w:id="67"/>
    <w:bookmarkEnd w:id="68"/>
    <w:bookmarkStart w:id="69" w:name="references"/>
    <w:p>
      <w:pPr>
        <w:pStyle w:val="Heading1"/>
      </w:pPr>
      <w:r>
        <w:t xml:space="preserve">References</w:t>
      </w:r>
    </w:p>
    <w:p>
      <w:pPr>
        <w:pStyle w:val="FirstParagraph"/>
      </w:pPr>
      <w:r>
        <w:t xml:space="preserve">Frey, H.C., and Rhodes, D.S. (1998). Characterizing, Simulating, and Analyzing Variability and Uncertainty: An Illustration of Methods Using an Air Toxics Emissions Example.</w:t>
      </w:r>
      <w:r>
        <w:t xml:space="preserve"> </w:t>
      </w:r>
      <w:r>
        <w:rPr>
          <w:i/>
          <w:iCs/>
        </w:rPr>
        <w:t xml:space="preserve">Human and Ecological Risk Assessment</w:t>
      </w:r>
      <w:r>
        <w:t xml:space="preserve">, 4(4), 762–797.</w:t>
      </w:r>
    </w:p>
    <w:p>
      <w:pPr>
        <w:pStyle w:val="BodyText"/>
      </w:pPr>
      <w:r>
        <w:t xml:space="preserve">IPCC (2006). 2006 IPCC Guidelines for National Greenhouse Gas Inventories. Volume 1: General Guidance and Reporting, Chapter 3: Uncertainties. Eggleston, H.S., Buendia, L., Miwa, K., Ngara, T., and Tanabe, K. (Eds). IGES, Japan.</w:t>
      </w:r>
    </w:p>
    <w:p>
      <w:pPr>
        <w:pStyle w:val="BodyText"/>
      </w:pPr>
      <w:r>
        <w:t xml:space="preserve">IPCC (2006). 2006 IPCC Guidelines for National Greenhouse Gas Inventories. Volume 4: Agriculture, Forestry and Other Land Use, Chapter 10: Emissions from Livestock and Manure Management. IGES, Japan.</w:t>
      </w:r>
    </w:p>
    <w:p>
      <w:pPr>
        <w:pStyle w:val="BodyText"/>
      </w:pPr>
      <w:r>
        <w:t xml:space="preserve">IPCC (2019). 2019 Refinement to the 2006 IPCC Guidelines for National Greenhouse Gas Inventories. Volume 4: Agriculture, Forestry and Other Land Use, Chapter 10 (Emissions from Livestock and Manure Management) and Chapter 11 (N</w:t>
      </w:r>
      <m:oMath>
        <m:sSub>
          <m:e>
            <m:r>
              <m:t>​</m:t>
            </m:r>
          </m:e>
          <m:sub>
            <m:r>
              <m:t>2</m:t>
            </m:r>
          </m:sub>
        </m:sSub>
      </m:oMath>
      <w:r>
        <w:t xml:space="preserve">O Emissions from Managed Soils, and CO</w:t>
      </w:r>
      <m:oMath>
        <m:sSub>
          <m:e>
            <m:r>
              <m:t>​</m:t>
            </m:r>
          </m:e>
          <m:sub>
            <m:r>
              <m:t>2</m:t>
            </m:r>
          </m:sub>
        </m:sSub>
      </m:oMath>
      <w:r>
        <w:t xml:space="preserve"> </w:t>
      </w:r>
      <w:r>
        <w:t xml:space="preserve">Emissions from Lime and Urea Application). Calvo Buendia, E., Tanabe, K., Kranjc, A., et al. (Eds). IPCC, Switzerland.</w:t>
      </w:r>
    </w:p>
    <w:p>
      <w:pPr>
        <w:pStyle w:val="BodyText"/>
      </w:pPr>
      <w:r>
        <w:t xml:space="preserve">IPCC (2019). 2019 Refinement to the 2006 IPCC Guidelines for National Greenhouse Gas Inventories. Volume 1: General Guidance and Reporting, Chapter 3: Uncertainties. IPCC, Switzerland.</w:t>
      </w:r>
    </w:p>
    <w:p>
      <w:pPr>
        <w:pStyle w:val="BodyText"/>
      </w:pPr>
      <w:r>
        <w:t xml:space="preserve">Iman, R.L., and Conover, W.J. (1982). A distribution-free approach to inducing rank correlation among input variables.</w:t>
      </w:r>
      <w:r>
        <w:t xml:space="preserve"> </w:t>
      </w:r>
      <w:r>
        <w:rPr>
          <w:i/>
          <w:iCs/>
        </w:rPr>
        <w:t xml:space="preserve">Communications in Statistics: Simulation and Computation</w:t>
      </w:r>
      <w:r>
        <w:t xml:space="preserve">, 11(3), 311–334. (The restricted-pairing algorithm explicitly cited in IPCC 2006 Vol.1 Ch.3 §3.2.3.2 and used by this tool whenever a Spearman correlation matrix is estimated from a time series.)</w:t>
      </w:r>
    </w:p>
    <w:p>
      <w:pPr>
        <w:pStyle w:val="BodyText"/>
      </w:pPr>
      <w:r>
        <w:t xml:space="preserve">Jones, D.B. (1931). Factors for Converting Percentages of Nitrogen in Foods and Feeds into Percentages of Proteins.</w:t>
      </w:r>
      <w:r>
        <w:t xml:space="preserve"> </w:t>
      </w:r>
      <w:r>
        <w:rPr>
          <w:i/>
          <w:iCs/>
        </w:rPr>
        <w:t xml:space="preserve">USDA Circular</w:t>
      </w:r>
      <w:r>
        <w:t xml:space="preserve"> </w:t>
      </w:r>
      <w:r>
        <w:t xml:space="preserve">No. 183. United States Department of Agriculture, Washington, D.C.</w:t>
      </w:r>
    </w:p>
    <w:p>
      <w:pPr>
        <w:pStyle w:val="BodyText"/>
      </w:pPr>
      <w:r>
        <w:t xml:space="preserve">Karimi-Zindashty, Y., MacDonald, J.D., Nitschelm, J., Del Grosso, S.J., and Desjardins, R.L. (2012). Sources of uncertainty in the Canadian national livestock greenhouse gas inventory.</w:t>
      </w:r>
      <w:r>
        <w:t xml:space="preserve"> </w:t>
      </w:r>
      <w:r>
        <w:rPr>
          <w:i/>
          <w:iCs/>
        </w:rPr>
        <w:t xml:space="preserve">Journal of Agricultural Science</w:t>
      </w:r>
      <w:r>
        <w:t xml:space="preserve">, 150(6), 677–690.</w:t>
      </w:r>
    </w:p>
    <w:p>
      <w:pPr>
        <w:pStyle w:val="BodyText"/>
      </w:pPr>
      <w:r>
        <w:t xml:space="preserve">Milne, E., Sessitsch, A., Wilson, J., et al. (2014). Estimating uncertainty in pasture-based dairy CH</w:t>
      </w:r>
      <m:oMath>
        <m:sSub>
          <m:e>
            <m:r>
              <m:t>​</m:t>
            </m:r>
          </m:e>
          <m:sub>
            <m:r>
              <m:t>4</m:t>
            </m:r>
          </m:sub>
        </m:sSub>
      </m:oMath>
      <w:r>
        <w:t xml:space="preserve"> </w:t>
      </w:r>
      <w:r>
        <w:t xml:space="preserve">emissions using Monte Carlo simulation.</w:t>
      </w:r>
      <w:r>
        <w:t xml:space="preserve"> </w:t>
      </w:r>
      <w:r>
        <w:rPr>
          <w:i/>
          <w:iCs/>
        </w:rPr>
        <w:t xml:space="preserve">Animal</w:t>
      </w:r>
      <w:r>
        <w:t xml:space="preserve">, 8(2), 313–320.</w:t>
      </w:r>
    </w:p>
    <w:p>
      <w:pPr>
        <w:pStyle w:val="BodyText"/>
      </w:pPr>
      <w:r>
        <w:t xml:space="preserve">Monni, S., Syri, S., and Savolainen, I. (2007). Uncertainties in the Finnish greenhouse gas emission inventory.</w:t>
      </w:r>
      <w:r>
        <w:t xml:space="preserve"> </w:t>
      </w:r>
      <w:r>
        <w:rPr>
          <w:i/>
          <w:iCs/>
        </w:rPr>
        <w:t xml:space="preserve">Environmental Science and Policy</w:t>
      </w:r>
      <w:r>
        <w:t xml:space="preserve">, 7(2), 87–98.</w:t>
      </w:r>
    </w:p>
    <w:p>
      <w:pPr>
        <w:pStyle w:val="BodyText"/>
      </w:pPr>
      <w:r>
        <w:t xml:space="preserve">Penman, J., Kruger, D., Galbally, I., Hiraishi, T., Nyenzi, B., Emmanuel, S., Buendia, L., Hoppaus, R., Martinsen, T., Meijer, J., Miwa, K., and Tanabe, K. (2000).</w:t>
      </w:r>
      <w:r>
        <w:t xml:space="preserve"> </w:t>
      </w:r>
      <w:r>
        <w:rPr>
          <w:i/>
          <w:iCs/>
        </w:rPr>
        <w:t xml:space="preserve">Good Practice Guidance and Uncertainty Management in National Greenhouse Gas Inventories</w:t>
      </w:r>
      <w:r>
        <w:t xml:space="preserve">. IPCC/OECD/IEA/IGES, Hayama, Japan.</w:t>
      </w:r>
    </w:p>
    <w:p>
      <w:pPr>
        <w:pStyle w:val="BodyText"/>
      </w:pPr>
      <w:r>
        <w:t xml:space="preserve">Saltelli, A., Ratto, M., Andres, T., Campolongo, F., Cariboni, J., Gatelli, D., Saisana, M., and Tarantola, S. (2008).</w:t>
      </w:r>
      <w:r>
        <w:t xml:space="preserve"> </w:t>
      </w:r>
      <w:r>
        <w:rPr>
          <w:i/>
          <w:iCs/>
        </w:rPr>
        <w:t xml:space="preserve">Global Sensitivity Analysis: The Primer</w:t>
      </w:r>
      <w:r>
        <w:t xml:space="preserve">. Wiley, Chichester.</w:t>
      </w:r>
    </w:p>
    <w:p>
      <w:pPr>
        <w:pStyle w:val="BodyText"/>
      </w:pPr>
      <w:r>
        <w:t xml:space="preserve">IPCC (2021). Climate Change 2021: The Physical Science Basis. Contribution of Working Group I to the Sixth Assessment Report (AR6), Chapter 7 Table 7.15 and Table 7.SM.7: 100-year GWP values for CH</w:t>
      </w:r>
      <m:oMath>
        <m:sSub>
          <m:e>
            <m:r>
              <m:t>​</m:t>
            </m:r>
          </m:e>
          <m:sub>
            <m:r>
              <m:t>4</m:t>
            </m:r>
          </m:sub>
        </m:sSub>
      </m:oMath>
      <w:r>
        <w:t xml:space="preserve"> </w:t>
      </w:r>
      <w:r>
        <w:t xml:space="preserve">(non-fossil) and N</w:t>
      </w:r>
      <m:oMath>
        <m:sSub>
          <m:e>
            <m:r>
              <m:t>​</m:t>
            </m:r>
          </m:e>
          <m:sub>
            <m:r>
              <m:t>2</m:t>
            </m:r>
          </m:sub>
        </m:sSub>
      </m:oMath>
      <w:r>
        <w:t xml:space="preserve">O. Cambridge University Press.</w:t>
      </w:r>
    </w:p>
    <w:p>
      <w:pPr>
        <w:pStyle w:val="BodyText"/>
      </w:pPr>
    </w:p>
    <w:p>
      <w:pPr>
        <w:pStyle w:val="BodyText"/>
      </w:pPr>
      <w:r>
        <w:t xml:space="preserve">Pouillot, R., and Delignette-Muller, M.-L. (2010).</w:t>
      </w:r>
      <w:r>
        <w:t xml:space="preserve"> </w:t>
      </w:r>
      <w:r>
        <w:t xml:space="preserve"> </w:t>
      </w:r>
      <w:r>
        <w:t xml:space="preserve">International Journal of Food Microbiology, 142(3), 330–340. (</w:t>
      </w:r>
      <w:r>
        <w:t xml:space="preserve"> </w:t>
      </w:r>
      <w:r>
        <w:t xml:space="preserve">provides</w:t>
      </w:r>
      <w:r>
        <w:t xml:space="preserve"> </w:t>
      </w:r>
      <w:r>
        <w:t xml:space="preserve"> </w:t>
      </w:r>
      <w:r>
        <w:t xml:space="preserve">for the Iman–Conover restricted-pairing reordering used to reproduce the target rank correlation matrix per IPCC Vol.1 Ch.3 §3.2.3.2, and</w:t>
      </w:r>
      <w:r>
        <w:t xml:space="preserve"> </w:t>
      </w:r>
      <w:r>
        <w:t xml:space="preserve"> </w:t>
      </w:r>
      <w:r>
        <w:t xml:space="preserve">/</w:t>
      </w:r>
      <w:r>
        <w:t xml:space="preserve"> </w:t>
      </w:r>
      <w:r>
        <w:t xml:space="preserve"> </w:t>
      </w:r>
      <w:r>
        <w:t xml:space="preserve">for the triangular and PERT marginals.)</w:t>
      </w:r>
    </w:p>
    <w:p>
      <w:pPr>
        <w:pStyle w:val="BodyText"/>
      </w:pPr>
      <w:r>
        <w:t xml:space="preserve">Bates, D., and Maechler, M. (2024).</w:t>
      </w:r>
      <w:r>
        <w:t xml:space="preserve"> </w:t>
      </w:r>
      <w:r>
        <w:t xml:space="preserve">: Sparse and Dense Matrix Classes and Methods. R package. (</w:t>
      </w:r>
      <w:r>
        <w:t xml:space="preserve">, projection to the nearest positive-definite correlation matrix when a user-supplied</w:t>
      </w:r>
      <w:r>
        <w:t xml:space="preserve"> </w:t>
      </w:r>
      <m:oMath>
        <m:r>
          <m:rPr>
            <m:sty m:val="b"/>
          </m:rPr>
          <m:t>Σ</m:t>
        </m:r>
      </m:oMath>
      <w:r>
        <w:t xml:space="preserve"> </w:t>
      </w:r>
      <w:r>
        <w:t xml:space="preserve">is not positive-definite.)</w:t>
      </w:r>
    </w:p>
    <w:p>
      <w:r>
        <w:pict>
          <v:rect style="width:0;height:1.5pt" o:hralign="center" o:hrstd="t" o:hr="t"/>
        </w:pict>
      </w:r>
    </w:p>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3" Type="http://schemas.openxmlformats.org/officeDocument/2006/relationships/theme" Target="theme/theme1.xml"/><Relationship Id="rId7" Type="http://schemas.openxmlformats.org/officeDocument/2006/relationships/styles" Target="styles.xml"/><Relationship Id="rId2" Type="http://schemas.openxmlformats.org/officeDocument/2006/relationships/footnotes" Target="footnotes.xml"/><Relationship Id="rId6" Type="http://schemas.openxmlformats.org/officeDocument/2006/relationships/settings" Target="settings.xml"/><Relationship Id="rId1"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fontTable" Target="fontTable.xml"/><Relationship Id="rId9" Type="http://schemas.openxmlformats.org/officeDocument/2006/relationships/customXml" Target="../customXml/item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AAA32E7549EE6449AC68337FF671C5A" ma:contentTypeVersion="12" ma:contentTypeDescription="Create a new document." ma:contentTypeScope="" ma:versionID="5b725368af9e92254b31af2044252fac">
  <xsd:schema xmlns:xsd="http://www.w3.org/2001/XMLSchema" xmlns:xs="http://www.w3.org/2001/XMLSchema" xmlns:p="http://schemas.microsoft.com/office/2006/metadata/properties" xmlns:ns2="03e19825-731a-404b-84c3-310fff85d1a8" xmlns:ns3="a675dd88-c1ff-478a-b60f-ff004313760b" targetNamespace="http://schemas.microsoft.com/office/2006/metadata/properties" ma:root="true" ma:fieldsID="de1faf0135fd982ba30b50c3b754e7cb" ns2:_="" ns3:_="">
    <xsd:import namespace="03e19825-731a-404b-84c3-310fff85d1a8"/>
    <xsd:import namespace="a675dd88-c1ff-478a-b60f-ff004313760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e19825-731a-404b-84c3-310fff85d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1616629-9183-4d38-9e3a-f9db27d53a26"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675dd88-c1ff-478a-b60f-ff004313760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ee70d54-65c2-44e4-aa1e-ee2a67be174e}" ma:internalName="TaxCatchAll" ma:showField="CatchAllData" ma:web="a675dd88-c1ff-478a-b60f-ff00431376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3e19825-731a-404b-84c3-310fff85d1a8">
      <Terms xmlns="http://schemas.microsoft.com/office/infopath/2007/PartnerControls"/>
    </lcf76f155ced4ddcb4097134ff3c332f>
    <TaxCatchAll xmlns="a675dd88-c1ff-478a-b60f-ff004313760b" xsi:nil="true"/>
  </documentManagement>
</p:properties>
</file>

<file path=customXml/itemProps1.xml><?xml version="1.0" encoding="utf-8"?>
<ds:datastoreItem xmlns:ds="http://schemas.openxmlformats.org/officeDocument/2006/customXml" ds:itemID="{0A30D646-9A4E-4907-9FB0-1C36F75754BC}"/>
</file>

<file path=customXml/itemProps2.xml><?xml version="1.0" encoding="utf-8"?>
<ds:datastoreItem xmlns:ds="http://schemas.openxmlformats.org/officeDocument/2006/customXml" ds:itemID="{82503EE4-7362-44C9-AB85-DAE37BAA419E}"/>
</file>

<file path=customXml/itemProps3.xml><?xml version="1.0" encoding="utf-8"?>
<ds:datastoreItem xmlns:ds="http://schemas.openxmlformats.org/officeDocument/2006/customXml" ds:itemID="{B29154DA-B6D3-4A14-BC9E-E58E7F53E168}"/>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IPCC Tier 2 Livestock GHG Uncertainty Calculator</dc:title>
  <dc:creator>CIAT / CGIAR Alliance, ClimateActionNetZero</dc:creator>
  <cp:keywords/>
  <dcterms:created xsi:type="dcterms:W3CDTF">2026-09-29T15:36:50Z</dcterms:created>
  <dcterms:modified xsi:type="dcterms:W3CDTF">2026-09-29T15:36:50Z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ntsize">
    <vt:lpwstr>11pt</vt:lpwstr>
  </property>
  <property fmtid="{D5CDD505-2E9C-101B-9397-08002B2CF9AE}" pid="3" name="geometry">
    <vt:lpwstr>top=3cm, bottom=2.5cm, left=2.5cm, right=2.5cm</vt:lpwstr>
  </property>
  <property fmtid="{D5CDD505-2E9C-101B-9397-08002B2CF9AE}" pid="4" name="header-includes">
    <vt:lpwstr/>
  </property>
  <property fmtid="{D5CDD505-2E9C-101B-9397-08002B2CF9AE}" pid="5" name="linestretch">
    <vt:lpwstr>1.15</vt:lpwstr>
  </property>
  <property fmtid="{D5CDD505-2E9C-101B-9397-08002B2CF9AE}" pid="6" name="output">
    <vt:lpwstr/>
  </property>
  <property fmtid="{D5CDD505-2E9C-101B-9397-08002B2CF9AE}" pid="7" name="subtitle">
    <vt:lpwstr>Technical Methodology: Equations, Monte Carlo Procedure, and Uncertainty Reporting</vt:lpwstr>
  </property>
  <property fmtid="{D5CDD505-2E9C-101B-9397-08002B2CF9AE}" pid="8" name="MediaServiceImageTags">
    <vt:lpwstr/>
  </property>
  <property fmtid="{D5CDD505-2E9C-101B-9397-08002B2CF9AE}" pid="9" name="ContentTypeId">
    <vt:lpwstr>0x0101006AAA32E7549EE6449AC68337FF671C5A</vt:lpwstr>
  </property>
</Properties>
</file>