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pPr>
        <w:pStyle w:val="FirstParagraph"/>
      </w:pPr>
      <w:r>
        <w:t xml:space="preserve">The Monte Carlo simulations can be run for enteric fermentation alone, or for enteric fermentation together with one or more (or all) of the other emission sources listed above. If you are interested to only run simulations for manure-related emission sources, you should supply country-specific Tier 2 input parameters for enteric fermentation. If these are not supplied, the tool will auto-fill these inputs using IPCC default parameters and uncertainty ranges, which may not reflect the assumptions in your inventory.</w:t>
      </w:r>
    </w:p>
    <w:p>
      <w:r>
        <w:br w:type="page"/>
      </w:r>
    </w:p>
    <w:bookmarkEnd w:id="11"/>
    <w:bookmarkEnd w:id="12"/>
    <w:bookmarkStart w:id="22"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cows),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management CH</w:t>
      </w:r>
      <w:r>
        <w:t xml:space="preserve"> </w:t>
      </w:r>
      <w:r>
        <w:t xml:space="preserve">or N</w:t>
      </w:r>
      <w:r>
        <w:t xml:space="preserve">O): The percentage of manure allocated to each management system (e.g. pasture, solid storage, liquid, etc.). If you are uncertain about the allocation itself, the tool uses a data uploading template in which the Manure_Management tab has optional</w:t>
      </w:r>
      <w:r>
        <w:t xml:space="preserve"> </w:t>
      </w:r>
      <w:r>
        <w:t xml:space="preserve"> </w:t>
      </w:r>
      <w:r>
        <w:t xml:space="preserve">/</w:t>
      </w:r>
      <w:r>
        <w:t xml:space="preserve"> </w:t>
      </w:r>
      <w:r>
        <w:t xml:space="preserve"> </w:t>
      </w:r>
      <w:r>
        <w:t xml:space="preserve">/</w:t>
      </w:r>
      <w:r>
        <w:t xml:space="preserve"> </w:t>
      </w:r>
      <w:r>
        <w:t xml:space="preserve"> </w:t>
      </w:r>
      <w:r>
        <w:t xml:space="preserve">columns,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numPr>
          <w:ilvl w:val="0"/>
          <w:numId w:val="1003"/>
        </w:numPr>
      </w:pPr>
      <w:r>
        <w:rPr>
          <w:b/>
          <w:bCs/>
        </w:rPr>
        <w:t xml:space="preserve">Emission factors and other coefficients</w:t>
      </w:r>
      <w:r>
        <w:t xml:space="preserve">: If your inventory uses country-specific emission factors (e.g. EF3, EF4, etc.) or country-specific values of other parameters (e.g. C, Ca, Cp, Frac_GasMS, etc.), prepare these parameter values and the associated uncertainty estimates. If your inventory uses the IPCC default values, the tool can auto-fill these default values.</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(i.e. enteric fermentation, manure management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fill them there, not in the Parameters tab.</w:t>
      </w:r>
    </w:p>
    <w:p>
      <w:pPr>
        <w:pStyle w:val="BodyText"/>
      </w:pPr>
      <w:r>
        <w:t xml:space="preserve">The tool uses a specific data upload template, described in the following sections. When you assemble your inputs to the tool, you may either input them directly into the template (which can be downloaded from the</w:t>
      </w:r>
      <w:r>
        <w:t xml:space="preserve"> </w:t>
      </w:r>
      <w:r>
        <w:rPr>
          <w:rStyle w:val="VerbatimChar"/>
        </w:rPr>
        <w:t xml:space="preserve">1. Data input' tab), or you can use AI-assisted data preparation (see Section 2.2 below) to convert the data from your format into the template's format. In either case, it is useful to familiarise yourself with the parameter definitions and units used by the tool (see the</w:t>
      </w:r>
      <w:r>
        <w:t xml:space="preserve">Definitions’ tab) so that your inputs are aligned with how the tool treats each parameter. For example, MMS fractions should be expressed as percentages (e.g. `5’ meaning 5%) rather than fractions (e.g. 0.05).</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or other formatting that does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Explore, Clarify, Emit,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different format from the template (e.g. rows are parameters, columns are years),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 When uploading your data, be sure to select 2006 IPCC Guidelines or 2019 Refinement so that the tool auto-fills and performs data quality checks according to the correct version of the guidelines.</w:t>
      </w:r>
    </w:p>
    <w:p>
      <w:pPr>
        <w:pStyle w:val="BodyText"/>
      </w:pP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On the</w:t>
      </w:r>
      <w:r>
        <w:t xml:space="preserve"> </w:t>
      </w:r>
      <w:r>
        <w:rPr>
          <w:b/>
          <w:bCs/>
        </w:rPr>
        <w:t xml:space="preserve">Data Input</w:t>
      </w:r>
      <w:r>
        <w:t xml:space="preserve"> </w:t>
      </w:r>
      <w:r>
        <w:t xml:space="preserve">tab, under</w:t>
      </w:r>
      <w:r>
        <w:t xml:space="preserve"> </w:t>
      </w:r>
      <w:r>
        <w:rPr>
          <w:rStyle w:val="VerbatimChar"/>
        </w:rPr>
        <w:t xml:space="preserve">Data source', select</w:t>
      </w:r>
      <w:r>
        <w:t xml:space="preserve">Custom Upload’, then select the IPCC Guidelines version, and download the template by clicking</w:t>
      </w:r>
      <w:r>
        <w:t xml:space="preserve"> </w:t>
      </w:r>
      <w:r>
        <w:t xml:space="preserve">“Download blank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where the inventory is for. Two cells deserve a note:</w:t>
      </w:r>
    </w:p>
    <w:p>
      <w:pPr>
        <w:pStyle w:val="Compact"/>
        <w:numPr>
          <w:ilvl w:val="0"/>
          <w:numId w:val="1005"/>
        </w:numPr>
      </w:pPr>
      <w:r>
        <w:t xml:space="preserve">: free text (e.g. </w:t>
      </w:r>
      <w:r>
        <w:t xml:space="preserve">). Used in the report header,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 (Hence, the AI translator may be particularly useful for users with large numbers of sub-categories.)</w:t>
      </w:r>
    </w:p>
    <w:bookmarkEnd w:id="17"/>
    <w:bookmarkStart w:id="18" w:name="defining-sub-categories"/>
    <w:p>
      <w:pPr>
        <w:pStyle w:val="Heading2"/>
      </w:pPr>
      <w:r>
        <w:t xml:space="preserve">Defining sub-categories</w:t>
      </w:r>
    </w:p>
    <w:p>
      <w:pPr>
        <w:pStyle w:val="FirstParagraph"/>
      </w:pPr>
      <w:r>
        <w:t xml:space="preserve">Sub-categories should match your national inventory. Examples of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each relevant parameter. The values of</w:t>
      </w:r>
      <w:r>
        <w:t xml:space="preserve"> </w:t>
      </w:r>
      <w:r>
        <w:t xml:space="preserve">,</w:t>
      </w:r>
      <w:r>
        <w:t xml:space="preserve"> </w:t>
      </w:r>
      <w:r>
        <w:t xml:space="preserve">, and</w:t>
      </w:r>
      <w:r>
        <w:t xml:space="preserve"> </w:t>
      </w:r>
      <w:r>
        <w:t xml:space="preserve"> </w:t>
      </w:r>
      <w:r>
        <w:t xml:space="preserve">together identify each group uniquely: they must be spelled consistently across all rows for the same group. (If manually entering data, consistency in spelling can be achieved by `dragging’ an already-filled cell across unfilled cells, rather than retyping words.)</w:t>
      </w:r>
    </w:p>
    <w:bookmarkEnd w:id="18"/>
    <w:bookmarkStart w:id="19" w:name="if-you-already-measured-feed-intake"/>
    <w:p>
      <w:pPr>
        <w:pStyle w:val="Heading2"/>
      </w:pPr>
      <w:r>
        <w:t xml:space="preserve">If you already measured feed intake</w:t>
      </w:r>
    </w:p>
    <w:p>
      <w:pPr>
        <w:pStyle w:val="FirstParagraph"/>
      </w:pPr>
      <w:r>
        <w:t xml:space="preserve">Most inventories let the tool work out how much each animal eats, from body weight, growth, milk yield, pregnancy and activity. If your own data already measures intake, you can supply it instead and skip that step.</w:t>
      </w:r>
    </w:p>
    <w:p>
      <w:pPr>
        <w:pStyle w:val="BodyText"/>
      </w:pPr>
      <w:r>
        <w:t xml:space="preserve">Two optional rows appear for every sub-category in the Parameters sheet:</w:t>
      </w:r>
    </w:p>
    <w:p>
      <w:pPr>
        <w:pStyle w:val="Compact"/>
        <w:numPr>
          <w:ilvl w:val="0"/>
          <w:numId w:val="1007"/>
        </w:numPr>
      </w:pPr>
      <w:r>
        <w:t xml:space="preserve">: gross energy intake, in MJ per head per day.</w:t>
      </w:r>
    </w:p>
    <w:p>
      <w:pPr>
        <w:pStyle w:val="Compact"/>
        <w:numPr>
          <w:ilvl w:val="0"/>
          <w:numId w:val="1007"/>
        </w:numPr>
      </w:pPr>
      <w:r>
        <w:t xml:space="preserve">: dry matter intake, in kg per head per day. Used only when</w:t>
      </w:r>
      <w:r>
        <w:t xml:space="preserve"> </w:t>
      </w:r>
      <w:r>
        <w:t xml:space="preserve"> </w:t>
      </w:r>
      <w:r>
        <w:t xml:space="preserve">is not given, and converted at the IPCC factor of 18.45 MJ per kg.</w:t>
      </w:r>
    </w:p>
    <w:p>
      <w:pPr>
        <w:pStyle w:val="FirstParagraph"/>
      </w:pPr>
      <w:r>
        <w:t xml:space="preserve"> </w:t>
      </w:r>
      <w:r>
        <w:t xml:space="preserve">A blank cell means</w:t>
      </w:r>
      <w:r>
        <w:t xml:space="preserve"> </w:t>
      </w:r>
      <w:r>
        <w:t xml:space="preserve">“calculate it from the animal performance data”</w:t>
      </w:r>
      <w:r>
        <w:t xml:space="preserve">, which is the normal case and exactly what earlier versions of the tool did. Fill them in only for the sub-categories where you actually have a figure; you can mix measured and calculated groups in the same inventory. If you enter both,</w:t>
      </w:r>
      <w:r>
        <w:t xml:space="preserve"> </w:t>
      </w:r>
      <w:r>
        <w:t xml:space="preserve"> </w:t>
      </w:r>
      <w:r>
        <w:t xml:space="preserve">is used, because it carries your own measured energy density rather than the IPCC average.</w:t>
      </w:r>
    </w:p>
    <w:p>
      <w:pPr>
        <w:pStyle w:val="BodyText"/>
      </w:pPr>
      <w:r>
        <w:t xml:space="preserve"> </w:t>
      </w:r>
      <w:r>
        <w:t xml:space="preserve">This surprises people, so it is worth being explicit. A measured gross energy replaces the energy calculation, not the nitrogen calculation. Nitrogen excretion works by subtracting the nitrogen retained in milk and in weight gain from the nitrogen eaten, so those inputs still drive your nitrous oxide numbers. Digestibility (</w:t>
      </w:r>
      <w:r>
        <w:t xml:space="preserve">) is still needed too: once you supply</w:t>
      </w:r>
      <w:r>
        <w:t xml:space="preserve"> </w:t>
      </w:r>
      <w:r>
        <w:t xml:space="preserve"> </w:t>
      </w:r>
      <w:r>
        <w:t xml:space="preserve">it no longer affects enteric methane, but it still decides how much of the feed passes through undigested and becomes manure, and therefore manure methane.</w:t>
      </w:r>
    </w:p>
    <w:p>
      <w:pPr>
        <w:pStyle w:val="BodyText"/>
      </w:pPr>
      <w:r>
        <w:t xml:space="preserve"> </w:t>
      </w:r>
      <w:r>
        <w:t xml:space="preserve">The results table has an</w:t>
      </w:r>
      <w:r>
        <w:t xml:space="preserve"> </w:t>
      </w:r>
      <w:r>
        <w:t xml:space="preserve"> </w:t>
      </w:r>
      <w:r>
        <w:t xml:space="preserve">column showing, for each group, whether the figure was calculated (</w:t>
      </w:r>
      <w:r>
        <w:t xml:space="preserve">“Energy balance”</w:t>
      </w:r>
      <w:r>
        <w:t xml:space="preserve">) or supplied (</w:t>
      </w:r>
      <w:r>
        <w:t xml:space="preserve">“Measured GE”</w:t>
      </w:r>
      <w:r>
        <w:t xml:space="preserve"> </w:t>
      </w:r>
      <w:r>
        <w:t xml:space="preserve">or</w:t>
      </w:r>
      <w:r>
        <w:t xml:space="preserve"> </w:t>
      </w:r>
      <w:r>
        <w:t xml:space="preserve">“Measured DMI”</w:t>
      </w:r>
      <w:r>
        <w:t xml:space="preserve">). The same information appears in the run settings of the Excel download and in the Word report, so anyone reviewing your inventory can see how each number was produced. If a group mixes both, it is reported as</w:t>
      </w:r>
      <w:r>
        <w:t xml:space="preserve"> </w:t>
      </w:r>
      <w:r>
        <w:t xml:space="preserve">“Mixed”</w:t>
      </w:r>
      <w:r>
        <w:t xml:space="preserve"> </w:t>
      </w:r>
      <w:r>
        <w:t xml:space="preserve">rather than being labelled with one method.</w:t>
      </w:r>
    </w:p>
    <w:bookmarkEnd w:id="19"/>
    <w:bookmarkStart w:id="20" w:name="obtaining-uncertainty-estimates"/>
    <w:p>
      <w:pPr>
        <w:pStyle w:val="Heading2"/>
      </w:pPr>
      <w:r>
        <w:t xml:space="preserve">Obtaining uncertainty estimates</w:t>
      </w:r>
    </w:p>
    <w:p>
      <w:pPr>
        <w:pStyle w:val="FirstParagraph"/>
      </w:pPr>
    </w:p>
    <w:p>
      <w:pPr>
        <w:pStyle w:val="BodyText"/>
      </w:pPr>
    </w:p>
    <w:p>
      <w:pPr>
        <w:pStyle w:val="Compact"/>
        <w:numPr>
          <w:ilvl w:val="0"/>
          <w:numId w:val="1008"/>
        </w:numPr>
      </w:pPr>
      <w:r>
        <w:t xml:space="preserve">: If populations are estimated from representative livestock surveys, the survey sampling error may provide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8"/>
        </w:numPr>
      </w:pPr>
      <w:r>
        <w:t xml:space="preserve">: Ask the data provider to give a range within which they are 95% confident the true value falls.</w:t>
      </w:r>
    </w:p>
    <w:p>
      <w:pPr>
        <w:pStyle w:val="Compact"/>
        <w:numPr>
          <w:ilvl w:val="0"/>
          <w:numId w:val="1008"/>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9"/>
        </w:numPr>
      </w:pPr>
      <w:r>
        <w:t xml:space="preserve">: If you used a country-specific value from a published study, the study’s reported confidence interval or standard deviation can be used.</w:t>
      </w:r>
    </w:p>
    <w:p>
      <w:pPr>
        <w:pStyle w:val="Compact"/>
        <w:numPr>
          <w:ilvl w:val="0"/>
          <w:numId w:val="1009"/>
        </w:numPr>
      </w:pPr>
      <w:r>
        <w:t xml:space="preserve">: IPCC 2019 Refinement (Vol.4 Ch.10 / Ch.11) gives uncertainty percentages or lower / upper bounds for several parameters (e.g. EF</w:t>
      </w:r>
      <w:r>
        <w:t xml:space="preserve">, Ym, MCF). The template pre-fills these where IPCC publishes them; where IPCC does not publish an uncertainty range, the template falls back to ranges from Penman</w:t>
      </w:r>
      <w:r>
        <w:t xml:space="preserve"> </w:t>
      </w:r>
      <w:r>
        <w:t xml:space="preserve"> </w:t>
      </w:r>
      <w:r>
        <w:t xml:space="preserve">(2000) and Monni</w:t>
      </w:r>
      <w:r>
        <w:t xml:space="preserve"> </w:t>
      </w:r>
      <w:r>
        <w:t xml:space="preserve"> </w:t>
      </w:r>
      <w:r>
        <w:t xml:space="preserve">(2007), these are clearly distinguished in the template footnotes.</w:t>
      </w:r>
    </w:p>
    <w:p>
      <w:pPr>
        <w:pStyle w:val="Compact"/>
        <w:numPr>
          <w:ilvl w:val="0"/>
          <w:numId w:val="1009"/>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20"/>
    <w:bookmarkStart w:id="21" w:name="choosing-a-distribution"/>
    <w:p>
      <w:pPr>
        <w:pStyle w:val="Heading2"/>
      </w:pPr>
      <w:r>
        <w:t xml:space="preserve">Choosing a distribution</w:t>
      </w:r>
    </w:p>
    <w:p>
      <w:pPr>
        <w:pStyle w:val="FirstParagraph"/>
      </w:pPr>
    </w:p>
    <w:p>
      <w:r>
        <w:br w:type="page"/>
      </w:r>
    </w:p>
    <w:bookmarkEnd w:id="21"/>
    <w:bookmarkEnd w:id="22"/>
    <w:bookmarkStart w:id="25" w:name="loading-your-data-tab-1-data-input"/>
    <w:p>
      <w:pPr>
        <w:pStyle w:val="Heading1"/>
      </w:pPr>
      <w:r>
        <w:t xml:space="preserve">Loading your data (Tab 1: Data Input)</w:t>
      </w:r>
    </w:p>
    <w:bookmarkStart w:id="23"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10"/>
        </w:numPr>
      </w:pPr>
      <w:r>
        <w:t xml:space="preserve">: A fictional East African highland dairy system, 12 parameters, dairy/cows, including a synthetic 5-year time series.</w:t>
      </w:r>
    </w:p>
    <w:p>
      <w:pPr>
        <w:pStyle w:val="Compact"/>
        <w:numPr>
          <w:ilvl w:val="0"/>
          <w:numId w:val="1010"/>
        </w:numPr>
      </w:pPr>
      <w:r>
        <w:t xml:space="preserve">: A fictional semi-arid pastoral beef system,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3"/>
    <w:bookmarkStart w:id="24" w:name="uploading-your-own-data"/>
    <w:p>
      <w:pPr>
        <w:pStyle w:val="Heading2"/>
      </w:pPr>
      <w:r>
        <w:t xml:space="preserve">Uploading your own data</w:t>
      </w:r>
    </w:p>
    <w:p>
      <w:pPr>
        <w:pStyle w:val="FirstParagraph"/>
      </w:pPr>
      <w:r>
        <w:rPr>
          <w:b/>
          <w:bCs/>
        </w:rPr>
        <w:t xml:space="preserve">Step 1: Choose an IPCC Guidelines version.</w:t>
      </w:r>
      <w:r>
        <w:t xml:space="preserve"> </w:t>
      </w:r>
      <w:r>
        <w:t xml:space="preserve">Before downloading the template, select the IPCC version your inventory follows:</w:t>
      </w:r>
    </w:p>
    <w:p>
      <w:pPr>
        <w:pStyle w:val="Compact"/>
        <w:numPr>
          <w:ilvl w:val="0"/>
          <w:numId w:val="1011"/>
        </w:numPr>
      </w:pPr>
      <w:r>
        <w:t xml:space="preserve">: Uses the eight original manure management systems (MMS). Choose this if your national inventory is based on the 2006 Guidelines.</w:t>
      </w:r>
    </w:p>
    <w:p>
      <w:pPr>
        <w:pStyle w:val="Compact"/>
        <w:numPr>
          <w:ilvl w:val="0"/>
          <w:numId w:val="1011"/>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Download and fill in the template.</w:t>
      </w:r>
    </w:p>
    <w:p>
      <w:pPr>
        <w:pStyle w:val="Compact"/>
        <w:numPr>
          <w:ilvl w:val="0"/>
          <w:numId w:val="1012"/>
        </w:numPr>
      </w:pPr>
      <w:r>
        <w:t xml:space="preserve">Click</w:t>
      </w:r>
      <w:r>
        <w:t xml:space="preserve"> </w:t>
      </w:r>
      <w:r>
        <w:t xml:space="preserve">“Download Excel template”</w:t>
      </w:r>
      <w:r>
        <w:t xml:space="preserve"> </w:t>
      </w:r>
      <w:r>
        <w:t xml:space="preserve">to get the pre-formatted workbook</w:t>
      </w:r>
    </w:p>
    <w:p>
      <w:pPr>
        <w:pStyle w:val="Compact"/>
        <w:numPr>
          <w:ilvl w:val="0"/>
          <w:numId w:val="1012"/>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2"/>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2"/>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2"/>
        </w:numPr>
      </w:pPr>
      <w:r>
        <w:t xml:space="preserve">Save the file as .xlsx and upload it using the file picker.</w:t>
      </w:r>
    </w:p>
    <w:p>
      <w:pPr>
        <w:pStyle w:val="FirstParagraph"/>
      </w:pPr>
      <w:r>
        <w:rPr>
          <w:b/>
          <w:bCs/>
        </w:rPr>
        <w:t xml:space="preserve">Step 3: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necessary, revise any auto-filled values before your final simulation run.</w:t>
      </w:r>
    </w:p>
    <w:p>
      <w:pPr>
        <w:pStyle w:val="BodyText"/>
      </w:pPr>
    </w:p>
    <w:p>
      <w:r>
        <w:br w:type="page"/>
      </w:r>
    </w:p>
    <w:bookmarkEnd w:id="24"/>
    <w:bookmarkEnd w:id="25"/>
    <w:bookmarkStart w:id="29" w:name="reviewing-data-quality-tab-2-qaqc"/>
    <w:p>
      <w:pPr>
        <w:pStyle w:val="Heading1"/>
      </w:pPr>
      <w:r>
        <w:t xml:space="preserve">Reviewing data quality (Tab 2: QA/QC)</w:t>
      </w:r>
    </w:p>
    <w:bookmarkStart w:id="26"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below ±50% from the IPCC default, Warn above; a deviation above 200% is still a warning, never a fail) is applied</w:t>
      </w:r>
      <w:r>
        <w:t xml:space="preserve"> </w:t>
      </w:r>
      <w:r>
        <w:t xml:space="preserve">: the one parameter for which the tool keeps a defensible continental IPCC table lookup: Annex Tables 10A.1 (dairy cows), 10A.2 (non-dairy cattle), and 10A.3 (buffalo).</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6"/>
    <w:bookmarkStart w:id="27"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more than 50%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A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 bounds that do not bracket the mean; an MMS fraction-sum more than 1% off 100%; or a Beta configured with mean outside</w:t>
      </w:r>
      <w:r>
        <w:t xml:space="preserve"> </w:t>
      </w:r>
      <m:oMath>
        <m:r>
          <m:rPr>
            <m:sty m:val="p"/>
          </m:rPr>
          <m:t>(</m:t>
        </m:r>
        <m:r>
          <m:t>0</m:t>
        </m:r>
        <m:r>
          <m:rPr>
            <m:sty m:val="p"/>
          </m:rPr>
          <m:t>,</m:t>
        </m:r>
        <m:r>
          <m:t>1</m:t>
        </m:r>
        <m:r>
          <m:rPr>
            <m:sty m:val="p"/>
          </m:rPr>
          <m:t>)</m:t>
        </m:r>
      </m:oMath>
      <w:r>
        <w:t xml:space="preserve">. The Run button stays blocked while any fail remains. Correct the value in your Excel file and re-upload, or, if you have checked the value and accept it, tick</w:t>
      </w:r>
      <w:r>
        <w:t xml:space="preserve"> </w:t>
      </w:r>
      <w:r>
        <w:t xml:space="preserve"> </w:t>
      </w:r>
      <w:r>
        <w:t xml:space="preserve">next to the row.</w:t>
      </w:r>
    </w:p>
    <w:p>
      <w:pPr>
        <w:pStyle w:val="BodyText"/>
      </w:pPr>
      <w:r>
        <w:t xml:space="preserve"> </w:t>
      </w:r>
      <w:r>
        <w:t xml:space="preserve">Each failing row has an Ignore checkbox. The first tick opens a warning: running with ignored checks may produce unreliable results. Two failures cannot simply be waved through because the sampler would return NaN, so ignoring them applies the smallest repair instead and marks the row</w:t>
      </w:r>
      <w:r>
        <w:t xml:space="preserve"> </w:t>
      </w:r>
      <w:r>
        <w:t xml:space="preserve">: bounds that do not bracket the mean are widened around it, and a Beta or log-normal distribution on a value outside its valid range is replaced by a normal distribution. An ambiguous sub-category key cannot be ignored. Every ignored or repaired check is shown in a red banner above the results and listed in the Excel report (sheet</w:t>
      </w:r>
      <w:r>
        <w:t xml:space="preserve"> </w:t>
      </w:r>
      <w:r>
        <w:t xml:space="preserve">), at the end of the CSV, and in section 2b of the Word summary, so a reviewer always sees them next to the numbers.</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p>
      <w:pPr>
        <w:pStyle w:val="BodyText"/>
      </w:pPr>
      <w:r>
        <w:t xml:space="preserve"> </w:t>
      </w:r>
      <w:r>
        <w:t xml:space="preserve">You can make any necessary corrections by editing in Tab 3 (</w:t>
      </w:r>
      <w:r>
        <w:rPr>
          <w:rStyle w:val="VerbatimChar"/>
        </w:rPr>
        <w:t xml:space="preserve">Uncertainty'). The final values used in the simulation runs will be documented in the reports output by the tool, but will not be updated in your data input file. Alternatively, if you edit the values in your data input file and re-upload in Tab 1 (</w:t>
      </w:r>
      <w:r>
        <w:t xml:space="preserve">Data input’), the values used will be documented in the final reports and stored in your data input file.</w:t>
      </w:r>
    </w:p>
    <w:bookmarkEnd w:id="27"/>
    <w:bookmarkStart w:id="28"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8"/>
    <w:bookmarkEnd w:id="29"/>
    <w:bookmarkStart w:id="32" w:name="Xf2498949195d70a17f273cecd55e747eb1386c9"/>
    <w:p>
      <w:pPr>
        <w:pStyle w:val="Heading1"/>
      </w:pPr>
      <w:r>
        <w:t xml:space="preserve">Reviewing uncertainty distributions (Tab 3: Uncertainty)</w:t>
      </w:r>
    </w:p>
    <w:bookmarkStart w:id="30"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30"/>
    <w:bookmarkStart w:id="31"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1"/>
    <w:bookmarkEnd w:id="32"/>
    <w:bookmarkStart w:id="40" w:name="correlations-tab-4-correlations"/>
    <w:p>
      <w:pPr>
        <w:pStyle w:val="Heading1"/>
      </w:pPr>
      <w:r>
        <w:t xml:space="preserve">Correlations (Tab 4: Correlations)</w:t>
      </w:r>
    </w:p>
    <w:p>
      <w:pPr>
        <w:pStyle w:val="FirstParagraph"/>
      </w:pPr>
      <w:r>
        <w:t xml:space="preserve"> </w:t>
      </w:r>
      <w:r>
        <w:t xml:space="preserve">For a side-by-side worked comparison of all four correlation modes applied to the Country X / Country Y built-in examples (including how each mode changes the 95% confidence interval on total CO</w:t>
      </w:r>
      <m:oMath>
        <m:sSub>
          <m:e>
            <m:r>
              <m:t>​</m:t>
            </m:r>
          </m:e>
          <m:sub>
            <m:r>
              <m:t>2</m:t>
            </m:r>
          </m:sub>
        </m:sSub>
      </m:oMath>
      <w:r>
        <w:t xml:space="preserve">eq, the structural-defaults heatmap with per-pair sources, and the common mistakes to avoid), click the green</w:t>
      </w:r>
      <w:r>
        <w:t xml:space="preserve"> </w:t>
      </w:r>
      <w:r>
        <w:t xml:space="preserve"> </w:t>
      </w:r>
      <w:r>
        <w:t xml:space="preserve">link at the top of the Activity Data Correlations card on Tab 4. It opens a focused topic page in a new browser tab.</w:t>
      </w:r>
    </w:p>
    <w:bookmarkStart w:id="33"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3"/>
    <w:bookmarkStart w:id="34" w:name="quick-guide-which-option-do-i-pick"/>
    <w:p>
      <w:pPr>
        <w:pStyle w:val="Heading2"/>
      </w:pPr>
      <w:r>
        <w:t xml:space="preserve">Quick guide: which option do I pick?</w:t>
      </w:r>
    </w:p>
    <w:p>
      <w:pPr>
        <w:pStyle w:val="FirstParagraph"/>
      </w:pPr>
      <w:r>
        <w:t xml:space="preserve"> </w:t>
      </w:r>
      <w:r>
        <w:t xml:space="preserve">If a mode would have nothing to work with (e.g. </w:t>
      </w:r>
      <w:r>
        <w:rPr>
          <w:rStyle w:val="VerbatimChar"/>
        </w:rPr>
        <w:t xml:space="preserve">From template'' when your \texttt{Parameter\_TimeSeries} sheet is empty, or</w:t>
      </w:r>
      <w:r>
        <w:t xml:space="preserve">Advanced: manual entry’’ before you’ve uploaded a CSV), the radio choice appears greyed out with a short note explaining why. The tool also blocks the Run button with an explicit error if a no-data mode is somehow selected.</w:t>
      </w:r>
    </w:p>
    <w:bookmarkEnd w:id="34"/>
    <w:bookmarkStart w:id="35"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the IPCC equation chain multiplies around 13 parameters together, which dilutes the effect of any single correlated pair. See the Methodology document for the underlying mathematics.</w:t>
      </w:r>
    </w:p>
    <w:p>
      <w:pPr>
        <w:pStyle w:val="BodyText"/>
      </w:pPr>
      <w:r>
        <w:t xml:space="preserve"> </w:t>
      </w:r>
      <w:r>
        <w:t xml:space="preserve">Before running your simulation, Tab 5 (`Simulate &amp; Results’) lets you select</w:t>
      </w:r>
      <w:r>
        <w:t xml:space="preserve"> </w:t>
      </w:r>
      <w:r>
        <w:t xml:space="preserve">. Selecting this lets you inspect the influence of the correlation options you chose.</w:t>
      </w:r>
    </w:p>
    <w:bookmarkEnd w:id="35"/>
    <w:bookmarkStart w:id="36"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6"/>
    <w:bookmarkStart w:id="37"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names that don’t match a catalogue parameter are silently ignored when the matrix is applied to the simulation (no error message; the correlation just doesn’t take effect).</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7"/>
    <w:bookmarkStart w:id="38"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bookmarkEnd w:id="38"/>
    <w:bookmarkStart w:id="39"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r>
        <w:br w:type="page"/>
      </w:r>
    </w:p>
    <w:bookmarkEnd w:id="39"/>
    <w:bookmarkEnd w:id="40"/>
    <w:bookmarkStart w:id="45" w:name="running-the-simulation-tab-5-simulate"/>
    <w:p>
      <w:pPr>
        <w:pStyle w:val="Heading1"/>
      </w:pPr>
      <w:r>
        <w:t xml:space="preserve">Running the simulation (Tab 5: Simulate)</w:t>
      </w:r>
    </w:p>
    <w:bookmarkStart w:id="41"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AR4 (CH</w:t>
      </w:r>
      <w:r>
        <w:t xml:space="preserve"> </w:t>
      </w:r>
      <w:r>
        <w:t xml:space="preserve">GWP = 25, N</w:t>
      </w:r>
      <w:r>
        <w:t xml:space="preserve">O = 298), AR5 (CH</w:t>
      </w:r>
      <w:r>
        <w:t xml:space="preserve"> </w:t>
      </w:r>
      <w:r>
        <w:t xml:space="preserve">GWP = 28, N</w:t>
      </w:r>
      <w:r>
        <w:t xml:space="preserve">O = 265) and AR6 (CH</w:t>
      </w:r>
      <w:r>
        <w:t xml:space="preserve"> </w:t>
      </w:r>
      <w:r>
        <w:t xml:space="preserve">GWP = 27, N</w:t>
      </w:r>
      <w:r>
        <w:t xml:space="preserve">O = 273; the 27 is the non-fossil/biogenic methane value, appropriate for cattle). The default is AR5.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(e.g. simulation run only on the latest year in your inventory time series) or Trend (multi-year time series).</w:t>
      </w:r>
    </w:p>
    <w:p>
      <w:pPr>
        <w:pStyle w:val="BodyText"/>
      </w:pPr>
      <w:r>
        <w:t xml:space="preserve">: Tick all sources applicable to your inventory. Unticked sources contribute zero emissions to the total. (Note: you can choose not to select enteric fermentation, but the Tier 2 input data for enteric fermentation should be supplied. Not selecting enteric fermentation means that the emissions and uncertainty of this emission source will not be reported in the results.)</w:t>
      </w:r>
    </w:p>
    <w:bookmarkEnd w:id="41"/>
    <w:bookmarkStart w:id="42" w:name="X18e631fcb5b21c13cd2a1ff2b22c533ae0ca5c3"/>
    <w:p>
      <w:pPr>
        <w:pStyle w:val="Heading2"/>
      </w:pPr>
      <w:r>
        <w:t xml:space="preserve">Trend mode: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this setting only affects the per-head coefficients.</w:t>
      </w:r>
    </w:p>
    <w:p>
      <w:pPr>
        <w:pStyle w:val="BodyText"/>
      </w:pPr>
      <w:r>
        <w:t xml:space="preserve"> </w:t>
      </w:r>
      <w:r>
        <w:t xml:space="preserve">If your country uses the same emission factors for the whole inventory time series (e.g. when Tier 2 EFs were estimated using one dataset and applied to all inventory years), then a high-Ym draw in your base year should also be a high-Ym draw in the current year. The coefficient uncertainty then cancels when you compare the two years, so the trend uncertainty reflects only the activity-data changes. This is what IPCC Vol.1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2"/>
    <w:bookmarkStart w:id="43"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 but may be longer for inventories with large numbers of sub-categories.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3"/>
    <w:bookmarkStart w:id="44"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there are no chains, no warmup, and no burn-in.</w:t>
      </w:r>
    </w:p>
    <w:p>
      <w:r>
        <w:br w:type="page"/>
      </w:r>
    </w:p>
    <w:bookmarkEnd w:id="44"/>
    <w:bookmarkEnd w:id="45"/>
    <w:bookmarkStart w:id="49" w:name="understanding-results-tab-5-results"/>
    <w:p>
      <w:pPr>
        <w:pStyle w:val="Heading1"/>
      </w:pPr>
      <w:r>
        <w:t xml:space="preserve">Understanding results (Tab 5: Results)</w:t>
      </w:r>
    </w:p>
    <w:bookmarkStart w:id="46"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6"/>
    <w:bookmarkStart w:id="47"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7"/>
    <w:bookmarkStart w:id="48" w:name="by-system-and-by-category-breakdown"/>
    <w:p>
      <w:pPr>
        <w:pStyle w:val="Heading2"/>
      </w:pPr>
      <w:r>
        <w:t xml:space="preserve">By-system and by-category breakdown</w:t>
      </w:r>
    </w:p>
    <w:p>
      <w:r>
        <w:br w:type="page"/>
      </w:r>
    </w:p>
    <w:bookmarkEnd w:id="48"/>
    <w:bookmarkEnd w:id="49"/>
    <w:bookmarkStart w:id="52" w:name="sensitivity-analysis-tab-6"/>
    <w:p>
      <w:pPr>
        <w:pStyle w:val="Heading1"/>
      </w:pPr>
      <w:r>
        <w:t xml:space="preserve">Sensitivity analysis (Tab 6)</w:t>
      </w:r>
    </w:p>
    <w:bookmarkStart w:id="50"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50"/>
    <w:bookmarkStart w:id="51"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1"/>
    <w:bookmarkEnd w:id="52"/>
    <w:bookmarkStart w:id="55" w:name="X2ba54ca5884145abcad3c99bb30ed5bdc2bac4a"/>
    <w:p>
      <w:pPr>
        <w:pStyle w:val="Heading1"/>
      </w:pPr>
      <w:r>
        <w:t xml:space="preserve">Generating the IPCC report (Tab 7: IPCC Report)</w:t>
      </w:r>
    </w:p>
    <w:bookmarkStart w:id="53"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w:t>
      </w:r>
    </w:p>
    <w:p>
      <w:pPr>
        <w:pStyle w:val="BodyText"/>
      </w:pPr>
      <w:r>
        <w:t xml:space="preserve">: Following IPCC Table 3.3 conventions, all values are expressed as the half-width of the 95% confidence interval divided by the mean, multiplied by 100, i.e. </w:t>
      </w:r>
      <w:r>
        <w:t xml:space="preserve">.</w:t>
      </w:r>
    </w:p>
    <w:p>
      <w:pPr>
        <w:pStyle w:val="BodyText"/>
      </w:pPr>
    </w:p>
    <w:bookmarkEnd w:id="53"/>
    <w:bookmarkStart w:id="54" w:name="downloads"/>
    <w:p>
      <w:pPr>
        <w:pStyle w:val="Heading2"/>
      </w:pPr>
      <w:r>
        <w:t xml:space="preserve">Downloads</w:t>
      </w:r>
    </w:p>
    <w:p>
      <w:pPr>
        <w:pStyle w:val="FirstParagraph"/>
      </w:pPr>
      <w:r>
        <w:t xml:space="preserve">Three download formats are available:</w:t>
      </w:r>
    </w:p>
    <w:p>
      <w:r>
        <w:br w:type="page"/>
      </w:r>
    </w:p>
    <w:bookmarkEnd w:id="54"/>
    <w:bookmarkEnd w:id="55"/>
    <w:bookmarkStart w:id="58" w:name="ipcc-reporting-conventions"/>
    <w:p>
      <w:pPr>
        <w:pStyle w:val="Heading1"/>
      </w:pPr>
      <w:r>
        <w:t xml:space="preserve">IPCC reporting conventions</w:t>
      </w:r>
    </w:p>
    <w:bookmarkStart w:id="56"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6"/>
    <w:bookmarkStart w:id="57"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7"/>
    <w:bookmarkEnd w:id="58"/>
    <w:bookmarkStart w:id="59" w:name="X53b8655afe9f6f962a77d331658f1061377ceb0"/>
    <w:p>
      <w:pPr>
        <w:pStyle w:val="Heading1"/>
      </w:pPr>
      <w:r>
        <w:t xml:space="preserve">Worked example: Country X (hypothetical dairy)</w:t>
      </w:r>
    </w:p>
    <w:p>
      <w:pPr>
        <w:pStyle w:val="FirstParagraph"/>
      </w:pPr>
      <w:r>
        <w:t xml:space="preserve">To illustrate the workflow, the following example uses the Country X built-in dataset.</w:t>
      </w:r>
    </w:p>
    <w:p>
      <w:pPr>
        <w:pStyle w:val="BodyText"/>
      </w:pPr>
      <w:r>
        <w:rPr>
          <w:b/>
          <w:bCs/>
        </w:rPr>
        <w:t xml:space="preserve">Step 1: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a deliberate country-specific value can be documented in the inventory report rather than corrected.</w:t>
      </w:r>
    </w:p>
    <w:p>
      <w:pPr>
        <w:pStyle w:val="BodyText"/>
      </w:pPr>
      <w:r>
        <w:rPr>
          <w:b/>
          <w:bCs/>
        </w:rPr>
        <w:t xml:space="preserve">Step 3: Uncertainty</w:t>
      </w:r>
      <w:r>
        <w:t xml:space="preserve">: Go to Tab 3. Note that activity data (N, BW, Milk, WG, Fat) use Normal distributions and coefficients (Ym, DE, Bo, etc.) use PERT or lognormal distributions.</w:t>
      </w:r>
    </w:p>
    <w:p>
      <w:pPr>
        <w:pStyle w:val="BodyText"/>
      </w:pPr>
      <w:r>
        <w:rPr>
          <w:b/>
          <w:bCs/>
        </w:rPr>
        <w:t xml:space="preserve">Step 4: Correlations</w:t>
      </w:r>
      <w:r>
        <w:t xml:space="preserve">: Go to Tab 4. Select</w:t>
      </w:r>
      <w:r>
        <w:t xml:space="preserve"> </w:t>
      </w:r>
      <w:r>
        <w:t xml:space="preserve">“From template (auto, time-series)”</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Report</w:t>
      </w:r>
      <w:r>
        <w:t xml:space="preserve">: Go to Tab 7. Download the Excel report to see the full IPCC Table 3.3 output.</w:t>
      </w:r>
    </w:p>
    <w:p>
      <w:pPr>
        <w:pStyle w:val="BodyText"/>
      </w:pP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AD994462-D70B-418D-9D3F-8855F18B3ACF}"/>
</file>

<file path=customXml/itemProps2.xml><?xml version="1.0" encoding="utf-8"?>
<ds:datastoreItem xmlns:ds="http://schemas.openxmlformats.org/officeDocument/2006/customXml" ds:itemID="{D9BCD51E-F32F-4EAA-86CE-A28250F70A1A}"/>
</file>

<file path=customXml/itemProps3.xml><?xml version="1.0" encoding="utf-8"?>
<ds:datastoreItem xmlns:ds="http://schemas.openxmlformats.org/officeDocument/2006/customXml" ds:itemID="{F462CE9E-A2D9-4556-AFD9-C2DA1AA6B71C}"/>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ClimateActionNetZero</dc:creator>
  <cp:keywords/>
  <dcterms:created xsi:type="dcterms:W3CDTF">2026-09-29T15:37:06Z</dcterms:created>
  <dcterms:modified xsi:type="dcterms:W3CDTF">2026-09-29T15:37:06Z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