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4"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IPCC Eq.~10.2, ``Coefficient for calculating net energy for maintenance’’,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r>
            <m:rPr>
              <m:sty m:val="p"/>
            </m:rPr>
            <m:t>(</m:t>
          </m:r>
          <m:r>
            <m:t>4.092</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1.126</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r>
            <m:rPr>
              <m:sty m:val="p"/>
            </m:rPr>
            <m:t>(</m:t>
          </m:r>
          <m:r>
            <m:t>5.160</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1.308</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empirical fits derived from ruminant data and are only valid over the digestibility range observed for ruminant diets. The 2019 Refinement (Vol.4 Ch.10, §10.2) documents that range as</w:t>
      </w:r>
      <w:r>
        <w:t xml:space="preserve"> </w:t>
      </w:r>
      <w:r>
        <w:rPr>
          <w:b/>
          <w:bCs/>
        </w:rPr>
        <w:t xml:space="preserve">45–85%</w:t>
      </w:r>
      <w:r>
        <w:t xml:space="preserve"> </w:t>
      </w:r>
      <w:r>
        <w:t xml:space="preserve">(45–55% for crop by-products and rangelands; 55–80% for managed pasture and forage-based diets; 72–85% for grain-based feedlot diets). Outside this range the fits extrapolate poorly:</w:t>
      </w:r>
      <w:r>
        <w:t xml:space="preserve"> </w:t>
      </w:r>
      <m:oMath>
        <m:r>
          <m:t>R</m:t>
        </m:r>
        <m:r>
          <m:t>E</m:t>
        </m:r>
        <m:r>
          <m:t>G</m:t>
        </m:r>
      </m:oMath>
      <w:r>
        <w:t xml:space="preserve"> </w:t>
      </w:r>
      <w:r>
        <w:t xml:space="preserve">passes through zero near</w:t>
      </w:r>
      <w:r>
        <w:t xml:space="preserve"> </w:t>
      </w:r>
      <m:oMath>
        <m:r>
          <m:t>D</m:t>
        </m:r>
        <m:r>
          <m:t>E</m:t>
        </m:r>
        <m:r>
          <m:rPr>
            <m:sty m:val="p"/>
          </m:rPr>
          <m:t>≈</m:t>
        </m:r>
        <m:r>
          <m:t>37.6</m:t>
        </m:r>
        <m:r>
          <m:rPr>
            <m:sty m:val="p"/>
          </m:rPr>
          <m:t>%</m:t>
        </m:r>
      </m:oMath>
      <w:r>
        <w:t xml:space="preserve">, and below that the</w:t>
      </w:r>
      <w:r>
        <w:t xml:space="preserve"> </w:t>
      </w:r>
      <m:oMath>
        <m:r>
          <m:rPr>
            <m:sty m:val="p"/>
          </m:rPr>
          <m:t>−</m:t>
        </m:r>
        <m:r>
          <m:t>37.4</m:t>
        </m:r>
        <m:r>
          <m:rPr>
            <m:sty m:val="p"/>
          </m:rPr>
          <m:t>/</m:t>
        </m:r>
        <m:r>
          <m:t>D</m:t>
        </m:r>
        <m:r>
          <m:t>E</m:t>
        </m:r>
      </m:oMath>
      <w:r>
        <w:t xml:space="preserve"> </w:t>
      </w:r>
      <w:r>
        <w:t xml:space="preserve">term dominates and drives</w:t>
      </w:r>
      <w:r>
        <w:t xml:space="preserve"> </w:t>
      </w:r>
      <m:oMath>
        <m:r>
          <m:t>R</m:t>
        </m:r>
        <m:r>
          <m:t>E</m:t>
        </m:r>
        <m:r>
          <m:t>G</m:t>
        </m:r>
      </m:oMath>
      <w:r>
        <w:t xml:space="preserve"> </w:t>
      </w:r>
      <w:r>
        <w:t xml:space="preserve">negative. Because the gross-energy equation (below) divides by</w:t>
      </w:r>
      <w:r>
        <w:t xml:space="preserve"> </w:t>
      </w:r>
      <m:oMath>
        <m:r>
          <m:t>R</m:t>
        </m:r>
        <m:r>
          <m:t>E</m:t>
        </m:r>
        <m:r>
          <m:t>M</m:t>
        </m:r>
      </m:oMath>
      <w:r>
        <w:t xml:space="preserve"> </w:t>
      </w:r>
      <w:r>
        <w:t xml:space="preserve">and</w:t>
      </w:r>
      <w:r>
        <w:t xml:space="preserve"> </w:t>
      </w:r>
      <m:oMath>
        <m:r>
          <m:t>R</m:t>
        </m:r>
        <m:r>
          <m:t>E</m:t>
        </m:r>
        <m:r>
          <m:t>G</m:t>
        </m:r>
      </m:oMath>
      <w:r>
        <w:t xml:space="preserve">, an unconstrained low-</w:t>
      </w:r>
      <m:oMath>
        <m:r>
          <m:t>D</m:t>
        </m:r>
        <m:r>
          <m:t>E</m:t>
        </m:r>
      </m:oMath>
      <w:r>
        <w:t xml:space="preserve"> </w:t>
      </w:r>
      <w:r>
        <w:t xml:space="preserve">draw makes gross energy, and hence emissions, diverge or even turn negative.</w:t>
      </w:r>
    </w:p>
    <w:p>
      <w:pPr>
        <w:pStyle w:val="BodyText"/>
      </w:pPr>
      <w:r>
        <w:t xml:space="preserve">To keep every Monte Carlo iteration inside the equations’ valid domain, sampled</w:t>
      </w:r>
      <w:r>
        <w:t xml:space="preserve"> </w:t>
      </w:r>
      <m:oMath>
        <m:r>
          <m:t>D</m:t>
        </m:r>
        <m:r>
          <m:t>E</m:t>
        </m:r>
      </m:oMath>
      <w:r>
        <w:t xml:space="preserve"> </w:t>
      </w:r>
      <w:r>
        <w:t xml:space="preserve">values are</w:t>
      </w:r>
      <w:r>
        <w:t xml:space="preserve"> </w:t>
      </w:r>
      <w:r>
        <w:rPr>
          <w:b/>
          <w:bCs/>
        </w:rPr>
        <w:t xml:space="preserve">clamped to</w:t>
      </w:r>
      <w:r>
        <w:rPr>
          <w:b/>
          <w:bCs/>
        </w:rPr>
        <w:t xml:space="preserve"> </w:t>
      </w:r>
      <m:oMath>
        <m:r>
          <m:rPr>
            <m:sty m:val="p"/>
          </m:rPr>
          <m:t>[</m:t>
        </m:r>
        <m:r>
          <m:t>45</m:t>
        </m:r>
        <m:r>
          <m:rPr>
            <m:sty m:val="p"/>
          </m:rPr>
          <m:t>,</m:t>
        </m:r>
        <m:r>
          <m:t>85</m:t>
        </m:r>
        <m:r>
          <m:rPr>
            <m:sty m:val="p"/>
          </m:rPr>
          <m:t>]</m:t>
        </m:r>
        <m:r>
          <m:rPr>
            <m:sty m:val="p"/>
          </m:rPr>
          <m:t>%</m:t>
        </m:r>
      </m:oMath>
      <w:r>
        <w:t xml:space="preserve"> </w:t>
      </w:r>
      <w:r>
        <w:t xml:space="preserve">at the sampling stage (</w:t>
      </w:r>
      <w:r>
        <w:rPr>
          <w:rStyle w:val="VerbatimChar"/>
        </w:rPr>
        <w:t xml:space="preserve">generate_mc_samples</w:t>
      </w:r>
      <w:r>
        <w:t xml:space="preserve">). This prevents non-physical iterations (the extreme positive and negative emission totals that would otherwise stretch the output histogram and pull the simulated mean above the 97.5</w:t>
      </w:r>
      <w:r>
        <w:t xml:space="preserve"> </w:t>
      </w:r>
      <w:r>
        <w:t xml:space="preserve">percentile) without materially shifting the central estimate, since the clamp only trims the small fraction of the</w:t>
      </w:r>
      <w:r>
        <w:t xml:space="preserve"> </w:t>
      </w:r>
      <m:oMath>
        <m:r>
          <m:t>D</m:t>
        </m:r>
        <m:r>
          <m:t>E</m:t>
        </m:r>
      </m:oMath>
      <w:r>
        <w:t xml:space="preserve"> </w:t>
      </w:r>
      <w:r>
        <w:t xml:space="preserve">distribution that falls outside the documented ruminant range. The earlier</w:t>
      </w:r>
      <w:r>
        <w:t xml:space="preserve"> </w:t>
      </w:r>
      <m:oMath>
        <m:r>
          <m:t>D</m:t>
        </m:r>
        <m:r>
          <m:t>E</m:t>
        </m:r>
        <m:r>
          <m:rPr>
            <m:sty m:val="p"/>
          </m:rPr>
          <m:t>&gt;</m:t>
        </m:r>
        <m:r>
          <m:t>0</m:t>
        </m:r>
      </m:oMath>
      <w:r>
        <w:t xml:space="preserve"> </w:t>
      </w:r>
      <w:r>
        <w:t xml:space="preserve">check is retained as defence-in-depth.</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5" w:name="X98bcf26717a1b4c49eb0beece17eded9856c58f"/>
    <w:p>
      <w:pPr>
        <w:pStyle w:val="Heading2"/>
      </w:pPr>
      <w:r>
        <w:t xml:space="preserve">Two Routes to Gross Energy: Modelled and Measured</w:t>
      </w:r>
    </w:p>
    <w:p>
      <w:pPr>
        <w:pStyle w:val="FirstParagraph"/>
      </w:pPr>
      <w:r>
        <w:t xml:space="preserve">Equation 10.16 above infers intake from what the animal does. Its inputs are animal performance: body weight, growth, milk yield, pregnancy and activity. This is the route the tool takes by default, and the only route earlier versions offered.</w:t>
      </w:r>
    </w:p>
    <w:p>
      <w:pPr>
        <w:pStyle w:val="BodyText"/>
      </w:pPr>
      <w:r>
        <w:t xml:space="preserve">Many datasets work in the opposite direction. They measure feed intake and feed quality, and so already hold</w:t>
      </w:r>
      <w:r>
        <w:t xml:space="preserve"> </w:t>
      </w:r>
      <m:oMath>
        <m:r>
          <m:t>G</m:t>
        </m:r>
        <m:r>
          <m:t>E</m:t>
        </m:r>
      </m:oMath>
      <w:r>
        <w:t xml:space="preserve">, or hold dry matter intake (</w:t>
      </w:r>
      <m:oMath>
        <m:r>
          <m:t>D</m:t>
        </m:r>
        <m:r>
          <m:t>M</m:t>
        </m:r>
        <m:r>
          <m:t>I</m:t>
        </m:r>
      </m:oMath>
      <w:r>
        <w:t xml:space="preserve">) and can convert. Such datasets frequently carry no milk yield or weight gain at all, because nothing in their method required inferring intake. Measured intake is not a lesser input than modelled intake; where it exists it is generally the stronger evidence.</w:t>
      </w:r>
    </w:p>
    <w:p>
      <w:pPr>
        <w:pStyle w:val="BodyText"/>
      </w:pPr>
      <w:r>
        <w:t xml:space="preserve">The tool therefore accepts</w:t>
      </w:r>
      <w:r>
        <w:t xml:space="preserve"> </w:t>
      </w:r>
      <m:oMath>
        <m:r>
          <m:t>G</m:t>
        </m:r>
        <m:r>
          <m:t>E</m:t>
        </m:r>
      </m:oMath>
      <w:r>
        <w:t xml:space="preserve"> </w:t>
      </w:r>
      <w:r>
        <w:t xml:space="preserve">or</w:t>
      </w:r>
      <w:r>
        <w:t xml:space="preserve"> </w:t>
      </w:r>
      <m:oMath>
        <m:r>
          <m:t>D</m:t>
        </m:r>
        <m:r>
          <m:t>M</m:t>
        </m:r>
        <m:r>
          <m:t>I</m:t>
        </m:r>
      </m:oMath>
      <w:r>
        <w:t xml:space="preserve"> </w:t>
      </w:r>
      <w:r>
        <w:t xml:space="preserve">as optional inputs,</w:t>
      </w:r>
      <w:r>
        <w:t xml:space="preserve"> </w:t>
      </w:r>
      <w:r>
        <w:rPr>
          <w:b/>
          <w:bCs/>
        </w:rPr>
        <w:t xml:space="preserve">per sub-category</w:t>
      </w:r>
      <w:r>
        <w:t xml:space="preserve">:</w:t>
      </w:r>
    </w:p>
    <w:p>
      <w:pPr>
        <w:pStyle w:val="Compact"/>
        <w:numPr>
          <w:ilvl w:val="0"/>
          <w:numId w:val="1002"/>
        </w:numPr>
      </w:pPr>
      <w:r>
        <w:t xml:space="preserve">If a usable</w:t>
      </w:r>
      <w:r>
        <w:t xml:space="preserve"> </w:t>
      </w:r>
      <m:oMath>
        <m:r>
          <m:t>G</m:t>
        </m:r>
        <m:r>
          <m:t>E</m:t>
        </m:r>
      </m:oMath>
      <w:r>
        <w:t xml:space="preserve"> </w:t>
      </w:r>
      <w:r>
        <w:t xml:space="preserve">is supplied for a sub-category, it is used directly and Equations 10.3 to 10.16 are not evaluated for that sub-category.</w:t>
      </w:r>
    </w:p>
    <w:p>
      <w:pPr>
        <w:pStyle w:val="Compact"/>
        <w:numPr>
          <w:ilvl w:val="0"/>
          <w:numId w:val="1002"/>
        </w:numPr>
      </w:pPr>
      <w:r>
        <w:t xml:space="preserve">Otherwise, if a usable</w:t>
      </w:r>
      <w:r>
        <w:t xml:space="preserve"> </w:t>
      </w:r>
      <m:oMath>
        <m:r>
          <m:t>D</m:t>
        </m:r>
        <m:r>
          <m:t>M</m:t>
        </m:r>
        <m:r>
          <m:t>I</m:t>
        </m:r>
      </m:oMath>
      <w:r>
        <w:t xml:space="preserve"> </w:t>
      </w:r>
      <w:r>
        <w:t xml:space="preserve">is supplied,</w:t>
      </w:r>
      <w:r>
        <w:t xml:space="preserve"> </w:t>
      </w:r>
      <m:oMath>
        <m:r>
          <m:t>G</m:t>
        </m:r>
        <m:r>
          <m:t>E</m:t>
        </m:r>
        <m:r>
          <m:rPr>
            <m:sty m:val="p"/>
          </m:rPr>
          <m:t>=</m:t>
        </m:r>
        <m:r>
          <m:t>D</m:t>
        </m:r>
        <m:r>
          <m:t>M</m:t>
        </m:r>
        <m:r>
          <m:t>I</m:t>
        </m:r>
        <m:r>
          <m:rPr>
            <m:sty m:val="p"/>
          </m:rPr>
          <m:t>×</m:t>
        </m:r>
        <m:r>
          <m:t>18.45</m:t>
        </m:r>
      </m:oMath>
      <w:r>
        <w:t xml:space="preserve">.</w:t>
      </w:r>
    </w:p>
    <w:p>
      <w:pPr>
        <w:pStyle w:val="Compact"/>
        <w:numPr>
          <w:ilvl w:val="0"/>
          <w:numId w:val="1002"/>
        </w:numPr>
      </w:pPr>
      <w:r>
        <w:t xml:space="preserve">Otherwise</w:t>
      </w:r>
      <w:r>
        <w:t xml:space="preserve"> </w:t>
      </w:r>
      <m:oMath>
        <m:r>
          <m:t>G</m:t>
        </m:r>
        <m:r>
          <m:t>E</m:t>
        </m:r>
      </m:oMath>
      <w:r>
        <w:t xml:space="preserve"> </w:t>
      </w:r>
      <w:r>
        <w:t xml:space="preserve">is derived from Equation 10.16 exactly as above.</w:t>
      </w:r>
    </w:p>
    <w:p>
      <w:pPr>
        <w:pStyle w:val="FirstParagraph"/>
      </w:pPr>
      <w:r>
        <w:t xml:space="preserve">A value is</w:t>
      </w:r>
      <w:r>
        <w:t xml:space="preserve"> </w:t>
      </w:r>
      <w:r>
        <w:t xml:space="preserve">“usable”</w:t>
      </w:r>
      <w:r>
        <w:t xml:space="preserve"> </w:t>
      </w:r>
      <w:r>
        <w:t xml:space="preserve">only if it is present, finite and strictly positive. Blank, missing, zero and negative all mean</w:t>
      </w:r>
      <w:r>
        <w:t xml:space="preserve"> </w:t>
      </w:r>
      <w:r>
        <w:t xml:space="preserve">“not supplied”</w:t>
      </w:r>
      <w:r>
        <w:t xml:space="preserve">, so a zero intake is never mistaken for a measurement. Because the choice is made per sub-category, one inventory may mix measured and modelled groups, and an inventory that supplies neither is numerically unchanged from earlier versions of the tool.</w:t>
      </w:r>
    </w:p>
    <w:p>
      <w:pPr>
        <w:pStyle w:val="BodyText"/>
      </w:pPr>
      <m:oMath>
        <m:r>
          <m:t>G</m:t>
        </m:r>
        <m:r>
          <m:t>E</m:t>
        </m:r>
      </m:oMath>
      <w:r>
        <w:rPr>
          <w:b/>
          <w:bCs/>
        </w:rPr>
        <w:t xml:space="preserve"> </w:t>
      </w:r>
      <w:r>
        <w:rPr>
          <w:b/>
          <w:bCs/>
        </w:rPr>
        <w:t xml:space="preserve">takes precedence over</w:t>
      </w:r>
      <w:r>
        <w:rPr>
          <w:b/>
          <w:bCs/>
        </w:rPr>
        <w:t xml:space="preserve"> </w:t>
      </w:r>
      <m:oMath>
        <m:r>
          <m:t>D</m:t>
        </m:r>
        <m:r>
          <m:t>M</m:t>
        </m:r>
        <m:r>
          <m:t>I</m:t>
        </m:r>
      </m:oMath>
      <w:r>
        <w:rPr>
          <w:b/>
          <w:bCs/>
        </w:rPr>
        <w:t xml:space="preserve">.</w:t>
      </w:r>
      <w:r>
        <w:t xml:space="preserve"> </w:t>
      </w:r>
      <w:r>
        <w:t xml:space="preserve">A supplied</w:t>
      </w:r>
      <w:r>
        <w:t xml:space="preserve"> </w:t>
      </w:r>
      <m:oMath>
        <m:r>
          <m:t>G</m:t>
        </m:r>
        <m:r>
          <m:t>E</m:t>
        </m:r>
      </m:oMath>
      <w:r>
        <w:t xml:space="preserve"> </w:t>
      </w:r>
      <w:r>
        <w:t xml:space="preserve">carries the dataset’s own measured dietary energy density, whereas converting</w:t>
      </w:r>
      <w:r>
        <w:t xml:space="preserve"> </w:t>
      </w:r>
      <m:oMath>
        <m:r>
          <m:t>D</m:t>
        </m:r>
        <m:r>
          <m:t>M</m:t>
        </m:r>
        <m:r>
          <m:t>I</m:t>
        </m:r>
      </m:oMath>
      <w:r>
        <w:t xml:space="preserve"> </w:t>
      </w:r>
      <w:r>
        <w:t xml:space="preserve">imposes the IPCC figure of 18.45 MJ kg</w:t>
      </w:r>
      <m:oMath>
        <m:sSup>
          <m:e>
            <m:r>
              <m:t>​</m:t>
            </m:r>
          </m:e>
          <m:sup>
            <m:r>
              <m:rPr>
                <m:sty m:val="p"/>
              </m:rPr>
              <m:t>−</m:t>
            </m:r>
            <m:r>
              <m:t>1</m:t>
            </m:r>
          </m:sup>
        </m:sSup>
      </m:oMath>
      <w:r>
        <w:t xml:space="preserve"> </w:t>
      </w:r>
      <w:r>
        <w:t xml:space="preserve">dry matter. Where both are given, using</w:t>
      </w:r>
      <w:r>
        <w:t xml:space="preserve"> </w:t>
      </w:r>
      <m:oMath>
        <m:r>
          <m:t>G</m:t>
        </m:r>
        <m:r>
          <m:t>E</m:t>
        </m:r>
      </m:oMath>
      <w:r>
        <w:t xml:space="preserve"> </w:t>
      </w:r>
      <w:r>
        <w:t xml:space="preserve">preserves the user’s measurement.</w:t>
      </w:r>
    </w:p>
    <w:bookmarkStart w:id="22" w:name="what-a-measured-intake-does-not-replace"/>
    <w:p>
      <w:pPr>
        <w:pStyle w:val="Heading3"/>
      </w:pPr>
      <w:r>
        <w:t xml:space="preserve">What a measured intake does not replace</w:t>
      </w:r>
    </w:p>
    <w:p>
      <w:pPr>
        <w:pStyle w:val="FirstParagraph"/>
      </w:pPr>
      <w:r>
        <w:t xml:space="preserve">Supplying</w:t>
      </w:r>
      <w:r>
        <w:t xml:space="preserve"> </w:t>
      </w:r>
      <m:oMath>
        <m:r>
          <m:t>G</m:t>
        </m:r>
        <m:r>
          <m:t>E</m:t>
        </m:r>
      </m:oMath>
      <w:r>
        <w:t xml:space="preserve"> </w:t>
      </w:r>
      <w:r>
        <w:t xml:space="preserve">bypasses the energy balance only. Three groups of inputs remain necessary, and this is a frequent source of confusion:</w:t>
      </w:r>
    </w:p>
    <w:p>
      <w:pPr>
        <w:pStyle w:val="Compact"/>
        <w:numPr>
          <w:ilvl w:val="0"/>
          <w:numId w:val="1003"/>
        </w:numPr>
      </w:pPr>
      <w:r>
        <w:rPr>
          <w:b/>
          <w:bCs/>
        </w:rPr>
        <w:t xml:space="preserve">Digestible energy</w:t>
      </w:r>
      <w:r>
        <w:rPr>
          <w:b/>
          <w:bCs/>
        </w:rPr>
        <w:t xml:space="preserve"> </w:t>
      </w:r>
      <m:oMath>
        <m:r>
          <m:t>D</m:t>
        </m:r>
        <m:r>
          <m:t>E</m:t>
        </m:r>
      </m:oMath>
      <w:r>
        <w:t xml:space="preserve"> </w:t>
      </w:r>
      <w:r>
        <w:t xml:space="preserve">is still required. With</w:t>
      </w:r>
      <w:r>
        <w:t xml:space="preserve"> </w:t>
      </w:r>
      <m:oMath>
        <m:r>
          <m:t>G</m:t>
        </m:r>
        <m:r>
          <m:t>E</m:t>
        </m:r>
      </m:oMath>
      <w:r>
        <w:t xml:space="preserve"> </w:t>
      </w:r>
      <w:r>
        <w:t xml:space="preserve">supplied it no longer affects enteric methane, but Equation 10.24 still uses it to set the indigestible share of the feed that becomes volatile solids, and hence manure methane.</w:t>
      </w:r>
    </w:p>
    <w:p>
      <w:pPr>
        <w:pStyle w:val="Compact"/>
        <w:numPr>
          <w:ilvl w:val="0"/>
          <w:numId w:val="1003"/>
        </w:numPr>
      </w:pPr>
      <w:r>
        <w:rPr>
          <w:b/>
          <w:bCs/>
        </w:rPr>
        <w:t xml:space="preserve">Milk yield, milk protein content and weight gain</w:t>
      </w:r>
      <w:r>
        <w:t xml:space="preserve"> </w:t>
      </w:r>
      <w:r>
        <w:t xml:space="preserve">are still required. Equations 10.32 and 10.33 obtain nitrogen excretion by subtracting the nitrogen retained in milk and in liveweight gain from the nitrogen eaten. These inputs therefore continue to determine direct and indirect N</w:t>
      </w:r>
      <m:oMath>
        <m:sSub>
          <m:e>
            <m:r>
              <m:t>​</m:t>
            </m:r>
          </m:e>
          <m:sub>
            <m:r>
              <m:t>2</m:t>
            </m:r>
          </m:sub>
        </m:sSub>
      </m:oMath>
      <w:r>
        <w:t xml:space="preserve">O from both managed manure and pasture.</w:t>
      </w:r>
    </w:p>
    <w:p>
      <w:pPr>
        <w:pStyle w:val="Compact"/>
        <w:numPr>
          <w:ilvl w:val="0"/>
          <w:numId w:val="1003"/>
        </w:numPr>
      </w:pPr>
      <w:r>
        <w:rPr>
          <w:b/>
          <w:bCs/>
        </w:rPr>
        <w:t xml:space="preserve">Crude protein</w:t>
      </w:r>
      <w:r>
        <w:rPr>
          <w:b/>
          <w:bCs/>
        </w:rPr>
        <w:t xml:space="preserve"> </w:t>
      </w:r>
      <m:oMath>
        <m:r>
          <m:t>C</m:t>
        </m:r>
        <m:r>
          <m:t>P</m:t>
        </m:r>
      </m:oMath>
      <w:r>
        <w:t xml:space="preserve"> </w:t>
      </w:r>
      <w:r>
        <w:t xml:space="preserve">is still required, for the same nitrogen-intake term.</w:t>
      </w:r>
    </w:p>
    <w:bookmarkEnd w:id="22"/>
    <w:bookmarkStart w:id="23" w:name="a-residual-the-method-itself-carries"/>
    <w:p>
      <w:pPr>
        <w:pStyle w:val="Heading3"/>
      </w:pPr>
      <w:r>
        <w:t xml:space="preserve">A residual the method itself carries</w:t>
      </w:r>
    </w:p>
    <w:p>
      <w:pPr>
        <w:pStyle w:val="FirstParagraph"/>
      </w:pPr>
      <w:r>
        <w:t xml:space="preserve">Equations 10.24 and 10.32 divide by the IPCC constant of 18.45 MJ kg</w:t>
      </w:r>
      <m:oMath>
        <m:sSup>
          <m:e>
            <m:r>
              <m:t>​</m:t>
            </m:r>
          </m:e>
          <m:sup>
            <m:r>
              <m:rPr>
                <m:sty m:val="p"/>
              </m:rPr>
              <m:t>−</m:t>
            </m:r>
            <m:r>
              <m:t>1</m:t>
            </m:r>
          </m:sup>
        </m:sSup>
      </m:oMath>
      <w:r>
        <w:t xml:space="preserve"> </w:t>
      </w:r>
      <w:r>
        <w:t xml:space="preserve">dry matter regardless of the user’s own feed. A dataset whose measured energy density differs, for instance the 16.5 to 17.6 MJ kg</w:t>
      </w:r>
      <m:oMath>
        <m:sSup>
          <m:e>
            <m:r>
              <m:t>​</m:t>
            </m:r>
          </m:e>
          <m:sup>
            <m:r>
              <m:rPr>
                <m:sty m:val="p"/>
              </m:rPr>
              <m:t>−</m:t>
            </m:r>
            <m:r>
              <m:t>1</m:t>
            </m:r>
          </m:sup>
        </m:sSup>
      </m:oMath>
      <w:r>
        <w:t xml:space="preserve"> </w:t>
      </w:r>
      <w:r>
        <w:t xml:space="preserve">typical of tropical forage-based systems, will therefore see that constant applied in the volatile-solids and nitrogen-intake terms even while its own</w:t>
      </w:r>
      <w:r>
        <w:t xml:space="preserve"> </w:t>
      </w:r>
      <m:oMath>
        <m:r>
          <m:t>G</m:t>
        </m:r>
        <m:r>
          <m:t>E</m:t>
        </m:r>
      </m:oMath>
      <w:r>
        <w:t xml:space="preserve"> </w:t>
      </w:r>
      <w:r>
        <w:t xml:space="preserve">is used verbatim for enteric methane. This is a property of the IPCC equations, not a defect in the implementation, and it is documented here so it is not mistaken for one.</w:t>
      </w:r>
    </w:p>
    <w:bookmarkEnd w:id="23"/>
    <w:bookmarkStart w:id="24" w:name="reporting-which-route-was-used"/>
    <w:p>
      <w:pPr>
        <w:pStyle w:val="Heading3"/>
      </w:pPr>
      <w:r>
        <w:t xml:space="preserve">Reporting which route was used</w:t>
      </w:r>
    </w:p>
    <w:p>
      <w:pPr>
        <w:pStyle w:val="FirstParagraph"/>
      </w:pPr>
      <w:r>
        <w:t xml:space="preserve">Every run records, for each sub-category, whether gross energy was modelled or measured. The label appears in the results table in the application, in the run-settings sheet of the Excel export, and in the Word report. Where an inventory mixes routes, the split is stated explicitly rather than a single method being implied.</w:t>
      </w:r>
    </w:p>
    <w:bookmarkEnd w:id="24"/>
    <w:bookmarkEnd w:id="25"/>
    <w:bookmarkStart w:id="26"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6"/>
    <w:bookmarkStart w:id="27"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7"/>
    <w:bookmarkStart w:id="28"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8"/>
    <w:bookmarkStart w:id="29"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9"/>
    <w:bookmarkStart w:id="30"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30"/>
    <w:bookmarkStart w:id="31"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31"/>
    <w:bookmarkStart w:id="32"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in the tool,</w:t>
      </w:r>
      <w:r>
        <w:t xml:space="preserve"> </w:t>
      </w:r>
      <w:r>
        <w:t xml:space="preserve"> </w:t>
      </w:r>
      <w:r>
        <w:t xml:space="preserve">may be set equal to zero in those climate cases.</w:t>
      </w:r>
    </w:p>
    <w:bookmarkEnd w:id="32"/>
    <w:bookmarkStart w:id="33"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33"/>
    <w:bookmarkEnd w:id="34"/>
    <w:bookmarkStart w:id="40" w:name="monte-carlo-uncertainty-analysis"/>
    <w:p>
      <w:pPr>
        <w:pStyle w:val="Heading1"/>
      </w:pPr>
      <w:r>
        <w:t xml:space="preserve">Monte Carlo Uncertainty Analysis</w:t>
      </w:r>
    </w:p>
    <w:bookmarkStart w:id="35"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4"/>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4"/>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5"/>
    <w:bookmarkStart w:id="36"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6"/>
    <w:bookmarkStart w:id="37"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5"/>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5"/>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7"/>
    <w:bookmarkStart w:id="38"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6"/>
        </w:numPr>
      </w:pPr>
      <w:r>
        <w:t xml:space="preserve">Sample all parameters from their distributions (with correlation structure if supplied).</w:t>
      </w:r>
    </w:p>
    <w:p>
      <w:pPr>
        <w:pStyle w:val="Compact"/>
        <w:numPr>
          <w:ilvl w:val="0"/>
          <w:numId w:val="1006"/>
        </w:numPr>
      </w:pPr>
      <w:r>
        <w:t xml:space="preserve">For each cattle sub-category</w:t>
      </w:r>
      <w:r>
        <w:t xml:space="preserve"> </w:t>
      </w:r>
      <m:oMath>
        <m:r>
          <m:t>k</m:t>
        </m:r>
      </m:oMath>
      <w:r>
        <w:t xml:space="preserve">:</w:t>
      </w:r>
    </w:p>
    <w:p>
      <w:pPr>
        <w:pStyle w:val="Compact"/>
        <w:numPr>
          <w:ilvl w:val="1"/>
          <w:numId w:val="1007"/>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7"/>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7"/>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7"/>
        </w:numPr>
      </w:pPr>
      <w:r>
        <w:t xml:space="preserve">Compute emission totals for all six pathways.</w:t>
      </w:r>
    </w:p>
    <w:p>
      <w:pPr>
        <w:pStyle w:val="Compact"/>
        <w:numPr>
          <w:ilvl w:val="0"/>
          <w:numId w:val="1006"/>
        </w:numPr>
      </w:pPr>
      <w:r>
        <w:t xml:space="preserve">Sum across all sub-categories to obtain national pathway totals and total CO</w:t>
      </w:r>
      <m:oMath>
        <m:sSub>
          <m:e>
            <m:r>
              <m:t>​</m:t>
            </m:r>
          </m:e>
          <m:sub>
            <m:r>
              <m:t>2</m:t>
            </m:r>
          </m:sub>
        </m:sSub>
      </m:oMath>
      <w:r>
        <w:t xml:space="preserve">eq.</w:t>
      </w:r>
    </w:p>
    <w:p>
      <w:pPr>
        <w:pStyle w:val="Compact"/>
        <w:numPr>
          <w:ilvl w:val="0"/>
          <w:numId w:val="1006"/>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8"/>
    <w:bookmarkStart w:id="39"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8"/>
        </w:numPr>
      </w:pPr>
      <w:r>
        <w:rPr>
          <w:b/>
          <w:bCs/>
        </w:rPr>
        <w:t xml:space="preserve">1,000 iterations</w:t>
      </w:r>
      <w:r>
        <w:t xml:space="preserve">: suitable only for a quick test run to verify the model runs without errors. Do not report results from 1,000 iterations.</w:t>
      </w:r>
    </w:p>
    <w:p>
      <w:pPr>
        <w:pStyle w:val="Compact"/>
        <w:numPr>
          <w:ilvl w:val="0"/>
          <w:numId w:val="1008"/>
        </w:numPr>
      </w:pPr>
      <w:r>
        <w:rPr>
          <w:b/>
          <w:bCs/>
        </w:rPr>
        <w:t xml:space="preserve">10,000 iterations</w:t>
      </w:r>
      <w:r>
        <w:t xml:space="preserve">: minimum recommended for any result intended for use. Convergence is generally adequate for inventories with up to 5 sub-categories and 30 parameters.</w:t>
      </w:r>
    </w:p>
    <w:p>
      <w:pPr>
        <w:pStyle w:val="Compact"/>
        <w:numPr>
          <w:ilvl w:val="0"/>
          <w:numId w:val="1008"/>
        </w:numPr>
      </w:pPr>
      <w:r>
        <w:rPr>
          <w:b/>
          <w:bCs/>
        </w:rPr>
        <w:t xml:space="preserve">25,000–30,000 iterations</w:t>
      </w:r>
      <w:r>
        <w:t xml:space="preserve">: recommended for final reporting, especially when correlations are enabled or the inventory has many sub-categories or asymmetric distributions.</w:t>
      </w:r>
    </w:p>
    <w:p>
      <w:pPr>
        <w:pStyle w:val="Compact"/>
        <w:numPr>
          <w:ilvl w:val="0"/>
          <w:numId w:val="1008"/>
        </w:numPr>
      </w:pPr>
      <w:r>
        <w:rPr>
          <w:b/>
          <w:bCs/>
        </w:rPr>
        <w:t xml:space="preserve">50,000 iterations</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9"/>
    <w:bookmarkEnd w:id="40"/>
    <w:bookmarkStart w:id="45"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41"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it does not assume a normal distribution and is therefore valid for asymmetric emission distributions.</w:t>
      </w:r>
    </w:p>
    <w:bookmarkEnd w:id="41"/>
    <w:bookmarkStart w:id="42"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42"/>
    <w:bookmarkStart w:id="43"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IPCC Annex 7 expects MoE%, not CV%. It is undefined (reported as NA) when the mean emission is zero (e.g. pasture N</w:t>
      </w:r>
      <m:oMath>
        <m:sSub>
          <m:e>
            <m:r>
              <m:t>​</m:t>
            </m:r>
          </m:e>
          <m:sub>
            <m:r>
              <m:t>2</m:t>
            </m:r>
          </m:sub>
        </m:sSub>
      </m:oMath>
      <w:r>
        <w:t xml:space="preserve">O for fully housed systems).</w:t>
      </w:r>
    </w:p>
    <w:bookmarkEnd w:id="43"/>
    <w:bookmarkStart w:id="44"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4"/>
    <w:bookmarkEnd w:id="45"/>
    <w:bookmarkStart w:id="46"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9"/>
        </w:numPr>
      </w:pPr>
      <w:r>
        <w:rPr>
          <w:b/>
          <w:bCs/>
        </w:rPr>
        <w:t xml:space="preserve">Combined run</w:t>
      </w:r>
      <w:r>
        <w:t xml:space="preserve">: all parameters varied according to their distributions. This is the primary result.</w:t>
      </w:r>
    </w:p>
    <w:p>
      <w:pPr>
        <w:pStyle w:val="Compact"/>
        <w:numPr>
          <w:ilvl w:val="0"/>
          <w:numId w:val="1009"/>
        </w:numPr>
      </w:pPr>
      <w:r>
        <w:rPr>
          <w:b/>
          <w:bCs/>
        </w:rPr>
        <w:t xml:space="preserve">AD-only run</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9"/>
        </w:numPr>
      </w:pPr>
      <w:r>
        <w:rPr>
          <w:b/>
          <w:bCs/>
        </w:rPr>
        <w:t xml:space="preserve">EF-only run</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the activity data, meaning the animal population survey and the survey of manure management system usage, or on refining the emission factor estimates.</w:t>
      </w:r>
    </w:p>
    <w:p>
      <w:pPr>
        <w:pStyle w:val="BodyText"/>
      </w:pPr>
      <w:r>
        <w:t xml:space="preserve"> </w:t>
      </w:r>
      <w:r>
        <w:t xml:space="preserve">IPCC, not the tool, decides this. Vol.4 Ch.10.4.4 (manure CH</w:t>
      </w:r>
      <m:oMath>
        <m:sSub>
          <m:e>
            <m:r>
              <m:t>​</m:t>
            </m:r>
          </m:e>
          <m:sub>
            <m:r>
              <m:t>4</m:t>
            </m:r>
          </m:sub>
        </m:sSub>
      </m:oMath>
      <w:r>
        <w:t xml:space="preserve">) and Ch.10.5.5 (manure N</w:t>
      </w:r>
      <m:oMath>
        <m:sSub>
          <m:e>
            <m:r>
              <m:t>​</m:t>
            </m:r>
          </m:e>
          <m:sub>
            <m:r>
              <m:t>2</m:t>
            </m:r>
          </m:sub>
        </m:sSub>
      </m:oMath>
      <w:r>
        <w:t xml:space="preserve">O) are the uncertainty-assessment sections for manure management, and each carries exactly two activity-data sub-headings:</w:t>
      </w:r>
      <w:r>
        <w:t xml:space="preserve"> </w:t>
      </w:r>
      <w:r>
        <w:t xml:space="preserve"> </w:t>
      </w:r>
      <w:r>
        <w:t xml:space="preserve">and</w:t>
      </w:r>
      <w:r>
        <w:t xml:space="preserve"> </w:t>
      </w:r>
      <w:r>
        <w:t xml:space="preserve">, the latter with indicative ranges of 10% or less where one system dominates and 25% to 50% where usage is varied. Ch.10.4.3 and 10.5.3 open the same way, naming</w:t>
      </w:r>
      <w:r>
        <w:t xml:space="preserve"> </w:t>
      </w:r>
      <w:r>
        <w:rPr>
          <w:rStyle w:val="VerbatimChar"/>
        </w:rPr>
        <w:t xml:space="preserve">(1) animal population data; and (2) manure management system usage data''. The 2019 Refinement records 10.4.4 as</w:t>
      </w:r>
      <w:r>
        <w:t xml:space="preserve">No refinement’’. For enteric fermentation, Ch.10.3.3 makes population the only activity data.</w:t>
      </w:r>
    </w:p>
    <w:p>
      <w:pPr>
        <w:pStyle w:val="BodyText"/>
      </w:pPr>
      <w:r>
        <w:t xml:space="preserve">Accordingly the AD-only run varies the population</w:t>
      </w:r>
      <w:r>
        <w:t xml:space="preserve"> </w:t>
      </w:r>
      <m:oMath>
        <m:r>
          <m:t>N</m:t>
        </m:r>
      </m:oMath>
      <w:r>
        <w:t xml:space="preserve"> </w:t>
      </w:r>
      <w:r>
        <w:t xml:space="preserve">and the MMS-allocation</w:t>
      </w:r>
      <w:r>
        <w:t xml:space="preserve"> </w:t>
      </w:r>
      <m:oMath>
        <m:r>
          <m:t>M</m:t>
        </m:r>
        <m:sSub>
          <m:e>
            <m:r>
              <m:t>S</m:t>
            </m:r>
          </m:e>
          <m:sub>
            <m:r>
              <m:t>s</m:t>
            </m:r>
          </m:sub>
        </m:sSub>
      </m:oMath>
      <w:r>
        <w:t xml:space="preserve"> </w:t>
      </w:r>
      <w:r>
        <w:t xml:space="preserve">fractions, and pins everything else: the Parameters-sheet coefficients, the per-MMS matrices for MCF, EF3, Frac_GasMS and Frac_LeachMS, and the cross-group shared coefficient draws. The EF-only run does the reverse. Note that</w:t>
      </w:r>
      <w:r>
        <w:t xml:space="preserve"> </w:t>
      </w:r>
      <m:oMath>
        <m:sSub>
          <m:e>
            <m:r>
              <m:t>N</m:t>
            </m:r>
          </m:e>
          <m:sub>
            <m:r>
              <m:t>e</m:t>
            </m:r>
            <m:r>
              <m:t>x</m:t>
            </m:r>
          </m:sub>
        </m:sSub>
      </m:oMath>
      <w:r>
        <w:t xml:space="preserve"> </w:t>
      </w:r>
      <w:r>
        <w:t xml:space="preserve">is</w:t>
      </w:r>
      <w:r>
        <w:t xml:space="preserve"> </w:t>
      </w:r>
      <w:r>
        <w:t xml:space="preserve"> </w:t>
      </w:r>
      <w:r>
        <w:t xml:space="preserve">activity data despite a sentence in the time-series subsection calling it one: it is defined in Ch.10.5.2, Choice of emission factors.</w:t>
      </w:r>
    </w:p>
    <w:p>
      <w:pPr>
        <w:pStyle w:val="BodyText"/>
      </w:pPr>
      <w:r>
        <w:t xml:space="preserve">The obvious objection, that Approach 1 offers two columns while this inventory has some thirty inputs, is answered by Vol.1 Ch.3 Eq.3.2b: ``both AD and EF can be the result of several different parameters’’. Each column is a composite, and the sectoral guidance decides the membership.</w:t>
      </w:r>
    </w:p>
    <w:p>
      <w:pPr>
        <w:pStyle w:val="BodyText"/>
      </w:pPr>
      <w:r>
        <w:t xml:space="preserve"> </w:t>
      </w:r>
      <w:r>
        <w:t xml:space="preserve">Enteric fermentation is the one source whose AD-only CV equals CV(N) exactly, because population is its only activity data. Every manure-dependent source, including pasture N</w:t>
      </w:r>
      <m:oMath>
        <m:sSub>
          <m:e>
            <m:r>
              <m:t>​</m:t>
            </m:r>
          </m:e>
          <m:sub>
            <m:r>
              <m:t>2</m:t>
            </m:r>
          </m:sub>
        </m:sSub>
      </m:oMath>
      <w:r>
        <w:t xml:space="preserve">O (the pasture share is itself part of the allocation), carries the allocation’s uncertainty in the AD column as well. Where the Manure_Management sheet leaves</w:t>
      </w:r>
      <w:r>
        <w:t xml:space="preserve"> </w:t>
      </w:r>
      <w:r>
        <w:t xml:space="preserve"> </w:t>
      </w:r>
      <w:r>
        <w:t xml:space="preserve">and</w:t>
      </w:r>
      <w:r>
        <w:t xml:space="preserve"> </w:t>
      </w:r>
      <w:r>
        <w:t xml:space="preserve"> </w:t>
      </w:r>
      <w:r>
        <w:t xml:space="preserve">blank the allocation is deterministic, and then every source again reduces to CV(N).</w:t>
      </w:r>
    </w:p>
    <w:p>
      <w:pPr>
        <w:pStyle w:val="BodyText"/>
      </w:pPr>
      <w:r>
        <w:t xml:space="preserve"> </w:t>
      </w:r>
      <w:r>
        <w:t xml:space="preserve">Before 2026-09-30 the MMS allocation was pinned in the AD-only run alongside the four emission-factor matrices, which placed its uncertainty in the EF column. On the built-in Country X example the correction moves manure CH</w:t>
      </w:r>
      <m:oMath>
        <m:sSub>
          <m:e>
            <m:r>
              <m:t>​</m:t>
            </m:r>
          </m:e>
          <m:sub>
            <m:r>
              <m:t>4</m:t>
            </m:r>
          </m:sub>
        </m:sSub>
      </m:oMath>
      <w:r>
        <w:t xml:space="preserve">’s AD figure from 10.0% to 17.8% and its EF figure from 39.1% to 36.1%. The combined column is unchanged, as it must be: the correction moves variance between columns rather than creating any.</w:t>
      </w:r>
    </w:p>
    <w:p>
      <w:r>
        <w:br w:type="page"/>
      </w:r>
    </w:p>
    <w:bookmarkEnd w:id="46"/>
    <w:bookmarkStart w:id="50"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7"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7"/>
    <w:bookmarkStart w:id="48"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10"/>
        </w:numPr>
      </w:pPr>
      <w:r>
        <w:t xml:space="preserve">Replace all input columns and the output column with their ranks.</w:t>
      </w:r>
    </w:p>
    <w:p>
      <w:pPr>
        <w:pStyle w:val="Compact"/>
        <w:numPr>
          <w:ilvl w:val="0"/>
          <w:numId w:val="1010"/>
        </w:numPr>
      </w:pPr>
      <w:r>
        <w:t xml:space="preserve">For each parameter</w:t>
      </w:r>
      <w:r>
        <w:t xml:space="preserve"> </w:t>
      </w:r>
      <m:oMath>
        <m:r>
          <m:t>j</m:t>
        </m:r>
      </m:oMath>
      <w:r>
        <w:t xml:space="preserve">:</w:t>
      </w:r>
    </w:p>
    <w:p>
      <w:pPr>
        <w:pStyle w:val="Compact"/>
        <w:numPr>
          <w:ilvl w:val="1"/>
          <w:numId w:val="1011"/>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11"/>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11"/>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8"/>
    <w:bookmarkStart w:id="49"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2"/>
        </w:numPr>
      </w:pPr>
      <w:r>
        <w:rPr>
          <w:b/>
          <w:bCs/>
        </w:rPr>
        <w:t xml:space="preserve">Green bars</w:t>
      </w:r>
      <w:r>
        <w:t xml:space="preserve"> </w:t>
      </w:r>
      <w:r>
        <w:t xml:space="preserve">(positive coefficient): increasing this parameter increases total emissions; reduction in uncertainty would directly reduce total emission uncertainty.</w:t>
      </w:r>
    </w:p>
    <w:p>
      <w:pPr>
        <w:pStyle w:val="Compact"/>
        <w:numPr>
          <w:ilvl w:val="0"/>
          <w:numId w:val="1012"/>
        </w:numPr>
      </w:pPr>
      <w:r>
        <w:rPr>
          <w:b/>
          <w:bCs/>
        </w:rPr>
        <w:t xml:space="preserve">Red bars</w:t>
      </w:r>
      <w:r>
        <w:t xml:space="preserve"> </w:t>
      </w:r>
      <w:r>
        <w:t xml:space="preserve">(negative coefficient): increasing this parameter decreases total emissions.</w:t>
      </w:r>
    </w:p>
    <w:p>
      <w:pPr>
        <w:pStyle w:val="Compact"/>
        <w:numPr>
          <w:ilvl w:val="0"/>
          <w:numId w:val="1012"/>
        </w:numPr>
      </w:pPr>
      <w:r>
        <w:rPr>
          <w:b/>
          <w:bCs/>
        </w:rPr>
        <w:t xml:space="preserve">Dark (slate) bars</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2"/>
        </w:numPr>
      </w:pPr>
      <w:r>
        <w:rPr>
          <w:b/>
          <w:bCs/>
        </w:rPr>
        <w:t xml:space="preserve">Bright (green/red) bars</w:t>
      </w:r>
      <w:r>
        <w:t xml:space="preserve">: user-reducible parameters where better national data could meaningfully reduce inventory uncertainty.</w:t>
      </w:r>
    </w:p>
    <w:p>
      <w:r>
        <w:br w:type="page"/>
      </w:r>
    </w:p>
    <w:bookmarkEnd w:id="49"/>
    <w:bookmarkEnd w:id="50"/>
    <w:bookmarkStart w:id="58" w:name="correlation-structure"/>
    <w:p>
      <w:pPr>
        <w:pStyle w:val="Heading1"/>
      </w:pPr>
      <w:r>
        <w:t xml:space="preserve">Correlation Structure</w:t>
      </w:r>
    </w:p>
    <w:bookmarkStart w:id="51"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51"/>
    <w:bookmarkStart w:id="52"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52"/>
    <w:bookmarkStart w:id="53"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53"/>
    <w:bookmarkStart w:id="54"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4"/>
    <w:bookmarkStart w:id="55"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(which is not the year-to-year joint uncertainty Approach 2 is meant to capture)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5"/>
    <w:bookmarkStart w:id="56" w:name="across-group-coefficient-correlation"/>
    <w:p>
      <w:pPr>
        <w:pStyle w:val="Heading2"/>
      </w:pPr>
      <w:r>
        <w:t xml:space="preserve">Across-Group Coefficient Correlation</w:t>
      </w:r>
    </w:p>
    <w:p>
      <w:pPr>
        <w:pStyle w:val="FirstParagraph"/>
      </w:pPr>
      <w:r>
        <w:t xml:space="preserve">An inventory is normally disaggregated into groups (cattle type</w:t>
      </w:r>
      <w:r>
        <w:t xml:space="preserve"> </w:t>
      </w:r>
      <m:oMath>
        <m:r>
          <m:rPr>
            <m:sty m:val="p"/>
          </m:rPr>
          <m:t>×</m:t>
        </m:r>
      </m:oMath>
      <w:r>
        <w:t xml:space="preserve"> </w:t>
      </w:r>
      <w:r>
        <w:t xml:space="preserve">production system</w:t>
      </w:r>
      <w:r>
        <w:t xml:space="preserve"> </w:t>
      </w:r>
      <m:oMath>
        <m:r>
          <m:rPr>
            <m:sty m:val="p"/>
          </m:rPr>
          <m:t>×</m:t>
        </m:r>
      </m:oMath>
      <w:r>
        <w:t xml:space="preserve"> </w:t>
      </w:r>
      <w:r>
        <w:t xml:space="preserve">animal sub-category). A second decision then arises, exactly parallel to the year-to-year decision described in the next section: within a single Monte Carlo iteration, when two groups use the</w:t>
      </w:r>
      <w:r>
        <w:t xml:space="preserve"> </w:t>
      </w:r>
      <w:r>
        <w:t xml:space="preserve"> </w:t>
      </w:r>
      <w:r>
        <w:t xml:space="preserve">value for a coefficient, should they receive the same draw or separate draws?</w:t>
      </w:r>
    </w:p>
    <w:p>
      <w:pPr>
        <w:pStyle w:val="BodyText"/>
      </w:pPr>
      <w:r>
        <w:t xml:space="preserve">The question is not cosmetic. Uncertainty in a shared estimate is</w:t>
      </w:r>
      <w:r>
        <w:t xml:space="preserve"> </w:t>
      </w:r>
      <w:r>
        <w:t xml:space="preserve">. If the true</w:t>
      </w:r>
      <w:r>
        <w:t xml:space="preserve"> </w:t>
      </w:r>
      <m:oMath>
        <m:sSub>
          <m:e>
            <m:r>
              <m:t>Y</m:t>
            </m:r>
          </m:e>
          <m:sub>
            <m:r>
              <m:t>m</m:t>
            </m:r>
          </m:sub>
        </m:sSub>
      </m:oMath>
      <w:r>
        <w:t xml:space="preserve"> </w:t>
      </w:r>
      <w:r>
        <w:t xml:space="preserve">is 7.0 rather than the 6.5 applied to every group, every group is wrong in the same direction, by the same relative amount, simultaneously; nothing cancels in the sum. Drawing it independently per group asserts instead that the published figure is re-drawn afresh for each sub-category, and the resulting errors partially cancel. Because the cancellation goes as</w:t>
      </w:r>
      <w:r>
        <w:t xml:space="preserve"> </w:t>
      </w:r>
      <m:oMath>
        <m:r>
          <m:t>1</m:t>
        </m:r>
        <m:r>
          <m:rPr>
            <m:sty m:val="p"/>
          </m:rPr>
          <m:t>/</m:t>
        </m:r>
        <m:rad>
          <m:radPr>
            <m:degHide m:val="on"/>
          </m:radPr>
          <m:deg/>
          <m:e>
            <m:r>
              <m:t>N</m:t>
            </m:r>
          </m:e>
        </m:rad>
      </m:oMath>
      <w:r>
        <w:t xml:space="preserve">, the reported uncertainty then falls as the inventory is split more finely.</w:t>
      </w:r>
    </w:p>
    <w:p>
      <w:pPr>
        <w:pStyle w:val="BodyText"/>
      </w:pPr>
      <w:r>
        <w:t xml:space="preserve">The magnitude is large. Holding the herd, the parameters and the uncertainty inputs fixed and varying only the number of groups:</w:t>
      </w:r>
    </w:p>
    <w:p>
      <w:pPr>
        <w:pStyle w:val="BodyText"/>
      </w:pPr>
      <w:r>
        <w:t xml:space="preserve">The mean is stable throughout; only the uncertainty moves, and it moves purely with a reporting choice.</w:t>
      </w:r>
    </w:p>
    <w:p>
      <w:pPr>
        <w:pStyle w:val="BodyText"/>
      </w:pPr>
      <w:r>
        <w:t xml:space="preserve">IPCC 2019 Refinement Vol.1 Ch.3 addresses this directly. It warns that subcategories</w:t>
      </w:r>
      <w:r>
        <w:t xml:space="preserve"> </w:t>
      </w:r>
      <w:r>
        <w:rPr>
          <w:rStyle w:val="VerbatimChar"/>
        </w:rPr>
        <w:t xml:space="preserve">can be highly correlated, because either the AD are derived from the same source or the EFs have parameters in common''; it states that</w:t>
      </w:r>
      <w:r>
        <w:t xml:space="preserve">in the case of full correlation among categories, aggregation of these categories is the recommended procedure’</w:t>
      </w:r>
      <w:r>
        <w:t xml:space="preserve">‘; and it recommends Approach 2</w:t>
      </w:r>
      <w:r>
        <w:t xml:space="preserve"> </w:t>
      </w:r>
      <w:r>
        <w:rPr>
          <w:rStyle w:val="VerbatimChar"/>
        </w:rPr>
        <w:t xml:space="preserve">where partial correlations are known to exist and are relevant''. It also gives the general rule, in the context of the time dimension:</w:t>
      </w:r>
      <w:r>
        <w:t xml:space="preserve">emission factors (and other estimation parameters) uncertainties will tend to be correlated between years while activity data will tend to be uncorrelated between years.’</w:t>
      </w:r>
      <w:r>
        <w:t xml:space="preserve">’</w:t>
      </w:r>
    </w:p>
    <w:p>
      <w:pPr>
        <w:pStyle w:val="BodyText"/>
      </w:pPr>
      <w:r>
        <w:t xml:space="preserve"> </w:t>
      </w:r>
      <w:r>
        <w:t xml:space="preserve">Groups carrying an identical estimate for a coefficient share a single draw; activity data stays independent. Formally, for each coefficient the groups are partitioned by their (mean, lower bound, upper bound, distribution) tuple; every group within a partition receives the same per-iteration draw, and separate partitions are drawn independently. Population</w:t>
      </w:r>
      <w:r>
        <w:t xml:space="preserve"> </w:t>
      </w:r>
      <m:oMath>
        <m:r>
          <m:t>N</m:t>
        </m:r>
      </m:oMath>
      <w:r>
        <w:t xml:space="preserve"> </w:t>
      </w:r>
      <w:r>
        <w:t xml:space="preserve">is never shared.</w:t>
      </w:r>
    </w:p>
    <w:p>
      <w:pPr>
        <w:pStyle w:val="BodyText"/>
      </w:pPr>
      <w:r>
        <w:t xml:space="preserve">Three properties follow:</w:t>
      </w:r>
    </w:p>
    <w:p>
      <w:pPr>
        <w:pStyle w:val="BodyText"/>
      </w:pPr>
      <w:r>
        <w:t xml:space="preserve">Partitioning on the full tuple also guarantees that the marginal distributions within a partition are identical, which is the precondition for sharing sampled values directly rather than sharing ranks.</w:t>
      </w:r>
    </w:p>
    <w:p>
      <w:pPr>
        <w:pStyle w:val="BodyText"/>
      </w:pPr>
      <w:r>
        <w:t xml:space="preserve"> </w:t>
      </w:r>
      <w:r>
        <w:t xml:space="preserve">Because IPCC states that full correlation should be equivalent to aggregation, the implementation has a hard acceptance property: splitting an inventory into more groups must not change the reported uncertainty. With sharing enabled the table above becomes approximately flat (25.1% on one group, 22.7% on 251). The residual decline is the genuinely independent activity-data component averaging out, and is quantitatively consistent with the 10% uncertainty placed on</w:t>
      </w:r>
      <w:r>
        <w:t xml:space="preserve"> </w:t>
      </w:r>
      <m:oMath>
        <m:r>
          <m:t>N</m:t>
        </m:r>
      </m:oMath>
      <w:r>
        <w:t xml:space="preserve"> </w:t>
      </w:r>
      <w:r>
        <w:t xml:space="preserve">in that test:</w:t>
      </w:r>
      <w:r>
        <w:t xml:space="preserve"> </w:t>
      </w:r>
      <m:oMath>
        <m:rad>
          <m:radPr>
            <m:degHide m:val="on"/>
          </m:radPr>
          <m:deg/>
          <m:e>
            <m:sSup>
              <m:e>
                <m:r>
                  <m:t>25.1</m:t>
                </m:r>
              </m:e>
              <m:sup>
                <m:r>
                  <m:t>2</m:t>
                </m:r>
              </m:sup>
            </m:sSup>
            <m:r>
              <m:rPr>
                <m:sty m:val="p"/>
              </m:rPr>
              <m:t>−</m:t>
            </m:r>
            <m:sSup>
              <m:e>
                <m:r>
                  <m:t>22.7</m:t>
                </m:r>
              </m:e>
              <m:sup>
                <m:r>
                  <m:t>2</m:t>
                </m:r>
              </m:sup>
            </m:sSup>
          </m:e>
        </m:rad>
        <m:r>
          <m:rPr>
            <m:sty m:val="p"/>
          </m:rPr>
          <m:t>≈</m:t>
        </m:r>
        <m:r>
          <m:t>10.7</m:t>
        </m:r>
        <m:r>
          <m:rPr>
            <m:sty m:val="p"/>
          </m:rPr>
          <m:t>%</m:t>
        </m:r>
      </m:oMath>
      <w:r>
        <w:t xml:space="preserve">.</w:t>
      </w:r>
    </w:p>
    <w:p>
      <w:pPr>
        <w:pStyle w:val="BodyText"/>
      </w:pPr>
      <w:r>
        <w:t xml:space="preserve"> </w:t>
      </w:r>
      <w:r>
        <w:t xml:space="preserve">Only full sharing is implemented. Partial sharing (</w:t>
      </w:r>
      <m:oMath>
        <m:r>
          <m:t>0</m:t>
        </m:r>
        <m:r>
          <m:rPr>
            <m:sty m:val="p"/>
          </m:rPr>
          <m:t>&lt;</m:t>
        </m:r>
        <m:r>
          <m:t>ρ</m:t>
        </m:r>
        <m:r>
          <m:rPr>
            <m:sty m:val="p"/>
          </m:rPr>
          <m:t>&lt;</m:t>
        </m:r>
        <m:r>
          <m:t>1</m:t>
        </m:r>
      </m:oMath>
      <w:r>
        <w:t xml:space="preserve">), appropriate where a shared systematic component coexists with independent per-group sampling error, is not offered: it requires an</w:t>
      </w:r>
      <w:r>
        <w:t xml:space="preserve"> </w:t>
      </w:r>
      <m:oMath>
        <m:sSub>
          <m:e>
            <m:r>
              <m:t>n</m:t>
            </m:r>
          </m:e>
          <m:sub>
            <m:r>
              <m:rPr>
                <m:nor/>
                <m:sty m:val="p"/>
              </m:rPr>
              <m:t>iter</m:t>
            </m:r>
          </m:sub>
        </m:sSub>
        <m:r>
          <m:rPr>
            <m:sty m:val="p"/>
          </m:rPr>
          <m:t>×</m:t>
        </m:r>
        <m:sSub>
          <m:e>
            <m:r>
              <m:t>n</m:t>
            </m:r>
          </m:e>
          <m:sub>
            <m:r>
              <m:rPr>
                <m:nor/>
                <m:sty m:val="p"/>
              </m:rPr>
              <m:t>groups</m:t>
            </m:r>
          </m:sub>
        </m:sSub>
      </m:oMath>
      <w:r>
        <w:t xml:space="preserve"> </w:t>
      </w:r>
      <w:r>
        <w:t xml:space="preserve">matrix per parameter held simultaneously, which is not feasible within the hosting memory budget at the group counts where the issue matters most. IPCC positions partial correlation as a refinement to apply ``where known to exist and relevant’’.</w:t>
      </w:r>
    </w:p>
    <w:bookmarkEnd w:id="56"/>
    <w:bookmarkStart w:id="57"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The population</w:t>
      </w:r>
      <w:r>
        <w:t xml:space="preserve"> </w:t>
      </w:r>
      <m:oMath>
        <m:r>
          <m:t>N</m:t>
        </m:r>
      </m:oMath>
      <w:r>
        <w:t xml:space="preserve"> </w:t>
      </w:r>
      <w:r>
        <w:t xml:space="preserve">is re-sampled fresh each year regardless of this setting; every other per-head parameter,</w:t>
      </w:r>
      <w:r>
        <w:t xml:space="preserve"> </w:t>
      </w:r>
      <m:oMath>
        <m:r>
          <m:t>B</m:t>
        </m:r>
        <m:r>
          <m:t>W</m:t>
        </m:r>
      </m:oMath>
      <w:r>
        <w:t xml:space="preserve">,</w:t>
      </w:r>
      <w:r>
        <w:t xml:space="preserve"> </w:t>
      </w:r>
      <m:oMath>
        <m:r>
          <m:t>W</m:t>
        </m:r>
        <m:r>
          <m:t>G</m:t>
        </m:r>
      </m:oMath>
      <w:r>
        <w:t xml:space="preserve"> </w:t>
      </w:r>
      <w:r>
        <w:t xml:space="preserve">and Milk included, is a coefficient and follows the choice below:</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7"/>
    <w:bookmarkEnd w:id="58"/>
    <w:bookmarkStart w:id="59"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9"/>
    <w:bookmarkStart w:id="65" w:name="verification-of-calculation-accuracy"/>
    <w:p>
      <w:pPr>
        <w:pStyle w:val="Heading1"/>
      </w:pPr>
      <w:r>
        <w:t xml:space="preserve">Verification of Calculation Accuracy</w:t>
      </w:r>
    </w:p>
    <w:p>
      <w:pPr>
        <w:pStyle w:val="FirstParagraph"/>
      </w:pPr>
      <w:r>
        <w:t xml:space="preserve">The previous section describes the checks the tool applies to the user’s</w:t>
      </w:r>
      <w:r>
        <w:t xml:space="preserve"> </w:t>
      </w:r>
      <w:r>
        <w:t xml:space="preserve">. This section describes how the tool’s</w:t>
      </w:r>
      <w:r>
        <w:t xml:space="preserve"> </w:t>
      </w:r>
      <w:r>
        <w:t xml:space="preserve">: the implementation of the IPCC equation chain and the Monte Carlo sampler, has itself been verified to produce correct numbers. Input validation and calculation verification are complementary: the former guards against bad data going in, the latter guarantees the equations are implemented correctly.</w:t>
      </w:r>
    </w:p>
    <w:bookmarkStart w:id="60" w:name="X4783eb254dc3b2061d58bfe305eaa5ea4dc7341"/>
    <w:p>
      <w:pPr>
        <w:pStyle w:val="Heading2"/>
      </w:pPr>
      <w:r>
        <w:t xml:space="preserve">Equation-chain verification against manual calculation</w:t>
      </w:r>
    </w:p>
    <w:p>
      <w:pPr>
        <w:pStyle w:val="FirstParagraph"/>
      </w:pPr>
      <w:r>
        <w:t xml:space="preserve">The core of the verification is a fixed, fully worked test case. For a single representative animal with a complete set of fixed parameters, every intermediate quantity in the IPCC Tier 2 chain was computed independently by hand and in a spreadsheet, directly from the published equations: the net-energy terms (</w:t>
      </w:r>
      <m:oMath>
        <m:r>
          <m:t>N</m:t>
        </m:r>
        <m:sSub>
          <m:e>
            <m:r>
              <m:t>E</m:t>
            </m:r>
          </m:e>
          <m:sub>
            <m:r>
              <m:t>m</m:t>
            </m:r>
          </m:sub>
        </m:sSub>
      </m:oMath>
      <w:r>
        <w:t xml:space="preserve">,</w:t>
      </w:r>
      <w:r>
        <w:t xml:space="preserve"> </w:t>
      </w:r>
      <m:oMath>
        <m:r>
          <m:t>N</m:t>
        </m:r>
        <m:sSub>
          <m:e>
            <m:r>
              <m:t>E</m:t>
            </m:r>
          </m:e>
          <m:sub>
            <m:r>
              <m:t>a</m:t>
            </m:r>
          </m:sub>
        </m:sSub>
      </m:oMath>
      <w:r>
        <w:t xml:space="preserve">,</w:t>
      </w:r>
      <w:r>
        <w:t xml:space="preserve"> </w:t>
      </w:r>
      <m:oMath>
        <m:r>
          <m:t>N</m:t>
        </m:r>
        <m:sSub>
          <m:e>
            <m:r>
              <m:t>E</m:t>
            </m:r>
          </m:e>
          <m:sub>
            <m:r>
              <m:t>g</m:t>
            </m:r>
          </m:sub>
        </m:sSub>
      </m:oMath>
      <w:r>
        <w:t xml:space="preserve">,</w:t>
      </w:r>
      <w:r>
        <w:t xml:space="preserve"> </w:t>
      </w:r>
      <m:oMath>
        <m:r>
          <m:t>N</m:t>
        </m:r>
        <m:sSub>
          <m:e>
            <m:r>
              <m:t>E</m:t>
            </m:r>
          </m:e>
          <m:sub>
            <m:r>
              <m:t>l</m:t>
            </m:r>
          </m:sub>
        </m:sSub>
      </m:oMath>
      <w:r>
        <w:t xml:space="preserve">,</w:t>
      </w:r>
      <w:r>
        <w:t xml:space="preserve"> </w:t>
      </w:r>
      <m:oMath>
        <m:r>
          <m:t>N</m:t>
        </m:r>
        <m:sSub>
          <m:e>
            <m:r>
              <m:t>E</m:t>
            </m:r>
          </m:e>
          <m:sub>
            <m:r>
              <m:t>w</m:t>
            </m:r>
          </m:sub>
        </m:sSub>
      </m:oMath>
      <w:r>
        <w:t xml:space="preserve">,</w:t>
      </w:r>
      <w:r>
        <w:t xml:space="preserve"> </w:t>
      </w:r>
      <m:oMath>
        <m:r>
          <m:t>N</m:t>
        </m:r>
        <m:sSub>
          <m:e>
            <m:r>
              <m:t>E</m:t>
            </m:r>
          </m:e>
          <m:sub>
            <m:r>
              <m:t>p</m:t>
            </m:r>
          </m:sub>
        </m:sSub>
      </m:oMath>
      <w:r>
        <w:t xml:space="preserve">), the energy ratios (</w:t>
      </w:r>
      <m:oMath>
        <m:r>
          <m:t>R</m:t>
        </m:r>
        <m:r>
          <m:t>E</m:t>
        </m:r>
        <m:r>
          <m:t>M</m:t>
        </m:r>
      </m:oMath>
      <w:r>
        <w:t xml:space="preserve">,</w:t>
      </w:r>
      <w:r>
        <w:t xml:space="preserve"> </w:t>
      </w:r>
      <m:oMath>
        <m:r>
          <m:t>R</m:t>
        </m:r>
        <m:r>
          <m:t>E</m:t>
        </m:r>
        <m:r>
          <m:t>G</m:t>
        </m:r>
      </m:oMath>
      <w:r>
        <w:t xml:space="preserve">), gross energy intake (</w:t>
      </w:r>
      <m:oMath>
        <m:r>
          <m:t>G</m:t>
        </m:r>
        <m:r>
          <m:t>E</m:t>
        </m:r>
      </m:oMath>
      <w:r>
        <w:t xml:space="preserve">), the enteric emission factor (</w:t>
      </w:r>
      <m:oMath>
        <m:r>
          <m:t>E</m:t>
        </m:r>
        <m:sSub>
          <m:e>
            <m:r>
              <m:t>F</m:t>
            </m:r>
          </m:e>
          <m:sub>
            <m:r>
              <m:t>1</m:t>
            </m:r>
          </m:sub>
        </m:sSub>
      </m:oMath>
      <w:r>
        <w:t xml:space="preserve">), volatile-solid excretion (</w:t>
      </w:r>
      <m:oMath>
        <m:r>
          <m:t>V</m:t>
        </m:r>
        <m:r>
          <m:t>S</m:t>
        </m:r>
      </m:oMath>
      <w:r>
        <w:t xml:space="preserve">), nitrogen excretion (</w:t>
      </w:r>
      <m:oMath>
        <m:sSub>
          <m:e>
            <m:r>
              <m:t>N</m:t>
            </m:r>
          </m:e>
          <m:sub>
            <m:r>
              <m:rPr>
                <m:nor/>
                <m:sty m:val="p"/>
              </m:rPr>
              <m:t>ex</m:t>
            </m:r>
          </m:sub>
        </m:sSub>
      </m:oMath>
      <w:r>
        <w:t xml:space="preserve">), and all four manure- and pasture-N</w:t>
      </w:r>
      <m:oMath>
        <m:sSub>
          <m:e>
            <m:r>
              <m:t>​</m:t>
            </m:r>
          </m:e>
          <m:sub>
            <m:r>
              <m:t>2</m:t>
            </m:r>
          </m:sub>
        </m:sSub>
      </m:oMath>
      <w:r>
        <w:t xml:space="preserve">O pathways, through to the inventory totals (total CH</w:t>
      </w:r>
      <m:oMath>
        <m:sSub>
          <m:e>
            <m:r>
              <m:t>​</m:t>
            </m:r>
          </m:e>
          <m:sub>
            <m:r>
              <m:t>4</m:t>
            </m:r>
          </m:sub>
        </m:sSub>
      </m:oMath>
      <w:r>
        <w:t xml:space="preserve">, total N</w:t>
      </w:r>
      <m:oMath>
        <m:sSub>
          <m:e>
            <m:r>
              <m:t>​</m:t>
            </m:r>
          </m:e>
          <m:sub>
            <m:r>
              <m:t>2</m:t>
            </m:r>
          </m:sub>
        </m:sSub>
      </m:oMath>
      <w:r>
        <w:t xml:space="preserve">O, and total CO</w:t>
      </w:r>
      <m:oMath>
        <m:sSub>
          <m:e>
            <m:r>
              <m:t>​</m:t>
            </m:r>
          </m:e>
          <m:sub>
            <m:r>
              <m:t>2</m:t>
            </m:r>
          </m:sub>
        </m:sSub>
      </m:oMath>
      <w:r>
        <w:t xml:space="preserve">eq under each GWP basis).</w:t>
      </w:r>
    </w:p>
    <w:p>
      <w:pPr>
        <w:pStyle w:val="BodyText"/>
      </w:pPr>
      <w:r>
        <w:t xml:space="preserve">The tool’s computed value for each of these quantities must match the independently calculated reference to a relative tolerance of</w:t>
      </w:r>
      <w:r>
        <w:t xml:space="preserve"> </w:t>
      </w:r>
      <m:oMath>
        <m:r>
          <m:t>1</m:t>
        </m:r>
        <m:r>
          <m:rPr>
            <m:sty m:val="p"/>
          </m:rPr>
          <m:t>×</m:t>
        </m:r>
        <m:sSup>
          <m:e>
            <m:r>
              <m:t>10</m:t>
            </m:r>
          </m:e>
          <m:sup>
            <m:r>
              <m:rPr>
                <m:sty m:val="p"/>
              </m:rPr>
              <m:t>−</m:t>
            </m:r>
            <m:r>
              <m:t>4</m:t>
            </m:r>
          </m:sup>
        </m:sSup>
      </m:oMath>
      <w:r>
        <w:t xml:space="preserve">. These comparisons are encoded as automated assertions that run on every build, so any future change to the calculation code that altered a result: even slightly, would be caught immediately. This is the primary guarantee that the equations in Section</w:t>
      </w:r>
      <w:r>
        <w:t xml:space="preserve"> </w:t>
      </w:r>
      <w:r>
        <w:t xml:space="preserve">“IPCC Tier 2 Emission Equations”</w:t>
      </w:r>
      <w:r>
        <w:t xml:space="preserve"> </w:t>
      </w:r>
      <w:r>
        <w:t xml:space="preserve">are implemented exactly as written.</w:t>
      </w:r>
    </w:p>
    <w:bookmarkEnd w:id="60"/>
    <w:bookmarkStart w:id="61" w:name="X3af40e86e6c3533a97769c998397f52a172e7fb"/>
    <w:p>
      <w:pPr>
        <w:pStyle w:val="Heading2"/>
      </w:pPr>
      <w:r>
        <w:t xml:space="preserve">Cross-comparison with an independent Monte Carlo package</w:t>
      </w:r>
    </w:p>
    <w:p>
      <w:pPr>
        <w:pStyle w:val="FirstParagraph"/>
      </w:pPr>
      <w:r>
        <w:t xml:space="preserve">Beyond the single worked case, the tool has been exercised on real Tier 2 national cattle inventories and its results compared against two independent references: (i) manual re-calculation of the per-head emission factors and inventory totals, and (ii) an independent commercial Monte Carlo package configured with the same parameters, distributions and iteration count.</w:t>
      </w:r>
    </w:p>
    <w:p>
      <w:pPr>
        <w:pStyle w:val="BodyText"/>
      </w:pPr>
      <w:r>
        <w:t xml:space="preserve">On these real inventories the tool reproduced the deterministic emission totals from the manual calculation, and produced a 95% uncertainty interval consistent with the independent Monte Carlo package to within the sampling variability expected between two stochastic runs.</w:t>
      </w:r>
      <w:r>
        <w:t xml:space="preserve"> </w:t>
      </w:r>
      <w:r>
        <w:t xml:space="preserve">%% OPTIONAL: if you wish to quote a specific figure, insert it here, e.g.</w:t>
      </w:r>
      <w:r>
        <w:t xml:space="preserve"> </w:t>
      </w:r>
      <w:r>
        <w:t xml:space="preserve">%%</w:t>
      </w:r>
      <w:r>
        <w:t xml:space="preserve"> </w:t>
      </w:r>
      <w:r>
        <w:t xml:space="preserve">“(agreement within X% on the 95% margin of error for the manure-N2O pathway)”</w:t>
      </w:r>
      <w:r>
        <w:t xml:space="preserve">.</w:t>
      </w:r>
      <w:r>
        <w:t xml:space="preserve"> </w:t>
      </w:r>
      <w:r>
        <w:t xml:space="preserve">A regression guard retained in the automated test suite keeps the manure-N</w:t>
      </w:r>
      <m:oMath>
        <m:sSub>
          <m:e>
            <m:r>
              <m:t>​</m:t>
            </m:r>
          </m:e>
          <m:sub>
            <m:r>
              <m:t>2</m:t>
            </m:r>
          </m:sub>
        </m:sSub>
      </m:oMath>
      <w:r>
        <w:t xml:space="preserve">O pathway within the range established by this cross-comparison, so a future code change cannot silently introduce a large (e.g. order-of-magnitude) error in that pathway.</w:t>
      </w:r>
    </w:p>
    <w:bookmarkEnd w:id="61"/>
    <w:bookmarkStart w:id="62" w:name="automated-regression-test-suite"/>
    <w:p>
      <w:pPr>
        <w:pStyle w:val="Heading2"/>
      </w:pPr>
      <w:r>
        <w:t xml:space="preserve">Automated regression test suite</w:t>
      </w:r>
    </w:p>
    <w:p>
      <w:pPr>
        <w:pStyle w:val="FirstParagraph"/>
      </w:pPr>
      <w:r>
        <w:t xml:space="preserve">The two verification activities above are part of a broader automated test suite (91 checks at the time of writing) that is run before each release and deployment. The checks are organised into seven groups:</w:t>
      </w:r>
    </w:p>
    <w:p>
      <w:pPr>
        <w:pStyle w:val="BodyText"/>
      </w:pPr>
      <w:r>
        <w:t xml:space="preserve">The full multi-sub-category inventory chain must pass all checks before the tool is published.</w:t>
      </w:r>
    </w:p>
    <w:bookmarkEnd w:id="62"/>
    <w:bookmarkStart w:id="63" w:name="X076c15e95af57cebd5bcd2a03dee00b5ab0420b"/>
    <w:p>
      <w:pPr>
        <w:pStyle w:val="Heading2"/>
      </w:pPr>
      <w:r>
        <w:t xml:space="preserve">Verification of IPCC default values and uncertainty ranges</w:t>
      </w:r>
    </w:p>
    <w:p>
      <w:pPr>
        <w:pStyle w:val="FirstParagraph"/>
      </w:pPr>
      <w:r>
        <w:t xml:space="preserve">Every IPCC default value and uncertainty range pre-loaded in the tool: the energy-equation coefficients, the methane conversion factor</w:t>
      </w:r>
      <w:r>
        <w:t xml:space="preserve"> </w:t>
      </w:r>
      <m:oMath>
        <m:sSub>
          <m:e>
            <m:r>
              <m:t>Y</m:t>
            </m:r>
          </m:e>
          <m:sub>
            <m:r>
              <m:t>m</m:t>
            </m:r>
          </m:sub>
        </m:sSub>
      </m:oMath>
      <w:r>
        <w:t xml:space="preserve">, the maximum methane producing capacity</w:t>
      </w:r>
      <w:r>
        <w:t xml:space="preserve"> </w:t>
      </w:r>
      <m:oMath>
        <m:sSub>
          <m:e>
            <m:r>
              <m:t>B</m:t>
            </m:r>
          </m:e>
          <m:sub>
            <m:r>
              <m:t>o</m:t>
            </m:r>
          </m:sub>
        </m:sSub>
      </m:oMath>
      <w:r>
        <w:t xml:space="preserve">, the manure-system MCF values, and the N</w:t>
      </w:r>
      <m:oMath>
        <m:sSub>
          <m:e>
            <m:r>
              <m:t>​</m:t>
            </m:r>
          </m:e>
          <m:sub>
            <m:r>
              <m:t>2</m:t>
            </m:r>
          </m:sub>
        </m:sSub>
      </m:oMath>
      <w:r>
        <w:t xml:space="preserve">O emission factors and volatilisation / leaching fractions (</w:t>
      </w:r>
      <m:oMath>
        <m:r>
          <m:t>E</m:t>
        </m:r>
        <m:sSub>
          <m:e>
            <m:r>
              <m:t>F</m:t>
            </m:r>
          </m:e>
          <m:sub>
            <m:r>
              <m:t>3</m:t>
            </m:r>
          </m:sub>
        </m:sSub>
      </m:oMath>
      <w:r>
        <w:t xml:space="preserve">,</w:t>
      </w:r>
      <w:r>
        <w:t xml:space="preserve"> </w:t>
      </w:r>
      <m:oMath>
        <m:r>
          <m:t>E</m:t>
        </m:r>
        <m:sSub>
          <m:e>
            <m:r>
              <m:t>F</m:t>
            </m:r>
          </m:e>
          <m:sub>
            <m:r>
              <m:t>4</m:t>
            </m:r>
          </m:sub>
        </m:sSub>
      </m:oMath>
      <w:r>
        <w:t xml:space="preserve">,</w:t>
      </w:r>
      <w:r>
        <w:t xml:space="preserve"> </w:t>
      </w:r>
      <m:oMath>
        <m:r>
          <m:t>E</m:t>
        </m:r>
        <m:sSub>
          <m:e>
            <m:r>
              <m:t>F</m:t>
            </m:r>
          </m:e>
          <m:sub>
            <m:r>
              <m:t>5</m:t>
            </m:r>
          </m:sub>
        </m:sSub>
      </m:oMath>
      <w:r>
        <w:t xml:space="preserve">, FracGASM, FracLEACH), has been checked line-by-line against the IPCC 2019 Refinement source text (Volume 4, Chapter 10 and Chapter 11). This review confirmed the central values and corrected two pre-loaded uncertainty ranges (</w:t>
      </w:r>
      <m:oMath>
        <m:sSub>
          <m:e>
            <m:r>
              <m:t>B</m:t>
            </m:r>
          </m:e>
          <m:sub>
            <m:r>
              <m:t>o</m:t>
            </m:r>
          </m:sub>
        </m:sSub>
      </m:oMath>
      <w:r>
        <w:t xml:space="preserve"> </w:t>
      </w:r>
      <w:r>
        <w:t xml:space="preserve">and the pasture direct-N</w:t>
      </w:r>
      <m:oMath>
        <m:sSub>
          <m:e>
            <m:r>
              <m:t>​</m:t>
            </m:r>
          </m:e>
          <m:sub>
            <m:r>
              <m:t>2</m:t>
            </m:r>
          </m:sub>
        </m:sSub>
      </m:oMath>
      <w:r>
        <w:t xml:space="preserve">O factor</w:t>
      </w:r>
      <w:r>
        <w:t xml:space="preserve"> </w:t>
      </w:r>
      <m:oMath>
        <m:r>
          <m:t>E</m:t>
        </m:r>
        <m:sSub>
          <m:e>
            <m:r>
              <m:t>F</m:t>
            </m:r>
          </m:e>
          <m:sub>
            <m:r>
              <m:t>3</m:t>
            </m:r>
            <m:r>
              <m:rPr>
                <m:sty m:val="p"/>
              </m:rPr>
              <m:t>,</m:t>
            </m:r>
            <m:r>
              <m:rPr>
                <m:nor/>
                <m:sty m:val="p"/>
              </m:rPr>
              <m:t>PRP</m:t>
            </m:r>
          </m:sub>
        </m:sSub>
      </m:oMath>
      <w:r>
        <w:t xml:space="preserve">) to match the climate-specific ranges in Tables 10.16a and 11.1.</w:t>
      </w:r>
    </w:p>
    <w:bookmarkEnd w:id="63"/>
    <w:bookmarkStart w:id="64" w:name="reproducibility"/>
    <w:p>
      <w:pPr>
        <w:pStyle w:val="Heading2"/>
      </w:pPr>
      <w:r>
        <w:t xml:space="preserve">Reproducibility</w:t>
      </w:r>
    </w:p>
    <w:p>
      <w:pPr>
        <w:pStyle w:val="FirstParagraph"/>
      </w:pPr>
      <w:r>
        <w:t xml:space="preserve">Each simulation is driven by an explicit random seed, so any run can be reproduced exactly by re-supplying the same inputs and seed. The convergence guidance in Section</w:t>
      </w:r>
      <w:r>
        <w:t xml:space="preserve"> </w:t>
      </w:r>
      <w:r>
        <w:t xml:space="preserve">“Recommended Iteration Count and Convergence”</w:t>
      </w:r>
      <w:r>
        <w:t xml:space="preserve">: re-running with a second seed and checking that the 95% margin of error is stable, lets a user confirm that a reported result is converged rather than an artefact of a particular random draw.</w:t>
      </w:r>
    </w:p>
    <w:p>
      <w:r>
        <w:br w:type="page"/>
      </w:r>
    </w:p>
    <w:bookmarkEnd w:id="64"/>
    <w:bookmarkEnd w:id="65"/>
    <w:bookmarkStart w:id="69"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66"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3"/>
        </w:numPr>
      </w:pPr>
      <w:r>
        <w:t xml:space="preserve">Activity-data (population) uncertainty (Column E);</w:t>
      </w:r>
    </w:p>
    <w:p>
      <w:pPr>
        <w:pStyle w:val="Compact"/>
        <w:numPr>
          <w:ilvl w:val="0"/>
          <w:numId w:val="1013"/>
        </w:numPr>
      </w:pPr>
      <w:r>
        <w:t xml:space="preserve">Emission-factor uncertainty (Column F);</w:t>
      </w:r>
    </w:p>
    <w:p>
      <w:pPr>
        <w:pStyle w:val="Compact"/>
        <w:numPr>
          <w:ilvl w:val="0"/>
          <w:numId w:val="1013"/>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IPCC Vol.4 Ch.10: AD = the animal population (N), plus the manure management system allocation</w:t>
      </w:r>
      <w:r>
        <w:t xml:space="preserve"> </w:t>
      </w:r>
      <m:oMath>
        <m:r>
          <m:t>M</m:t>
        </m:r>
        <m:sSub>
          <m:e>
            <m:r>
              <m:t>S</m:t>
            </m:r>
          </m:e>
          <m:sub>
            <m:r>
              <m:t>s</m:t>
            </m:r>
          </m:sub>
        </m:sSub>
      </m:oMath>
      <w:r>
        <w:t xml:space="preserve"> </w:t>
      </w:r>
      <w:r>
        <w:t xml:space="preserve">for the manure sources; EF = the IPCC equation parameters that combine into the per-head emission factor (Cfi, Ca, Ym, Bo, MCF, EF3, EF4, EF5, Frac_GasMS, Frac_LeachMS, Frac_PRP, EF3_PRP, Frac_GasPRP, Frac_LeachPRP). See the implementation note in Section ``Uncertainty Decomposition’’ for the citations.</w:t>
      </w:r>
    </w:p>
    <w:bookmarkEnd w:id="66"/>
    <w:bookmarkStart w:id="67"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4"/>
        </w:numPr>
      </w:pPr>
    </w:p>
    <w:p>
      <w:pPr>
        <w:pStyle w:val="Compact"/>
        <w:numPr>
          <w:ilvl w:val="1"/>
          <w:numId w:val="1015"/>
        </w:numPr>
      </w:pPr>
      <w:r>
        <w:t xml:space="preserve">3.A.1.a Dairy cattle</w:t>
      </w:r>
    </w:p>
    <w:p>
      <w:pPr>
        <w:pStyle w:val="Compact"/>
        <w:numPr>
          <w:ilvl w:val="1"/>
          <w:numId w:val="1015"/>
        </w:numPr>
      </w:pPr>
      <w:r>
        <w:t xml:space="preserve">3.A.1.b Non-dairy cattle</w:t>
      </w:r>
    </w:p>
    <w:p>
      <w:pPr>
        <w:pStyle w:val="Compact"/>
        <w:numPr>
          <w:ilvl w:val="0"/>
          <w:numId w:val="1014"/>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6"/>
        </w:numPr>
      </w:pPr>
      <w:r>
        <w:t xml:space="preserve">3.B.1 Cattle (3.B.1.a Dairy, 3.B.1.b Non-dairy)</w:t>
      </w:r>
    </w:p>
    <w:p>
      <w:pPr>
        <w:pStyle w:val="Compact"/>
        <w:numPr>
          <w:ilvl w:val="0"/>
          <w:numId w:val="1014"/>
        </w:numPr>
      </w:pPr>
      <w:r>
        <w:t xml:space="preserve"> </w:t>
      </w:r>
      <w:r>
        <w:t xml:space="preserve">(direct and indirect N</w:t>
      </w:r>
      <m:oMath>
        <m:sSub>
          <m:e>
            <m:r>
              <m:t>​</m:t>
            </m:r>
          </m:e>
          <m:sub>
            <m:r>
              <m:t>2</m:t>
            </m:r>
          </m:sub>
        </m:sSub>
      </m:oMath>
      <w:r>
        <w:t xml:space="preserve">O)</w:t>
      </w:r>
    </w:p>
    <w:p>
      <w:pPr>
        <w:pStyle w:val="Compact"/>
        <w:numPr>
          <w:ilvl w:val="1"/>
          <w:numId w:val="1017"/>
        </w:numPr>
      </w:pPr>
      <w:r>
        <w:t xml:space="preserve">3.D.1.c Urine and dung deposited by grazing animals (direct N</w:t>
      </w:r>
      <m:oMath>
        <m:sSub>
          <m:e>
            <m:r>
              <m:t>​</m:t>
            </m:r>
          </m:e>
          <m:sub>
            <m:r>
              <m:t>2</m:t>
            </m:r>
          </m:sub>
        </m:sSub>
      </m:oMath>
      <w:r>
        <w:t xml:space="preserve">O)</w:t>
      </w:r>
    </w:p>
    <w:p>
      <w:pPr>
        <w:pStyle w:val="Compact"/>
        <w:numPr>
          <w:ilvl w:val="1"/>
          <w:numId w:val="1017"/>
        </w:numPr>
      </w:pPr>
      <w:r>
        <w:t xml:space="preserve">3.D.2.a Atmospheric deposition (multiple sources, including dung and urine deposited on pasture)</w:t>
      </w:r>
    </w:p>
    <w:p>
      <w:pPr>
        <w:pStyle w:val="Compact"/>
        <w:numPr>
          <w:ilvl w:val="1"/>
          <w:numId w:val="1017"/>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67"/>
    <w:bookmarkStart w:id="68"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8"/>
        </w:numPr>
      </w:pP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8"/>
        </w:numPr>
      </w:pP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8"/>
        </w:numPr>
      </w:pP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68"/>
    <w:bookmarkEnd w:id="69"/>
    <w:bookmarkStart w:id="70"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provides</w:t>
      </w:r>
      <w:r>
        <w:t xml:space="preserve"> </w:t>
      </w:r>
      <w:r>
        <w:t xml:space="preserve"> </w:t>
      </w:r>
      <w:r>
        <w:t xml:space="preserve">for the Iman–Conover restricted-pairing reordering used to reproduce the target rank correlation matrix per IPCC Vol.1 Ch.3 §3.2.3.2, and</w:t>
      </w:r>
      <w:r>
        <w:t xml:space="preserve"> </w:t>
      </w:r>
      <w:r>
        <w:t xml:space="preserve"> </w:t>
      </w:r>
      <w:r>
        <w:t xml:space="preserve">/</w:t>
      </w:r>
      <w:r>
        <w:t xml:space="preserve"> </w:t>
      </w:r>
      <w:r>
        <w:t xml:space="preserve"> </w:t>
      </w:r>
      <w:r>
        <w:t xml:space="preserve">for the triangular and PERT marginals.)</w:t>
      </w:r>
    </w:p>
    <w:p>
      <w:pPr>
        <w:pStyle w:val="BodyText"/>
      </w:pPr>
      <w:r>
        <w:t xml:space="preserve">Bates, D., and Maechler, M. (2024).</w:t>
      </w:r>
      <w:r>
        <w:t xml:space="preserve"> </w:t>
      </w:r>
      <w:r>
        <w:t xml:space="preserve">: Sparse and Dense Matrix Classes and Methods. R package.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r>
        <w:pict>
          <v:rect style="width:0;height:1.5pt" o:hralign="center" o:hrstd="t" o:hr="t"/>
        </w:pic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76DEB228-EBC2-447A-979B-F1FF6F02A573}"/>
</file>

<file path=customXml/itemProps2.xml><?xml version="1.0" encoding="utf-8"?>
<ds:datastoreItem xmlns:ds="http://schemas.openxmlformats.org/officeDocument/2006/customXml" ds:itemID="{7B3773D4-B654-49C2-AE6D-A697291190C5}"/>
</file>

<file path=customXml/itemProps3.xml><?xml version="1.0" encoding="utf-8"?>
<ds:datastoreItem xmlns:ds="http://schemas.openxmlformats.org/officeDocument/2006/customXml" ds:itemID="{D4F52B6A-25EA-4EC8-85CD-3E60967ADD2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2026-09-30T09:26:30Z</dcterms:created>
  <dcterms:modified xsi:type="dcterms:W3CDTF">2026-09-30T09:26:30Z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MediaServiceImageTags">
    <vt:lpwstr/>
  </property>
  <property fmtid="{D5CDD505-2E9C-101B-9397-08002B2CF9AE}" pid="9" name="ContentTypeId">
    <vt:lpwstr>0x0101006AAA32E7549EE6449AC68337FF671C5A</vt:lpwstr>
  </property>
</Properties>
</file>