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pPr>
        <w:pStyle w:val="FirstParagraph"/>
      </w:pPr>
      <w:r>
        <w:t xml:space="preserve">The Monte Carlo simulations can be run for enteric fermentation alone, or for enteric fermentation together with one or more (or all) of the other emission sources listed above. If you are interested to only run simulations for manure-related emission sources, you should supply country-specific Tier 2 input parameters for enteric fermentation. If these are not supplied, the tool will auto-fill these inputs using IPCC default parameters and uncertainty ranges, which may not reflect the assumptions in your inventory.</w:t>
      </w:r>
    </w:p>
    <w:p>
      <w:r>
        <w:br w:type="page"/>
      </w:r>
    </w:p>
    <w:bookmarkEnd w:id="11"/>
    <w:bookmarkEnd w:id="12"/>
    <w:bookmarkStart w:id="22"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Herd and feed inputs</w:t>
      </w:r>
      <w:r>
        <w:t xml:space="preserve">: For each animal sub-category, the population (N), body weight (BW), weight gain (WG), milk yield (for cows), milk fat %, digestible energy (DE%), manure management system (MMS) fractions, and other Tier 2 inputs. Note that in IPCC’s terms only two of these are activity data, the population and the MMS fractions; the rest are coefficients that combine into the emission factor. The distinction matters only for the AD/EF decomposition, described later in this guide.</w:t>
      </w:r>
    </w:p>
    <w:p>
      <w:pPr>
        <w:numPr>
          <w:ilvl w:val="0"/>
          <w:numId w:val="1003"/>
        </w:numPr>
      </w:pPr>
      <w:r>
        <w:rPr>
          <w:b/>
          <w:bCs/>
        </w:rPr>
        <w:t xml:space="preserve">Uncertainty ranges</w:t>
      </w:r>
      <w:r>
        <w:t xml:space="preserve">: For each parameter, an estimate of its uncertainty,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management CH</w:t>
      </w:r>
      <w:r>
        <w:t xml:space="preserve"> </w:t>
      </w:r>
      <w:r>
        <w:t xml:space="preserve">or N</w:t>
      </w:r>
      <w:r>
        <w:t xml:space="preserve">O): The percentage of manure allocated to each management system (e.g. pasture, solid storage, liquid, etc.). If you are uncertain about the allocation itself, the tool uses a data uploading template in which the Manure_Management tab has optional</w:t>
      </w:r>
      <w:r>
        <w:t xml:space="preserve"> </w:t>
      </w:r>
      <w:r>
        <w:t xml:space="preserve"> </w:t>
      </w:r>
      <w:r>
        <w:t xml:space="preserve">/</w:t>
      </w:r>
      <w:r>
        <w:t xml:space="preserve"> </w:t>
      </w:r>
      <w:r>
        <w:t xml:space="preserve"> </w:t>
      </w:r>
      <w:r>
        <w:t xml:space="preserve">/</w:t>
      </w:r>
      <w:r>
        <w:t xml:space="preserve"> </w:t>
      </w:r>
      <w:r>
        <w:t xml:space="preserve"> </w:t>
      </w:r>
      <w:r>
        <w:t xml:space="preserve">columns,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numPr>
          <w:ilvl w:val="0"/>
          <w:numId w:val="1003"/>
        </w:numPr>
      </w:pPr>
      <w:r>
        <w:rPr>
          <w:b/>
          <w:bCs/>
        </w:rPr>
        <w:t xml:space="preserve">Emission factors and other coefficients</w:t>
      </w:r>
      <w:r>
        <w:t xml:space="preserve">: If your inventory uses country-specific emission factors (e.g. EF3, EF4, etc.) or country-specific values of other parameters (e.g. C, Ca, Cp, Frac_GasMS, etc.), prepare these parameter values and the associated uncertainty estimates. If your inventory uses the IPCC default values, the tool can auto-fill these default values.</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(i.e. enteric fermentation, manure management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fill them there, not in the Parameters tab.</w:t>
      </w:r>
    </w:p>
    <w:p>
      <w:pPr>
        <w:pStyle w:val="BodyText"/>
      </w:pPr>
      <w:r>
        <w:t xml:space="preserve">The tool uses a specific data upload template, described in the following sections. When you assemble your inputs to the tool, you may either input them directly into the template (which can be downloaded from the</w:t>
      </w:r>
      <w:r>
        <w:t xml:space="preserve"> </w:t>
      </w:r>
      <w:r>
        <w:rPr>
          <w:rStyle w:val="VerbatimChar"/>
        </w:rPr>
        <w:t xml:space="preserve">1. Data input' tab), or you can use AI-assisted data preparation (see Section 2.2 below) to convert the data from your format into the template's format. In either case, it is useful to familiarise yourself with the parameter definitions and units used by the tool (see the</w:t>
      </w:r>
      <w:r>
        <w:t xml:space="preserve">Definitions’ tab) so that your inputs are aligned with how the tool treats each parameter. For example, MMS fractions should be expressed as percentages (e.g. `5’ meaning 5%) rather than fractions (e.g. 0.05).</w:t>
      </w:r>
    </w:p>
    <w:bookmarkEnd w:id="13"/>
    <w:bookmarkStart w:id="14" w:name="ai-assisted-data-preparation"/>
    <w:p>
      <w:pPr>
        <w:pStyle w:val="Heading2"/>
      </w:pPr>
      <w:r>
        <w:t xml:space="preserve">AI-assisted data preparation</w:t>
      </w:r>
    </w:p>
    <w:p>
      <w:pPr>
        <w:pStyle w:val="FirstParagraph"/>
      </w:pPr>
      <w:r>
        <w:t xml:space="preserve">If your raw inventory data lives in your own Excel or CSV files with column names or other formatting that does not match the template, the tool offers an</w:t>
      </w:r>
      <w:r>
        <w:t xml:space="preserve"> </w:t>
      </w:r>
      <w:r>
        <w:t xml:space="preserve"> </w:t>
      </w:r>
      <w:r>
        <w:t xml:space="preserve">that does the column-mapping and unit-conversion work for you. It is a small chat panel on the `Resources’ tab; you upload your data and the AI walks you through a three-step process that produces a filled template you can download.</w:t>
      </w:r>
    </w:p>
    <w:p>
      <w:pPr>
        <w:pStyle w:val="BodyText"/>
      </w:pPr>
      <w:r>
        <w:t xml:space="preserve"> </w:t>
      </w:r>
      <w:r>
        <w:t xml:space="preserve">The translator works in three explicit passes: Explore, Clarify, Emit, instead of trying to do everything at once. This structure stops the AI from silently dropping rows or substituting catalogue defaults for values you supplied.</w:t>
      </w:r>
    </w:p>
    <w:p>
      <w:pPr>
        <w:pStyle w:val="BodyText"/>
      </w:pPr>
      <w:r>
        <w:t xml:space="preserve"> </w:t>
      </w:r>
      <w:r>
        <w:t xml:space="preserve">The translator is most useful when (a) your data is in a different format from the template (e.g. rows are parameters, columns are years),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any value the translator filled from an IPCC default is flagged in amber there.</w:t>
      </w:r>
    </w:p>
    <w:p>
      <w:pPr>
        <w:pStyle w:val="BodyText"/>
      </w:pPr>
      <w:r>
        <w:t xml:space="preserve"> </w:t>
      </w:r>
      <w:r>
        <w:t xml:space="preserve">The translator is hosted by the GMH project on a small AI account (no payment from you). The chat does not store your input data: only your email and a per-call token count are logged so the administrator can monitor monthly usage. A $10/month global spending cap prevents runaway use; if the cap is hit you will see a clear</w:t>
      </w:r>
      <w:r>
        <w:t xml:space="preserve"> </w:t>
      </w:r>
      <w:r>
        <w:t xml:space="preserve">“monthly cap reached, contact administrator”</w:t>
      </w:r>
      <w:r>
        <w:t xml:space="preserve"> </w:t>
      </w:r>
      <w:r>
        <w:t xml:space="preserve">message.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 When uploading your data, be sure to select 2006 IPCC Guidelines or 2019 Refinement so that the tool auto-fills and performs data quality checks according to the correct version of the guidelines.</w:t>
      </w:r>
    </w:p>
    <w:p>
      <w:pPr>
        <w:pStyle w:val="BodyText"/>
      </w:pP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On the</w:t>
      </w:r>
      <w:r>
        <w:t xml:space="preserve"> </w:t>
      </w:r>
      <w:r>
        <w:rPr>
          <w:b/>
          <w:bCs/>
        </w:rPr>
        <w:t xml:space="preserve">Data Input</w:t>
      </w:r>
      <w:r>
        <w:t xml:space="preserve"> </w:t>
      </w:r>
      <w:r>
        <w:t xml:space="preserve">tab, under</w:t>
      </w:r>
      <w:r>
        <w:t xml:space="preserve"> </w:t>
      </w:r>
      <w:r>
        <w:rPr>
          <w:rStyle w:val="VerbatimChar"/>
        </w:rPr>
        <w:t xml:space="preserve">Data source', select</w:t>
      </w:r>
      <w:r>
        <w:t xml:space="preserve">Custom Upload’, then select the IPCC Guidelines version, and download the template by clicking</w:t>
      </w:r>
      <w:r>
        <w:t xml:space="preserve"> </w:t>
      </w:r>
      <w:r>
        <w:t xml:space="preserve">“Download blank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where the inventory is for. Two cells deserve a note:</w:t>
      </w:r>
    </w:p>
    <w:p>
      <w:pPr>
        <w:pStyle w:val="Compact"/>
        <w:numPr>
          <w:ilvl w:val="0"/>
          <w:numId w:val="1005"/>
        </w:numPr>
      </w:pPr>
      <w:r>
        <w:t xml:space="preserve">: free text (e.g. </w:t>
      </w:r>
      <w:r>
        <w:t xml:space="preserve">). Used in the report header,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 (Hence, the AI translator may be particularly useful for users with large numbers of sub-categories.)</w:t>
      </w:r>
    </w:p>
    <w:bookmarkEnd w:id="17"/>
    <w:bookmarkStart w:id="18" w:name="defining-sub-categories"/>
    <w:p>
      <w:pPr>
        <w:pStyle w:val="Heading2"/>
      </w:pPr>
      <w:r>
        <w:t xml:space="preserve">Defining sub-categories</w:t>
      </w:r>
    </w:p>
    <w:p>
      <w:pPr>
        <w:pStyle w:val="FirstParagraph"/>
      </w:pPr>
      <w:r>
        <w:t xml:space="preserve">Sub-categories should match your national inventory. Examples of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each relevant parameter. The values of</w:t>
      </w:r>
      <w:r>
        <w:t xml:space="preserve"> </w:t>
      </w:r>
      <w:r>
        <w:t xml:space="preserve">,</w:t>
      </w:r>
      <w:r>
        <w:t xml:space="preserve"> </w:t>
      </w:r>
      <w:r>
        <w:t xml:space="preserve">, and</w:t>
      </w:r>
      <w:r>
        <w:t xml:space="preserve"> </w:t>
      </w:r>
      <w:r>
        <w:t xml:space="preserve"> </w:t>
      </w:r>
      <w:r>
        <w:t xml:space="preserve">together identify each group uniquely: they must be spelled consistently across all rows for the same group. (If manually entering data, consistency in spelling can be achieved by `dragging’ an already-filled cell across unfilled cells, rather than retyping words.)</w:t>
      </w:r>
    </w:p>
    <w:bookmarkEnd w:id="18"/>
    <w:bookmarkStart w:id="19" w:name="if-you-already-measured-feed-intake"/>
    <w:p>
      <w:pPr>
        <w:pStyle w:val="Heading2"/>
      </w:pPr>
      <w:r>
        <w:t xml:space="preserve">If you already measured feed intake</w:t>
      </w:r>
    </w:p>
    <w:p>
      <w:pPr>
        <w:pStyle w:val="FirstParagraph"/>
      </w:pPr>
      <w:r>
        <w:t xml:space="preserve">Most inventories let the tool work out how much each animal eats, from body weight, growth, milk yield, pregnancy and activity. If your own data already measures intake, you can supply it instead and skip that step.</w:t>
      </w:r>
    </w:p>
    <w:p>
      <w:pPr>
        <w:pStyle w:val="BodyText"/>
      </w:pPr>
      <w:r>
        <w:t xml:space="preserve">Two optional rows appear for every sub-category in the Parameters sheet:</w:t>
      </w:r>
    </w:p>
    <w:p>
      <w:pPr>
        <w:pStyle w:val="Compact"/>
        <w:numPr>
          <w:ilvl w:val="0"/>
          <w:numId w:val="1007"/>
        </w:numPr>
      </w:pPr>
      <w:r>
        <w:t xml:space="preserve">: gross energy intake, in MJ per head per day.</w:t>
      </w:r>
    </w:p>
    <w:p>
      <w:pPr>
        <w:pStyle w:val="Compact"/>
        <w:numPr>
          <w:ilvl w:val="0"/>
          <w:numId w:val="1007"/>
        </w:numPr>
      </w:pPr>
      <w:r>
        <w:t xml:space="preserve">: dry matter intake, in kg per head per day. Used only when</w:t>
      </w:r>
      <w:r>
        <w:t xml:space="preserve"> </w:t>
      </w:r>
      <w:r>
        <w:t xml:space="preserve"> </w:t>
      </w:r>
      <w:r>
        <w:t xml:space="preserve">is not given, and converted at the IPCC factor of 18.45 MJ per kg.</w:t>
      </w:r>
    </w:p>
    <w:p>
      <w:pPr>
        <w:pStyle w:val="FirstParagraph"/>
      </w:pPr>
      <w:r>
        <w:t xml:space="preserve"> </w:t>
      </w:r>
      <w:r>
        <w:t xml:space="preserve">A blank cell means</w:t>
      </w:r>
      <w:r>
        <w:t xml:space="preserve"> </w:t>
      </w:r>
      <w:r>
        <w:t xml:space="preserve">“calculate it from the animal performance data”</w:t>
      </w:r>
      <w:r>
        <w:t xml:space="preserve">, which is the normal case and exactly what earlier versions of the tool did. Fill them in only for the sub-categories where you actually have a figure; you can mix measured and calculated groups in the same inventory. If you enter both,</w:t>
      </w:r>
      <w:r>
        <w:t xml:space="preserve"> </w:t>
      </w:r>
      <w:r>
        <w:t xml:space="preserve"> </w:t>
      </w:r>
      <w:r>
        <w:t xml:space="preserve">is used, because it carries your own measured energy density rather than the IPCC average.</w:t>
      </w:r>
    </w:p>
    <w:p>
      <w:pPr>
        <w:pStyle w:val="BodyText"/>
      </w:pPr>
      <w:r>
        <w:t xml:space="preserve"> </w:t>
      </w:r>
      <w:r>
        <w:t xml:space="preserve">This surprises people, so it is worth being explicit. A measured gross energy replaces the energy calculation, not the nitrogen calculation. Nitrogen excretion works by subtracting the nitrogen retained in milk and in weight gain from the nitrogen eaten, so those inputs still drive your nitrous oxide numbers. Digestibility (</w:t>
      </w:r>
      <w:r>
        <w:t xml:space="preserve">) is still needed too: once you supply</w:t>
      </w:r>
      <w:r>
        <w:t xml:space="preserve"> </w:t>
      </w:r>
      <w:r>
        <w:t xml:space="preserve"> </w:t>
      </w:r>
      <w:r>
        <w:t xml:space="preserve">it no longer affects enteric methane, but it still decides how much of the feed passes through undigested and becomes manure, and therefore manure methane.</w:t>
      </w:r>
    </w:p>
    <w:p>
      <w:pPr>
        <w:pStyle w:val="BodyText"/>
      </w:pPr>
      <w:r>
        <w:t xml:space="preserve"> </w:t>
      </w:r>
      <w:r>
        <w:t xml:space="preserve">The results table has an</w:t>
      </w:r>
      <w:r>
        <w:t xml:space="preserve"> </w:t>
      </w:r>
      <w:r>
        <w:t xml:space="preserve"> </w:t>
      </w:r>
      <w:r>
        <w:t xml:space="preserve">column showing, for each group, whether the figure was calculated (</w:t>
      </w:r>
      <w:r>
        <w:t xml:space="preserve">“Energy balance”</w:t>
      </w:r>
      <w:r>
        <w:t xml:space="preserve">) or supplied (</w:t>
      </w:r>
      <w:r>
        <w:t xml:space="preserve">“Measured GE”</w:t>
      </w:r>
      <w:r>
        <w:t xml:space="preserve"> </w:t>
      </w:r>
      <w:r>
        <w:t xml:space="preserve">or</w:t>
      </w:r>
      <w:r>
        <w:t xml:space="preserve"> </w:t>
      </w:r>
      <w:r>
        <w:t xml:space="preserve">“Measured DMI”</w:t>
      </w:r>
      <w:r>
        <w:t xml:space="preserve">). The same information appears in the run settings of the Excel download and in the Word report, so anyone reviewing your inventory can see how each number was produced. If a group mixes both, it is reported as</w:t>
      </w:r>
      <w:r>
        <w:t xml:space="preserve"> </w:t>
      </w:r>
      <w:r>
        <w:t xml:space="preserve">“Mixed”</w:t>
      </w:r>
      <w:r>
        <w:t xml:space="preserve"> </w:t>
      </w:r>
      <w:r>
        <w:t xml:space="preserve">rather than being labelled with one method.</w:t>
      </w:r>
    </w:p>
    <w:bookmarkEnd w:id="19"/>
    <w:bookmarkStart w:id="20" w:name="obtaining-uncertainty-estimates"/>
    <w:p>
      <w:pPr>
        <w:pStyle w:val="Heading2"/>
      </w:pPr>
      <w:r>
        <w:t xml:space="preserve">Obtaining uncertainty estimates</w:t>
      </w:r>
    </w:p>
    <w:p>
      <w:pPr>
        <w:pStyle w:val="FirstParagraph"/>
      </w:pPr>
    </w:p>
    <w:p>
      <w:pPr>
        <w:pStyle w:val="BodyText"/>
      </w:pPr>
    </w:p>
    <w:p>
      <w:pPr>
        <w:pStyle w:val="Compact"/>
        <w:numPr>
          <w:ilvl w:val="0"/>
          <w:numId w:val="1008"/>
        </w:numPr>
      </w:pPr>
      <w:r>
        <w:t xml:space="preserve">: If populations are estimated from representative livestock surveys, the survey sampling error may provide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8"/>
        </w:numPr>
      </w:pPr>
      <w:r>
        <w:t xml:space="preserve">: Ask the data provider to give a range within which they are 95% confident the true value falls.</w:t>
      </w:r>
    </w:p>
    <w:p>
      <w:pPr>
        <w:pStyle w:val="Compact"/>
        <w:numPr>
          <w:ilvl w:val="0"/>
          <w:numId w:val="1008"/>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9"/>
        </w:numPr>
      </w:pPr>
      <w:r>
        <w:t xml:space="preserve">: If you used a country-specific value from a published study, the study’s reported confidence interval or standard deviation can be used.</w:t>
      </w:r>
    </w:p>
    <w:p>
      <w:pPr>
        <w:pStyle w:val="Compact"/>
        <w:numPr>
          <w:ilvl w:val="0"/>
          <w:numId w:val="1009"/>
        </w:numPr>
      </w:pPr>
      <w:r>
        <w:t xml:space="preserve">: IPCC 2019 Refinement (Vol.4 Ch.10 / Ch.11) gives uncertainty percentages or lower / upper bounds for several parameters (e.g. EF</w:t>
      </w:r>
      <w:r>
        <w:t xml:space="preserve">, Ym, MCF). The template pre-fills these where IPCC publishes them; where IPCC does not publish an uncertainty range, the template falls back to ranges from Penman</w:t>
      </w:r>
      <w:r>
        <w:t xml:space="preserve"> </w:t>
      </w:r>
      <w:r>
        <w:t xml:space="preserve"> </w:t>
      </w:r>
      <w:r>
        <w:t xml:space="preserve">(2000) and Monni</w:t>
      </w:r>
      <w:r>
        <w:t xml:space="preserve"> </w:t>
      </w:r>
      <w:r>
        <w:t xml:space="preserve"> </w:t>
      </w:r>
      <w:r>
        <w:t xml:space="preserve">(2007), these are clearly distinguished in the template footnotes.</w:t>
      </w:r>
    </w:p>
    <w:p>
      <w:pPr>
        <w:pStyle w:val="Compact"/>
        <w:numPr>
          <w:ilvl w:val="0"/>
          <w:numId w:val="1009"/>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20"/>
    <w:bookmarkStart w:id="21" w:name="choosing-a-distribution"/>
    <w:p>
      <w:pPr>
        <w:pStyle w:val="Heading2"/>
      </w:pPr>
      <w:r>
        <w:t xml:space="preserve">Choosing a distribution</w:t>
      </w:r>
    </w:p>
    <w:p>
      <w:pPr>
        <w:pStyle w:val="FirstParagraph"/>
      </w:pPr>
    </w:p>
    <w:p>
      <w:r>
        <w:br w:type="page"/>
      </w:r>
    </w:p>
    <w:bookmarkEnd w:id="21"/>
    <w:bookmarkEnd w:id="22"/>
    <w:bookmarkStart w:id="25" w:name="loading-your-data-tab-1-data-input"/>
    <w:p>
      <w:pPr>
        <w:pStyle w:val="Heading1"/>
      </w:pPr>
      <w:r>
        <w:t xml:space="preserve">Loading your data (Tab 1: Data Input)</w:t>
      </w:r>
    </w:p>
    <w:bookmarkStart w:id="23"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10"/>
        </w:numPr>
      </w:pPr>
      <w:r>
        <w:t xml:space="preserve">: A fictional East African highland dairy system, 12 parameters, dairy/cows, including a synthetic 5-year time series.</w:t>
      </w:r>
    </w:p>
    <w:p>
      <w:pPr>
        <w:pStyle w:val="Compact"/>
        <w:numPr>
          <w:ilvl w:val="0"/>
          <w:numId w:val="1010"/>
        </w:numPr>
      </w:pPr>
      <w:r>
        <w:t xml:space="preserve">: A fictional semi-arid pastoral beef system,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3"/>
    <w:bookmarkStart w:id="24" w:name="uploading-your-own-data"/>
    <w:p>
      <w:pPr>
        <w:pStyle w:val="Heading2"/>
      </w:pPr>
      <w:r>
        <w:t xml:space="preserve">Uploading your own data</w:t>
      </w:r>
    </w:p>
    <w:p>
      <w:pPr>
        <w:pStyle w:val="FirstParagraph"/>
      </w:pPr>
      <w:r>
        <w:rPr>
          <w:b/>
          <w:bCs/>
        </w:rPr>
        <w:t xml:space="preserve">Step 1: Choose an IPCC Guidelines version.</w:t>
      </w:r>
      <w:r>
        <w:t xml:space="preserve"> </w:t>
      </w:r>
      <w:r>
        <w:t xml:space="preserve">Before downloading the template, select the IPCC version your inventory follows:</w:t>
      </w:r>
    </w:p>
    <w:p>
      <w:pPr>
        <w:pStyle w:val="Compact"/>
        <w:numPr>
          <w:ilvl w:val="0"/>
          <w:numId w:val="1011"/>
        </w:numPr>
      </w:pPr>
      <w:r>
        <w:t xml:space="preserve">: Uses the eight original manure management systems (MMS). Choose this if your national inventory is based on the 2006 Guidelines.</w:t>
      </w:r>
    </w:p>
    <w:p>
      <w:pPr>
        <w:pStyle w:val="Compact"/>
        <w:numPr>
          <w:ilvl w:val="0"/>
          <w:numId w:val="1011"/>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Download and fill in the template.</w:t>
      </w:r>
    </w:p>
    <w:p>
      <w:pPr>
        <w:pStyle w:val="Compact"/>
        <w:numPr>
          <w:ilvl w:val="0"/>
          <w:numId w:val="1012"/>
        </w:numPr>
      </w:pPr>
      <w:r>
        <w:t xml:space="preserve">Click</w:t>
      </w:r>
      <w:r>
        <w:t xml:space="preserve"> </w:t>
      </w:r>
      <w:r>
        <w:t xml:space="preserve">“Download Excel template”</w:t>
      </w:r>
      <w:r>
        <w:t xml:space="preserve"> </w:t>
      </w:r>
      <w:r>
        <w:t xml:space="preserve">to get the pre-formatted workbook</w:t>
      </w:r>
    </w:p>
    <w:p>
      <w:pPr>
        <w:pStyle w:val="Compact"/>
        <w:numPr>
          <w:ilvl w:val="0"/>
          <w:numId w:val="1012"/>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2"/>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2"/>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2"/>
        </w:numPr>
      </w:pPr>
      <w:r>
        <w:t xml:space="preserve">Save the file as .xlsx and upload it using the file picker.</w:t>
      </w:r>
    </w:p>
    <w:p>
      <w:pPr>
        <w:pStyle w:val="FirstParagraph"/>
      </w:pPr>
      <w:r>
        <w:rPr>
          <w:b/>
          <w:bCs/>
        </w:rPr>
        <w:t xml:space="preserve">Step 3: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necessary, revise any auto-filled values before your final simulation run.</w:t>
      </w:r>
    </w:p>
    <w:p>
      <w:pPr>
        <w:pStyle w:val="BodyText"/>
      </w:pPr>
    </w:p>
    <w:p>
      <w:r>
        <w:br w:type="page"/>
      </w:r>
    </w:p>
    <w:bookmarkEnd w:id="24"/>
    <w:bookmarkEnd w:id="25"/>
    <w:bookmarkStart w:id="29" w:name="reviewing-data-quality-tab-2-qaqc"/>
    <w:p>
      <w:pPr>
        <w:pStyle w:val="Heading1"/>
      </w:pPr>
      <w:r>
        <w:t xml:space="preserve">Reviewing data quality (Tab 2: QA/QC)</w:t>
      </w:r>
    </w:p>
    <w:bookmarkStart w:id="26"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(Pass below ±50% from the IPCC default, Warn above; a deviation above 200% is still a warning, never a fail) is applied</w:t>
      </w:r>
      <w:r>
        <w:t xml:space="preserve"> </w:t>
      </w:r>
      <w:r>
        <w:t xml:space="preserve">: the one parameter for which the tool keeps a defensible continental IPCC table lookup: Annex Tables 10A.1 (dairy cows), 10A.2 (non-dairy cattle), and 10A.3 (buffalo).</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6"/>
    <w:bookmarkStart w:id="27" w:name="what-to-do-for-each-status"/>
    <w:p>
      <w:pPr>
        <w:pStyle w:val="Heading2"/>
      </w:pPr>
      <w:r>
        <w:t xml:space="preserve">What to do for each status</w:t>
      </w:r>
    </w:p>
    <w:p>
      <w:pPr>
        <w:pStyle w:val="FirstParagraph"/>
      </w:pPr>
      <w:r>
        <w:t xml:space="preserve">: No action needed. All structural checks passed; for</w:t>
      </w:r>
      <w:r>
        <w:t xml:space="preserve"> </w:t>
      </w:r>
      <w:r>
        <w:t xml:space="preserve"> </w:t>
      </w:r>
      <w:r>
        <w:t xml:space="preserve">the mean is also within ±50% of the continental IPCC default (Annex Tables 10A.1 / 10A.2 / 10A.3).</w:t>
      </w:r>
    </w:p>
    <w:p>
      <w:pPr>
        <w:pStyle w:val="BodyText"/>
      </w:pPr>
      <w:r>
        <w:t xml:space="preserve">: Either the</w:t>
      </w:r>
      <w:r>
        <w:t xml:space="preserve"> </w:t>
      </w:r>
      <w:r>
        <w:t xml:space="preserve"> </w:t>
      </w:r>
      <w:r>
        <w:t xml:space="preserve">mean deviates more than 50% from the continental IPCC default, or a non-fatal structural condition fired (asymmetric-bounds reminder for EF</w:t>
      </w:r>
      <w:r>
        <w:t xml:space="preserve"> </w:t>
      </w:r>
      <w:r>
        <w:t xml:space="preserve">/ Frac_GASM_PRP / Frac_LEACH_PRP, sub-category auto-match, implausible bounds, fractional parameter on an unbounded distribution). Possible actions:</w:t>
      </w:r>
    </w:p>
    <w:p>
      <w:pPr>
        <w:pStyle w:val="BodyText"/>
      </w:pPr>
      <w:r>
        <w:t xml:space="preserve">: A structural validation failed:</w:t>
      </w:r>
      <w:r>
        <w:t xml:space="preserve"> </w:t>
      </w:r>
      <m:oMath>
        <m:r>
          <m:t>D</m:t>
        </m:r>
        <m:sSub>
          <m:e>
            <m:r>
              <m:t>E</m:t>
            </m:r>
          </m:e>
          <m:sub>
            <m:r>
              <m:rPr>
                <m:sty m:val="p"/>
              </m:rPr>
              <m:t>%</m:t>
            </m:r>
          </m:sub>
        </m:sSub>
        <m:r>
          <m:rPr>
            <m:sty m:val="p"/>
          </m:rPr>
          <m:t>≤</m:t>
        </m:r>
        <m:r>
          <m:t>0</m:t>
        </m:r>
      </m:oMath>
      <w:r>
        <w:t xml:space="preserve"> </w:t>
      </w:r>
      <w:r>
        <w:t xml:space="preserve">or</w:t>
      </w:r>
      <w:r>
        <w:t xml:space="preserve"> </w:t>
      </w:r>
      <m:oMath>
        <m:r>
          <m:rPr>
            <m:sty m:val="p"/>
          </m:rPr>
          <m:t>≥</m:t>
        </m:r>
        <m:r>
          <m:t>100</m:t>
        </m:r>
      </m:oMath>
      <w:r>
        <w:t xml:space="preserve">; bounds that do not bracket the mean; an MMS fraction-sum more than 1% off 100%; or a Beta configured with mean outside</w:t>
      </w:r>
      <w:r>
        <w:t xml:space="preserve"> </w:t>
      </w:r>
      <m:oMath>
        <m:r>
          <m:rPr>
            <m:sty m:val="p"/>
          </m:rPr>
          <m:t>(</m:t>
        </m:r>
        <m:r>
          <m:t>0</m:t>
        </m:r>
        <m:r>
          <m:rPr>
            <m:sty m:val="p"/>
          </m:rPr>
          <m:t>,</m:t>
        </m:r>
        <m:r>
          <m:t>1</m:t>
        </m:r>
        <m:r>
          <m:rPr>
            <m:sty m:val="p"/>
          </m:rPr>
          <m:t>)</m:t>
        </m:r>
      </m:oMath>
      <w:r>
        <w:t xml:space="preserve">. The Run button stays blocked while any fail remains. Correct the value in your Excel file and re-upload, or, if you have checked the value and accept it, tick</w:t>
      </w:r>
      <w:r>
        <w:t xml:space="preserve"> </w:t>
      </w:r>
      <w:r>
        <w:t xml:space="preserve"> </w:t>
      </w:r>
      <w:r>
        <w:t xml:space="preserve">next to the row.</w:t>
      </w:r>
    </w:p>
    <w:p>
      <w:pPr>
        <w:pStyle w:val="BodyText"/>
      </w:pPr>
      <w:r>
        <w:t xml:space="preserve"> </w:t>
      </w:r>
      <w:r>
        <w:t xml:space="preserve">Each failing row has an Ignore checkbox. The first tick opens a warning: running with ignored checks may produce unreliable results. Two failures cannot simply be waved through because the sampler would return NaN, so ignoring them applies the smallest repair instead and marks the row</w:t>
      </w:r>
      <w:r>
        <w:t xml:space="preserve"> </w:t>
      </w:r>
      <w:r>
        <w:t xml:space="preserve">: bounds that do not bracket the mean are widened around it, and a Beta or log-normal distribution on a value outside its valid range is replaced by a normal distribution. An ambiguous sub-category key cannot be ignored. Every ignored or repaired check is shown in a red banner above the results and listed in the Excel report (sheet</w:t>
      </w:r>
      <w:r>
        <w:t xml:space="preserve"> </w:t>
      </w:r>
      <w:r>
        <w:t xml:space="preserve">), at the end of the CSV, and in section 2b of the Word summary, so a reviewer always sees them next to the numbers.</w:t>
      </w:r>
    </w:p>
    <w:p>
      <w:pPr>
        <w:pStyle w:val="BodyText"/>
      </w:pPr>
      <w:r>
        <w:t xml:space="preserve">: A required parameter was not found in the upload. The tool auto-filled it with the IPCC default value from PARAM_CATALOGUE; the value and the IPCC equation / table source are shown in the Tab 1 notification. Applies to every parameter, not just</w:t>
      </w:r>
      <w:r>
        <w:t xml:space="preserve"> </w:t>
      </w:r>
      <w:r>
        <w:t xml:space="preserve">. Review whether the default is appropriate for your country context and, where possible, replace it with country-specific data.</w:t>
      </w:r>
    </w:p>
    <w:p>
      <w:pPr>
        <w:pStyle w:val="BodyText"/>
      </w:pPr>
      <w:r>
        <w:t xml:space="preserve"> </w:t>
      </w:r>
      <w:r>
        <w:t xml:space="preserve">You can make any necessary corrections by editing in Tab 3 (</w:t>
      </w:r>
      <w:r>
        <w:rPr>
          <w:rStyle w:val="VerbatimChar"/>
        </w:rPr>
        <w:t xml:space="preserve">Uncertainty'). The final values used in the simulation runs will be documented in the reports output by the tool, but will not be updated in your data input file. Alternatively, if you edit the values in your data input file and re-upload in Tab 1 (</w:t>
      </w:r>
      <w:r>
        <w:t xml:space="preserve">Data input’), the values used will be documented in the final reports and stored in your data input file.</w:t>
      </w:r>
    </w:p>
    <w:bookmarkEnd w:id="27"/>
    <w:bookmarkStart w:id="28"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8"/>
    <w:bookmarkEnd w:id="29"/>
    <w:bookmarkStart w:id="32" w:name="Xf2498949195d70a17f273cecd55e747eb1386c9"/>
    <w:p>
      <w:pPr>
        <w:pStyle w:val="Heading1"/>
      </w:pPr>
      <w:r>
        <w:t xml:space="preserve">Reviewing uncertainty distributions (Tab 3: Uncertainty)</w:t>
      </w:r>
    </w:p>
    <w:bookmarkStart w:id="30"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30"/>
    <w:bookmarkStart w:id="31"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1"/>
    <w:bookmarkEnd w:id="32"/>
    <w:bookmarkStart w:id="41" w:name="correlations-tab-4-correlations"/>
    <w:p>
      <w:pPr>
        <w:pStyle w:val="Heading1"/>
      </w:pPr>
      <w:r>
        <w:t xml:space="preserve">Correlations (Tab 4: Correlations)</w:t>
      </w:r>
    </w:p>
    <w:p>
      <w:pPr>
        <w:pStyle w:val="FirstParagraph"/>
      </w:pPr>
      <w:r>
        <w:t xml:space="preserve"> </w:t>
      </w:r>
      <w:r>
        <w:t xml:space="preserve">For a side-by-side worked comparison of all four correlation modes applied to the Country X / Country Y built-in examples (including how each mode changes the 95% confidence interval on total CO</w:t>
      </w:r>
      <m:oMath>
        <m:sSub>
          <m:e>
            <m:r>
              <m:t>​</m:t>
            </m:r>
          </m:e>
          <m:sub>
            <m:r>
              <m:t>2</m:t>
            </m:r>
          </m:sub>
        </m:sSub>
      </m:oMath>
      <w:r>
        <w:t xml:space="preserve">eq, the structural-defaults heatmap with per-pair sources, and the common mistakes to avoid), click the green</w:t>
      </w:r>
      <w:r>
        <w:t xml:space="preserve"> </w:t>
      </w:r>
      <w:r>
        <w:t xml:space="preserve"> </w:t>
      </w:r>
      <w:r>
        <w:t xml:space="preserve">link at the top of the Activity Data Correlations card on Tab 4. It opens a focused topic page in a new browser tab.</w:t>
      </w:r>
    </w:p>
    <w:bookmarkStart w:id="33" w:name="why-correlations-matter"/>
    <w:p>
      <w:pPr>
        <w:pStyle w:val="Heading2"/>
      </w:pPr>
      <w:r>
        <w:t xml:space="preserve">Why correlations matter</w:t>
      </w:r>
    </w:p>
    <w:p>
      <w:pPr>
        <w:pStyle w:val="FirstParagraph"/>
      </w:pPr>
      <w:r>
        <w:t xml:space="preserve">There are two different things called</w:t>
      </w:r>
      <w:r>
        <w:t xml:space="preserve"> </w:t>
      </w:r>
      <w:r>
        <w:t xml:space="preserve">“correlation”</w:t>
      </w:r>
      <w:r>
        <w:t xml:space="preserve"> </w:t>
      </w:r>
      <w:r>
        <w:t xml:space="preserve">on this page, and they matter to very different degrees.</w:t>
      </w:r>
    </w:p>
    <w:p>
      <w:pPr>
        <w:pStyle w:val="BodyText"/>
      </w:pPr>
      <w:r>
        <w:t xml:space="preserve"> </w:t>
      </w:r>
      <w:r>
        <w:t xml:space="preserve">If two parameters tend to move together (e.g. larger animals also tend to produce more milk), ignoring the relationship understates the uncertainty in the total. For most Tier 2 analyses this is a modest effect, typically a few percentage points, and ignoring it is a reasonable simplifying assumption. IPCC Approach 2 guidance recommends including known correlations where they exist.</w:t>
      </w:r>
    </w:p>
    <w:p>
      <w:pPr>
        <w:pStyle w:val="BodyText"/>
      </w:pPr>
      <w:r>
        <w:t xml:space="preserve"> </w:t>
      </w:r>
      <w:r>
        <w:t xml:space="preserve">This one is not modest. If several of your groups carry the</w:t>
      </w:r>
      <w:r>
        <w:t xml:space="preserve"> </w:t>
      </w:r>
      <w:r>
        <w:t xml:space="preserve"> </w:t>
      </w:r>
      <w:r>
        <w:t xml:space="preserve">number for a coefficient, because it came from one IPCC default or one regional study, then that is a single estimate applied many times. If it is wrong, every group is wrong in the same direction at once, and nothing cancels. Sampling each group independently instead makes the errors average each other out, and the reported uncertainty falls as the inventory is split more finely.</w:t>
      </w:r>
    </w:p>
    <w:p>
      <w:pPr>
        <w:pStyle w:val="BodyText"/>
      </w:pPr>
      <w:r>
        <w:t xml:space="preserve">The size of this effect is easy to underestimate. On a test inventory where the herd, the parameters and the uncertainty inputs were all held fixed and</w:t>
      </w:r>
      <w:r>
        <w:t xml:space="preserve"> </w:t>
      </w:r>
      <w:r>
        <w:t xml:space="preserve"> </w:t>
      </w:r>
      <w:r>
        <w:t xml:space="preserve">the number of groups changed, the reported 95% margin of error fell from 25.1% on a single group to 1.5% on 251 groups. Nothing about the data had changed; only the disaggregation had. This is why</w:t>
      </w:r>
      <w:r>
        <w:t xml:space="preserve"> </w:t>
      </w:r>
      <w:r>
        <w:t xml:space="preserve"> </w:t>
      </w:r>
      <w:r>
        <w:t xml:space="preserve">defaults to treating a shared value as one estimate, and why you should normally leave it there. IPCC 2019 Refinement Vol.1 Ch.3 makes the same point: subcategories</w:t>
      </w:r>
      <w:r>
        <w:t xml:space="preserve"> </w:t>
      </w:r>
      <w:r>
        <w:t xml:space="preserve">“can be highly correlated, because either the AD are derived from the same source or the EFs have parameters in common”</w:t>
      </w:r>
      <w:r>
        <w:t xml:space="preserve">.</w:t>
      </w:r>
    </w:p>
    <w:bookmarkEnd w:id="33"/>
    <w:bookmarkStart w:id="34" w:name="inputs-shared-between-groups"/>
    <w:p>
      <w:pPr>
        <w:pStyle w:val="Heading2"/>
      </w:pPr>
      <w:r>
        <w:t xml:space="preserve">Inputs shared between groups</w:t>
      </w:r>
    </w:p>
    <w:p>
      <w:pPr>
        <w:pStyle w:val="FirstParagraph"/>
      </w:pPr>
      <w:r>
        <w:t xml:space="preserve">This setting sits below the correlation heatmap and has two options.</w:t>
      </w:r>
    </w:p>
    <w:p>
      <w:pPr>
        <w:pStyle w:val="BodyText"/>
      </w:pPr>
      <w:r>
        <w:t xml:space="preserve"> </w:t>
      </w:r>
      <w:r>
        <w:t xml:space="preserve">(the default, and the right answer for nearly every inventory). Where several groups carry the same number for a coefficient, the tool draws it once and applies that draw to all of them. Their errors then move together, which is what actually happens when one estimate is reused.</w:t>
      </w:r>
    </w:p>
    <w:p>
      <w:pPr>
        <w:pStyle w:val="BodyText"/>
      </w:pPr>
      <w:r>
        <w:t xml:space="preserve">. Each group redraws every coefficient on its own. This is correct only when each group’s values really were estimated separately, which is unusual. It is kept so you can reproduce a previous run or see the size of the effect on your own data.</w:t>
      </w:r>
    </w:p>
    <w:p>
      <w:pPr>
        <w:pStyle w:val="BodyText"/>
      </w:pPr>
      <w:r>
        <w:t xml:space="preserve">Underneath the control, the tool tells you what it found, for example</w:t>
      </w:r>
      <w:r>
        <w:t xml:space="preserve"> </w:t>
      </w:r>
      <w:r>
        <w:t xml:space="preserve">. If that list is empty, nothing in your inventory is shared and the setting changes nothing.</w:t>
      </w:r>
    </w:p>
    <w:p>
      <w:pPr>
        <w:pStyle w:val="BodyText"/>
      </w:pPr>
      <w:r>
        <w:t xml:space="preserve">Two things to expect. First, the reported margin of error will usually be</w:t>
      </w:r>
      <w:r>
        <w:t xml:space="preserve"> </w:t>
      </w:r>
      <w:r>
        <w:t xml:space="preserve"> </w:t>
      </w:r>
      <w:r>
        <w:t xml:space="preserve">with the default than with independent groups. That is the correction, not a regression: the smaller figure was an artefact of splitting the inventory. Second, the tool decides what is shared by looking for identical values, so if you genuinely have a separate estimate per group, enter your own numbers and those groups will be treated independently automatically.</w:t>
      </w:r>
    </w:p>
    <w:bookmarkEnd w:id="34"/>
    <w:bookmarkStart w:id="35" w:name="quick-guide-which-option-do-i-pick"/>
    <w:p>
      <w:pPr>
        <w:pStyle w:val="Heading2"/>
      </w:pPr>
      <w:r>
        <w:t xml:space="preserve">Quick guide: which option do I pick?</w:t>
      </w:r>
    </w:p>
    <w:p>
      <w:pPr>
        <w:pStyle w:val="FirstParagraph"/>
      </w:pPr>
      <w:r>
        <w:t xml:space="preserve"> </w:t>
      </w:r>
      <w:r>
        <w:t xml:space="preserve">If a mode would have nothing to work with (e.g. </w:t>
      </w:r>
      <w:r>
        <w:rPr>
          <w:rStyle w:val="VerbatimChar"/>
        </w:rPr>
        <w:t xml:space="preserve">From template'' when your \texttt{Parameter\_TimeSeries} sheet is empty, or</w:t>
      </w:r>
      <w:r>
        <w:t xml:space="preserve">Advanced: manual entry’’ before you’ve uploaded a CSV), the radio choice appears greyed out with a short note explaining why. The tool also blocks the Run button with an explicit error if a no-data mode is somehow selected.</w:t>
      </w:r>
    </w:p>
    <w:bookmarkEnd w:id="35"/>
    <w:bookmarkStart w:id="36"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the IPCC equation chain multiplies around 13 parameters together, which dilutes the effect of any single correlated pair. See the Methodology document for the underlying mathematics.</w:t>
      </w:r>
    </w:p>
    <w:p>
      <w:pPr>
        <w:pStyle w:val="BodyText"/>
      </w:pPr>
      <w:r>
        <w:t xml:space="preserve"> </w:t>
      </w:r>
      <w:r>
        <w:t xml:space="preserve">Before running your simulation, Tab 5 (`Simulate &amp; Results’) lets you select</w:t>
      </w:r>
      <w:r>
        <w:t xml:space="preserve"> </w:t>
      </w:r>
      <w:r>
        <w:t xml:space="preserve">. Selecting this lets you inspect the influence of the correlation options you chose.</w:t>
      </w:r>
    </w:p>
    <w:bookmarkEnd w:id="36"/>
    <w:bookmarkStart w:id="37"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7"/>
    <w:bookmarkStart w:id="38"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names that don’t match a catalogue parameter are silently ignored when the matrix is applied to the simulation (no error message; the correlation just doesn’t take effect).</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8"/>
    <w:bookmarkStart w:id="39"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bookmarkEnd w:id="39"/>
    <w:bookmarkStart w:id="40"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r>
        <w:br w:type="page"/>
      </w:r>
    </w:p>
    <w:bookmarkEnd w:id="40"/>
    <w:bookmarkEnd w:id="41"/>
    <w:bookmarkStart w:id="46" w:name="running-the-simulation-tab-5-simulate"/>
    <w:p>
      <w:pPr>
        <w:pStyle w:val="Heading1"/>
      </w:pPr>
      <w:r>
        <w:t xml:space="preserve">Running the simulation (Tab 5: Simulate)</w:t>
      </w:r>
    </w:p>
    <w:bookmarkStart w:id="42"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AR4 (CH</w:t>
      </w:r>
      <w:r>
        <w:t xml:space="preserve"> </w:t>
      </w:r>
      <w:r>
        <w:t xml:space="preserve">GWP = 25, N</w:t>
      </w:r>
      <w:r>
        <w:t xml:space="preserve">O = 298), AR5 (CH</w:t>
      </w:r>
      <w:r>
        <w:t xml:space="preserve"> </w:t>
      </w:r>
      <w:r>
        <w:t xml:space="preserve">GWP = 28, N</w:t>
      </w:r>
      <w:r>
        <w:t xml:space="preserve">O = 265) and AR6 (CH</w:t>
      </w:r>
      <w:r>
        <w:t xml:space="preserve"> </w:t>
      </w:r>
      <w:r>
        <w:t xml:space="preserve">GWP = 27, N</w:t>
      </w:r>
      <w:r>
        <w:t xml:space="preserve">O = 273; the 27 is the non-fossil/biogenic methane value, appropriate for cattle). The default is AR5.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(e.g. simulation run only on the latest year in your inventory time series) or Trend (multi-year time series).</w:t>
      </w:r>
    </w:p>
    <w:p>
      <w:pPr>
        <w:pStyle w:val="BodyText"/>
      </w:pPr>
      <w:r>
        <w:t xml:space="preserve">: Tick all sources applicable to your inventory. Unticked sources contribute zero emissions to the total. (Note: you can choose not to select enteric fermentation, but the Tier 2 input data for enteric fermentation should be supplied. Not selecting enteric fermentation means that the emissions and uncertainty of this emission source will not be reported in the results.)</w:t>
      </w:r>
    </w:p>
    <w:bookmarkEnd w:id="42"/>
    <w:bookmarkStart w:id="43" w:name="X18e631fcb5b21c13cd2a1ff2b22c533ae0ca5c3"/>
    <w:p>
      <w:pPr>
        <w:pStyle w:val="Heading2"/>
      </w:pPr>
      <w:r>
        <w:t xml:space="preserve">Trend mode: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The population (N) is always re-sampled fresh each year; this setting affects every other per-head parameter, body weight and milk yield included, because those are coefficients.</w:t>
      </w:r>
    </w:p>
    <w:p>
      <w:pPr>
        <w:pStyle w:val="BodyText"/>
      </w:pPr>
      <w:r>
        <w:t xml:space="preserve"> </w:t>
      </w:r>
      <w:r>
        <w:t xml:space="preserve">If your country uses the same emission factors for the whole inventory time series (e.g. when Tier 2 EFs were estimated using one dataset and applied to all inventory years), then a high-Ym draw in your base year should also be a high-Ym draw in the current year. The coefficient uncertainty then cancels when you compare the two years, so the trend uncertainty reflects only the activity-data changes. This is what IPCC Vol.1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3"/>
    <w:bookmarkStart w:id="44"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 but may be longer for inventories with large numbers of sub-categories.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4"/>
    <w:bookmarkStart w:id="45"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there are no chains, no warmup, and no burn-in.</w:t>
      </w:r>
    </w:p>
    <w:p>
      <w:r>
        <w:br w:type="page"/>
      </w:r>
    </w:p>
    <w:bookmarkEnd w:id="45"/>
    <w:bookmarkEnd w:id="46"/>
    <w:bookmarkStart w:id="50" w:name="understanding-results-tab-5-results"/>
    <w:p>
      <w:pPr>
        <w:pStyle w:val="Heading1"/>
      </w:pPr>
      <w:r>
        <w:t xml:space="preserve">Understanding results (Tab 5: Results)</w:t>
      </w:r>
    </w:p>
    <w:bookmarkStart w:id="47"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7"/>
    <w:bookmarkStart w:id="48"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 </w:t>
      </w:r>
      <w:r>
        <w:t xml:space="preserve">Two inputs, because that is what IPCC counts for cattle. The first is the animal population (</w:t>
      </w:r>
      <w:r>
        <w:t xml:space="preserve">). The second is the manure management system split, the</w:t>
      </w:r>
      <w:r>
        <w:t xml:space="preserve"> </w:t>
      </w:r>
      <w:r>
        <w:t xml:space="preserve"> </w:t>
      </w:r>
      <w:r>
        <w:t xml:space="preserve">column of the Manure_Management sheet, which is activity data for the manure sources only. IPCC Vol.4 Ch.10.4.4 and 10.5.5 are explicit: the uncertainty-assessment sections for manure management carry two activity-data headings, livestock populations and manure management system usage. For enteric fermentation, Ch.10.3.3 makes population the only activity data, so enteric methane’s AD bar reflects population alone.</w:t>
      </w:r>
    </w:p>
    <w:p>
      <w:pPr>
        <w:pStyle w:val="BodyText"/>
      </w:pPr>
      <w:r>
        <w:t xml:space="preserve">Everything else you enter on the Parameters sheet, including body weight, weight gain, milk yield and milk fat, is a coefficient. Those feed into the emission factor rather than the activity data, which is why they are held fixed in the AD-only run. This surprises people, because several of them are measured herd characteristics rather than IPCC defaults. The distinction IPCC draws is about the role a number plays in the equation, not about where you got it.</w:t>
      </w:r>
    </w:p>
    <w:p>
      <w:pPr>
        <w:pStyle w:val="BodyText"/>
      </w:pPr>
      <w:r>
        <w:t xml:space="preserve">If AD uncertainty dominates, improving the livestock population survey, or the survey of how manure is managed, would most effectively reduce total uncertainty. If EF uncertainty dominates, investing in country-specific coefficient measurement would be more impactful.</w:t>
      </w:r>
    </w:p>
    <w:bookmarkEnd w:id="48"/>
    <w:bookmarkStart w:id="49" w:name="by-system-and-by-category-breakdown"/>
    <w:p>
      <w:pPr>
        <w:pStyle w:val="Heading2"/>
      </w:pPr>
      <w:r>
        <w:t xml:space="preserve">By-system and by-category breakdown</w:t>
      </w:r>
    </w:p>
    <w:p>
      <w:r>
        <w:br w:type="page"/>
      </w:r>
    </w:p>
    <w:bookmarkEnd w:id="49"/>
    <w:bookmarkEnd w:id="50"/>
    <w:bookmarkStart w:id="53" w:name="sensitivity-analysis-tab-6"/>
    <w:p>
      <w:pPr>
        <w:pStyle w:val="Heading1"/>
      </w:pPr>
      <w:r>
        <w:t xml:space="preserve">Sensitivity analysis (Tab 6)</w:t>
      </w:r>
    </w:p>
    <w:bookmarkStart w:id="51"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51"/>
    <w:bookmarkStart w:id="52"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2"/>
    <w:bookmarkEnd w:id="53"/>
    <w:bookmarkStart w:id="56" w:name="X2ba54ca5884145abcad3c99bb30ed5bdc2bac4a"/>
    <w:p>
      <w:pPr>
        <w:pStyle w:val="Heading1"/>
      </w:pPr>
      <w:r>
        <w:t xml:space="preserve">Generating the IPCC report (Tab 7: IPCC Report)</w:t>
      </w:r>
    </w:p>
    <w:bookmarkStart w:id="54"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w:t>
      </w:r>
    </w:p>
    <w:p>
      <w:pPr>
        <w:pStyle w:val="BodyText"/>
      </w:pPr>
      <w:r>
        <w:t xml:space="preserve">: Following IPCC Table 3.3 conventions, all values are expressed as the half-width of the 95% confidence interval divided by the mean, multiplied by 100, i.e. </w:t>
      </w:r>
      <w:r>
        <w:t xml:space="preserve">.</w:t>
      </w:r>
    </w:p>
    <w:p>
      <w:pPr>
        <w:pStyle w:val="BodyText"/>
      </w:pPr>
    </w:p>
    <w:bookmarkEnd w:id="54"/>
    <w:bookmarkStart w:id="55" w:name="downloads"/>
    <w:p>
      <w:pPr>
        <w:pStyle w:val="Heading2"/>
      </w:pPr>
      <w:r>
        <w:t xml:space="preserve">Downloads</w:t>
      </w:r>
    </w:p>
    <w:p>
      <w:pPr>
        <w:pStyle w:val="FirstParagraph"/>
      </w:pPr>
      <w:r>
        <w:t xml:space="preserve">Three download formats are available:</w:t>
      </w:r>
    </w:p>
    <w:p>
      <w:r>
        <w:br w:type="page"/>
      </w:r>
    </w:p>
    <w:bookmarkEnd w:id="55"/>
    <w:bookmarkEnd w:id="56"/>
    <w:bookmarkStart w:id="59" w:name="ipcc-reporting-conventions"/>
    <w:p>
      <w:pPr>
        <w:pStyle w:val="Heading1"/>
      </w:pPr>
      <w:r>
        <w:t xml:space="preserve">IPCC reporting conventions</w:t>
      </w:r>
    </w:p>
    <w:bookmarkStart w:id="57"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7"/>
    <w:bookmarkStart w:id="58"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8"/>
    <w:bookmarkEnd w:id="59"/>
    <w:bookmarkStart w:id="60" w:name="X53b8655afe9f6f962a77d331658f1061377ceb0"/>
    <w:p>
      <w:pPr>
        <w:pStyle w:val="Heading1"/>
      </w:pPr>
      <w:r>
        <w:t xml:space="preserve">Worked example: Country X (hypothetical dairy)</w:t>
      </w:r>
    </w:p>
    <w:p>
      <w:pPr>
        <w:pStyle w:val="FirstParagraph"/>
      </w:pPr>
      <w:r>
        <w:t xml:space="preserve">To illustrate the workflow, the following example uses the Country X built-in dataset.</w:t>
      </w:r>
    </w:p>
    <w:p>
      <w:pPr>
        <w:pStyle w:val="BodyText"/>
      </w:pPr>
      <w:r>
        <w:rPr>
          <w:b/>
          <w:bCs/>
        </w:rPr>
        <w:t xml:space="preserve">Step 1: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QA/QC</w:t>
      </w:r>
      <w:r>
        <w:t xml:space="preserve">: Go to Tab 2. All parameters should pass; any Warn flags on</w:t>
      </w:r>
      <w:r>
        <w:t xml:space="preserve"> </w:t>
      </w:r>
      <w:r>
        <w:t xml:space="preserve"> </w:t>
      </w:r>
      <w:r>
        <w:t xml:space="preserve">would compare against the continental IPCC default (Annex Tables 10A.1 / 10A.2 / 10A.3), and Warn flags on other parameters reflect non-fatal structural conditions (asymmetric-bounds reminder, sub-category auto-match, etc.), a deliberate country-specific value can be documented in the inventory report rather than corrected.</w:t>
      </w:r>
    </w:p>
    <w:p>
      <w:pPr>
        <w:pStyle w:val="BodyText"/>
      </w:pPr>
      <w:r>
        <w:rPr>
          <w:b/>
          <w:bCs/>
        </w:rPr>
        <w:t xml:space="preserve">Step 3: Uncertainty</w:t>
      </w:r>
      <w:r>
        <w:t xml:space="preserve">: Go to Tab 3. Note that the measured herd inputs (N, BW, Milk, WG, Fat) use Normal distributions while the IPCC coefficients (Ym, DE, Bo, etc.) use PERT or lognormal distributions.</w:t>
      </w:r>
    </w:p>
    <w:p>
      <w:pPr>
        <w:pStyle w:val="BodyText"/>
      </w:pPr>
      <w:r>
        <w:rPr>
          <w:b/>
          <w:bCs/>
        </w:rPr>
        <w:t xml:space="preserve">Step 4: Correlations</w:t>
      </w:r>
      <w:r>
        <w:t xml:space="preserve">: Go to Tab 4. Select</w:t>
      </w:r>
      <w:r>
        <w:t xml:space="preserve"> </w:t>
      </w:r>
      <w:r>
        <w:t xml:space="preserve">“From template (auto, time-series)”</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Report</w:t>
      </w:r>
      <w:r>
        <w:t xml:space="preserve">: Go to Tab 7. Download the Excel report to see the full IPCC Table 3.3 output.</w:t>
      </w:r>
    </w:p>
    <w:p>
      <w:pPr>
        <w:pStyle w:val="BodyText"/>
      </w:pP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873531F3-B490-4B52-BC18-09B41493944A}"/>
</file>

<file path=customXml/itemProps2.xml><?xml version="1.0" encoding="utf-8"?>
<ds:datastoreItem xmlns:ds="http://schemas.openxmlformats.org/officeDocument/2006/customXml" ds:itemID="{96E063F3-D001-47B5-9FC6-000E84F5B79E}"/>
</file>

<file path=customXml/itemProps3.xml><?xml version="1.0" encoding="utf-8"?>
<ds:datastoreItem xmlns:ds="http://schemas.openxmlformats.org/officeDocument/2006/customXml" ds:itemID="{5D0CBA95-1268-4559-BFAD-67BD4E5A2428}"/>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ClimateActionNetZero</dc:creator>
  <cp:keywords/>
  <dcterms:created xsi:type="dcterms:W3CDTF">2026-09-30T09:26:15Z</dcterms:created>
  <dcterms:modified xsi:type="dcterms:W3CDTF">2026-09-30T09:26:15Z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y fmtid="{D5CDD505-2E9C-101B-9397-08002B2CF9AE}" pid="8" name="MediaServiceImageTags">
    <vt:lpwstr/>
  </property>
  <property fmtid="{D5CDD505-2E9C-101B-9397-08002B2CF9AE}" pid="9" name="ContentTypeId">
    <vt:lpwstr>0x0101006AAA32E7549EE6449AC68337FF671C5A</vt:lpwstr>
  </property>
</Properties>
</file>