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 ClimateActionNetZero</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w:t>
      </w:r>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w:t>
      </w:r>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0"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w:t>
      </w:r>
      <w:r>
        <w:t xml:space="preserve">— IPCC Eq.~10.2, ``Coefficient for calculating net energy for maintenance’’ —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The earlier name</w:t>
      </w:r>
      <w:r>
        <w:t xml:space="preserve"> </w:t>
      </w:r>
      <w:r>
        <w:rPr>
          <w:rStyle w:val="VerbatimChar"/>
        </w:rPr>
        <w:t xml:space="preserve">pct_calving</w:t>
      </w:r>
      <w:r>
        <w:t xml:space="preserve"> </w:t>
      </w:r>
      <w:r>
        <w:t xml:space="preserve">is accepted as an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r>
            <m:rPr>
              <m:sty m:val="p"/>
            </m:rPr>
            <m:t>(</m:t>
          </m:r>
          <m:r>
            <m:t>4.092</m:t>
          </m:r>
          <m:r>
            <m:rPr>
              <m:sty m:val="p"/>
            </m:rPr>
            <m:t>×</m:t>
          </m:r>
          <m:sSup>
            <m:e>
              <m:r>
                <m:t>10</m:t>
              </m:r>
            </m:e>
            <m:sup>
              <m:r>
                <m:rPr>
                  <m:sty m:val="p"/>
                </m:rPr>
                <m:t>−</m:t>
              </m:r>
              <m:r>
                <m:t>3</m:t>
              </m:r>
            </m:sup>
          </m:sSup>
          <m:r>
            <m:rPr>
              <m:sty m:val="p"/>
            </m:rPr>
            <m:t>×</m:t>
          </m:r>
          <m:r>
            <m:t>D</m:t>
          </m:r>
          <m:r>
            <m:t>E</m:t>
          </m:r>
          <m:r>
            <m:rPr>
              <m:sty m:val="p"/>
            </m:rPr>
            <m:t>)</m:t>
          </m:r>
          <m:r>
            <m:rPr>
              <m:sty m:val="p"/>
            </m:rPr>
            <m:t>+</m:t>
          </m:r>
          <m:r>
            <m:rPr>
              <m:sty m:val="p"/>
            </m:rPr>
            <m:t>(</m:t>
          </m:r>
          <m:r>
            <m:t>1.126</m:t>
          </m:r>
          <m:r>
            <m:rPr>
              <m:sty m:val="p"/>
            </m:rPr>
            <m:t>×</m:t>
          </m:r>
          <m:sSup>
            <m:e>
              <m:r>
                <m:t>10</m:t>
              </m:r>
            </m:e>
            <m:sup>
              <m:r>
                <m:rPr>
                  <m:sty m:val="p"/>
                </m:rPr>
                <m:t>−</m:t>
              </m:r>
              <m:r>
                <m:t>5</m:t>
              </m:r>
            </m:sup>
          </m:sSup>
          <m:r>
            <m:rPr>
              <m:sty m:val="p"/>
            </m:rPr>
            <m:t>×</m:t>
          </m:r>
          <m:r>
            <m:t>D</m:t>
          </m:r>
          <m:sSup>
            <m:e>
              <m:r>
                <m:t>E</m:t>
              </m:r>
            </m:e>
            <m:sup>
              <m:r>
                <m:t>2</m:t>
              </m:r>
            </m:sup>
          </m:sSup>
          <m:r>
            <m:rPr>
              <m:sty m:val="p"/>
            </m:rPr>
            <m:t>)</m:t>
          </m:r>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r>
            <m:rPr>
              <m:sty m:val="p"/>
            </m:rPr>
            <m:t>(</m:t>
          </m:r>
          <m:r>
            <m:t>5.160</m:t>
          </m:r>
          <m:r>
            <m:rPr>
              <m:sty m:val="p"/>
            </m:rPr>
            <m:t>×</m:t>
          </m:r>
          <m:sSup>
            <m:e>
              <m:r>
                <m:t>10</m:t>
              </m:r>
            </m:e>
            <m:sup>
              <m:r>
                <m:rPr>
                  <m:sty m:val="p"/>
                </m:rPr>
                <m:t>−</m:t>
              </m:r>
              <m:r>
                <m:t>3</m:t>
              </m:r>
            </m:sup>
          </m:sSup>
          <m:r>
            <m:rPr>
              <m:sty m:val="p"/>
            </m:rPr>
            <m:t>×</m:t>
          </m:r>
          <m:r>
            <m:t>D</m:t>
          </m:r>
          <m:r>
            <m:t>E</m:t>
          </m:r>
          <m:r>
            <m:rPr>
              <m:sty m:val="p"/>
            </m:rPr>
            <m:t>)</m:t>
          </m:r>
          <m:r>
            <m:rPr>
              <m:sty m:val="p"/>
            </m:rPr>
            <m:t>+</m:t>
          </m:r>
          <m:r>
            <m:rPr>
              <m:sty m:val="p"/>
            </m:rPr>
            <m:t>(</m:t>
          </m:r>
          <m:r>
            <m:t>1.308</m:t>
          </m:r>
          <m:r>
            <m:rPr>
              <m:sty m:val="p"/>
            </m:rPr>
            <m:t>×</m:t>
          </m:r>
          <m:sSup>
            <m:e>
              <m:r>
                <m:t>10</m:t>
              </m:r>
            </m:e>
            <m:sup>
              <m:r>
                <m:rPr>
                  <m:sty m:val="p"/>
                </m:rPr>
                <m:t>−</m:t>
              </m:r>
              <m:r>
                <m:t>5</m:t>
              </m:r>
            </m:sup>
          </m:sSup>
          <m:r>
            <m:rPr>
              <m:sty m:val="p"/>
            </m:rPr>
            <m:t>×</m:t>
          </m:r>
          <m:r>
            <m:t>D</m:t>
          </m:r>
          <m:sSup>
            <m:e>
              <m:r>
                <m:t>E</m:t>
              </m:r>
            </m:e>
            <m:sup>
              <m:r>
                <m:t>2</m:t>
              </m:r>
            </m:sup>
          </m:sSup>
          <m:r>
            <m:rPr>
              <m:sty m:val="p"/>
            </m:rPr>
            <m:t>)</m:t>
          </m:r>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empirical fits derived from ruminant data and are only valid over the digestibility range observed for ruminant diets. The 2019 Refinement (Vol.4 Ch.10, §10.2) documents that range as</w:t>
      </w:r>
      <w:r>
        <w:t xml:space="preserve"> </w:t>
      </w:r>
      <w:r>
        <w:rPr>
          <w:b/>
          <w:bCs/>
        </w:rPr>
        <w:t xml:space="preserve">45–85%</w:t>
      </w:r>
      <w:r>
        <w:t xml:space="preserve"> </w:t>
      </w:r>
      <w:r>
        <w:t xml:space="preserve">(45–55% for crop by-products and rangelands; 55–80% for managed pasture and forage-based diets; 72–85% for grain-based feedlot diets). Outside this range the fits extrapolate poorly:</w:t>
      </w:r>
      <w:r>
        <w:t xml:space="preserve"> </w:t>
      </w:r>
      <m:oMath>
        <m:r>
          <m:t>R</m:t>
        </m:r>
        <m:r>
          <m:t>E</m:t>
        </m:r>
        <m:r>
          <m:t>G</m:t>
        </m:r>
      </m:oMath>
      <w:r>
        <w:t xml:space="preserve"> </w:t>
      </w:r>
      <w:r>
        <w:t xml:space="preserve">passes through zero near</w:t>
      </w:r>
      <w:r>
        <w:t xml:space="preserve"> </w:t>
      </w:r>
      <m:oMath>
        <m:r>
          <m:t>D</m:t>
        </m:r>
        <m:r>
          <m:t>E</m:t>
        </m:r>
        <m:r>
          <m:rPr>
            <m:sty m:val="p"/>
          </m:rPr>
          <m:t>≈</m:t>
        </m:r>
        <m:r>
          <m:t>37.6</m:t>
        </m:r>
        <m:r>
          <m:rPr>
            <m:sty m:val="p"/>
          </m:rPr>
          <m:t>%</m:t>
        </m:r>
      </m:oMath>
      <w:r>
        <w:t xml:space="preserve">, and below that the</w:t>
      </w:r>
      <w:r>
        <w:t xml:space="preserve"> </w:t>
      </w:r>
      <m:oMath>
        <m:r>
          <m:rPr>
            <m:sty m:val="p"/>
          </m:rPr>
          <m:t>−</m:t>
        </m:r>
        <m:r>
          <m:t>37.4</m:t>
        </m:r>
        <m:r>
          <m:rPr>
            <m:sty m:val="p"/>
          </m:rPr>
          <m:t>/</m:t>
        </m:r>
        <m:r>
          <m:t>D</m:t>
        </m:r>
        <m:r>
          <m:t>E</m:t>
        </m:r>
      </m:oMath>
      <w:r>
        <w:t xml:space="preserve"> </w:t>
      </w:r>
      <w:r>
        <w:t xml:space="preserve">term dominates and drives</w:t>
      </w:r>
      <w:r>
        <w:t xml:space="preserve"> </w:t>
      </w:r>
      <m:oMath>
        <m:r>
          <m:t>R</m:t>
        </m:r>
        <m:r>
          <m:t>E</m:t>
        </m:r>
        <m:r>
          <m:t>G</m:t>
        </m:r>
      </m:oMath>
      <w:r>
        <w:t xml:space="preserve"> </w:t>
      </w:r>
      <w:r>
        <w:t xml:space="preserve">negative. Because the gross-energy equation (below) divides by</w:t>
      </w:r>
      <w:r>
        <w:t xml:space="preserve"> </w:t>
      </w:r>
      <m:oMath>
        <m:r>
          <m:t>R</m:t>
        </m:r>
        <m:r>
          <m:t>E</m:t>
        </m:r>
        <m:r>
          <m:t>M</m:t>
        </m:r>
      </m:oMath>
      <w:r>
        <w:t xml:space="preserve"> </w:t>
      </w:r>
      <w:r>
        <w:t xml:space="preserve">and</w:t>
      </w:r>
      <w:r>
        <w:t xml:space="preserve"> </w:t>
      </w:r>
      <m:oMath>
        <m:r>
          <m:t>R</m:t>
        </m:r>
        <m:r>
          <m:t>E</m:t>
        </m:r>
        <m:r>
          <m:t>G</m:t>
        </m:r>
      </m:oMath>
      <w:r>
        <w:t xml:space="preserve">, an unconstrained low-</w:t>
      </w:r>
      <m:oMath>
        <m:r>
          <m:t>D</m:t>
        </m:r>
        <m:r>
          <m:t>E</m:t>
        </m:r>
      </m:oMath>
      <w:r>
        <w:t xml:space="preserve"> </w:t>
      </w:r>
      <w:r>
        <w:t xml:space="preserve">draw makes gross energy — and hence emissions — diverge or even turn negative.</w:t>
      </w:r>
    </w:p>
    <w:p>
      <w:pPr>
        <w:pStyle w:val="BodyText"/>
      </w:pPr>
      <w:r>
        <w:t xml:space="preserve">To keep every Monte Carlo iteration inside the equations’ valid domain, sampled</w:t>
      </w:r>
      <w:r>
        <w:t xml:space="preserve"> </w:t>
      </w:r>
      <m:oMath>
        <m:r>
          <m:t>D</m:t>
        </m:r>
        <m:r>
          <m:t>E</m:t>
        </m:r>
      </m:oMath>
      <w:r>
        <w:t xml:space="preserve"> </w:t>
      </w:r>
      <w:r>
        <w:t xml:space="preserve">values are</w:t>
      </w:r>
      <w:r>
        <w:t xml:space="preserve"> </w:t>
      </w:r>
      <w:r>
        <w:rPr>
          <w:b/>
          <w:bCs/>
        </w:rPr>
        <w:t xml:space="preserve">clamped to</w:t>
      </w:r>
      <w:r>
        <w:rPr>
          <w:b/>
          <w:bCs/>
        </w:rPr>
        <w:t xml:space="preserve"> </w:t>
      </w:r>
      <m:oMath>
        <m:r>
          <m:rPr>
            <m:sty m:val="p"/>
          </m:rPr>
          <m:t>[</m:t>
        </m:r>
        <m:r>
          <m:t>45</m:t>
        </m:r>
        <m:r>
          <m:rPr>
            <m:sty m:val="p"/>
          </m:rPr>
          <m:t>,</m:t>
        </m:r>
        <m:r>
          <m:t>85</m:t>
        </m:r>
        <m:r>
          <m:rPr>
            <m:sty m:val="p"/>
          </m:rPr>
          <m:t>]</m:t>
        </m:r>
        <m:r>
          <m:rPr>
            <m:sty m:val="p"/>
          </m:rPr>
          <m:t>%</m:t>
        </m:r>
      </m:oMath>
      <w:r>
        <w:t xml:space="preserve"> </w:t>
      </w:r>
      <w:r>
        <w:t xml:space="preserve">at the sampling stage (</w:t>
      </w:r>
      <w:r>
        <w:rPr>
          <w:rStyle w:val="VerbatimChar"/>
        </w:rPr>
        <w:t xml:space="preserve">generate_mc_samples</w:t>
      </w:r>
      <w:r>
        <w:t xml:space="preserve">). This prevents non-physical iterations (the extreme positive and negative emission totals that would otherwise stretch the output histogram and pull the simulated mean above the 97.5</w:t>
      </w:r>
      <w:r>
        <w:t xml:space="preserve"> </w:t>
      </w:r>
      <w:r>
        <w:t xml:space="preserve">percentile) without materially shifting the central estimate, since the clamp only trims the small fraction of the</w:t>
      </w:r>
      <w:r>
        <w:t xml:space="preserve"> </w:t>
      </w:r>
      <m:oMath>
        <m:r>
          <m:t>D</m:t>
        </m:r>
        <m:r>
          <m:t>E</m:t>
        </m:r>
      </m:oMath>
      <w:r>
        <w:t xml:space="preserve"> </w:t>
      </w:r>
      <w:r>
        <w:t xml:space="preserve">distribution that falls outside the documented ruminant range. The earlier</w:t>
      </w:r>
      <w:r>
        <w:t xml:space="preserve"> </w:t>
      </w:r>
      <m:oMath>
        <m:r>
          <m:t>D</m:t>
        </m:r>
        <m:r>
          <m:t>E</m:t>
        </m:r>
        <m:r>
          <m:rPr>
            <m:sty m:val="p"/>
          </m:rPr>
          <m:t>&gt;</m:t>
        </m:r>
        <m:r>
          <m:t>0</m:t>
        </m:r>
      </m:oMath>
      <w:r>
        <w:t xml:space="preserve"> </w:t>
      </w:r>
      <w:r>
        <w:t xml:space="preserve">check is retained as defence-in-depth.</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2"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2"/>
    <w:bookmarkStart w:id="23"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3"/>
    <w:bookmarkStart w:id="24"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4"/>
    <w:bookmarkStart w:id="25"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5"/>
    <w:bookmarkStart w:id="26"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w:t>
      </w: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26"/>
    <w:bookmarkStart w:id="27"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27"/>
    <w:bookmarkStart w:id="28"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 in the tool,</w:t>
      </w:r>
      <w:r>
        <w:t xml:space="preserve"> </w:t>
      </w:r>
      <w:r>
        <w:t xml:space="preserve"> </w:t>
      </w:r>
      <w:r>
        <w:t xml:space="preserve">may be set equal to zero in those climate cases.</w:t>
      </w:r>
    </w:p>
    <w:bookmarkEnd w:id="28"/>
    <w:bookmarkStart w:id="29"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29"/>
    <w:bookmarkEnd w:id="30"/>
    <w:bookmarkStart w:id="36" w:name="monte-carlo-uncertainty-analysis"/>
    <w:p>
      <w:pPr>
        <w:pStyle w:val="Heading1"/>
      </w:pPr>
      <w:r>
        <w:t xml:space="preserve">Monte Carlo Uncertainty Analysis</w:t>
      </w:r>
    </w:p>
    <w:bookmarkStart w:id="31"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2"/>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2"/>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1"/>
    <w:bookmarkStart w:id="32"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2"/>
    <w:bookmarkStart w:id="33"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3"/>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3"/>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3"/>
    <w:bookmarkStart w:id="34"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4"/>
        </w:numPr>
      </w:pPr>
      <w:r>
        <w:t xml:space="preserve">Sample all parameters from their distributions (with correlation structure if supplied).</w:t>
      </w:r>
    </w:p>
    <w:p>
      <w:pPr>
        <w:pStyle w:val="Compact"/>
        <w:numPr>
          <w:ilvl w:val="0"/>
          <w:numId w:val="1004"/>
        </w:numPr>
      </w:pPr>
      <w:r>
        <w:t xml:space="preserve">For each cattle sub-category</w:t>
      </w:r>
      <w:r>
        <w:t xml:space="preserve"> </w:t>
      </w:r>
      <m:oMath>
        <m:r>
          <m:t>k</m:t>
        </m:r>
      </m:oMath>
      <w:r>
        <w:t xml:space="preserve">:</w:t>
      </w:r>
    </w:p>
    <w:p>
      <w:pPr>
        <w:pStyle w:val="Compact"/>
        <w:numPr>
          <w:ilvl w:val="1"/>
          <w:numId w:val="1005"/>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5"/>
        </w:numPr>
      </w:pPr>
      <w:r>
        <w:t xml:space="preserve">Compute emission totals for all six pathways.</w:t>
      </w:r>
    </w:p>
    <w:p>
      <w:pPr>
        <w:pStyle w:val="Compact"/>
        <w:numPr>
          <w:ilvl w:val="0"/>
          <w:numId w:val="1004"/>
        </w:numPr>
      </w:pPr>
      <w:r>
        <w:t xml:space="preserve">Sum across all sub-categories to obtain national pathway totals and total CO</w:t>
      </w:r>
      <m:oMath>
        <m:sSub>
          <m:e>
            <m:r>
              <m:t>​</m:t>
            </m:r>
          </m:e>
          <m:sub>
            <m:r>
              <m:t>2</m:t>
            </m:r>
          </m:sub>
        </m:sSub>
      </m:oMath>
      <w:r>
        <w:t xml:space="preserve">eq.</w:t>
      </w:r>
    </w:p>
    <w:p>
      <w:pPr>
        <w:pStyle w:val="Compact"/>
        <w:numPr>
          <w:ilvl w:val="0"/>
          <w:numId w:val="1004"/>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4"/>
    <w:bookmarkStart w:id="35"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6"/>
        </w:numPr>
      </w:pPr>
      <w:r>
        <w:rPr>
          <w:b/>
          <w:bCs/>
        </w:rPr>
        <w:t xml:space="preserve">1,000 iterations</w:t>
      </w:r>
      <w:r>
        <w:t xml:space="preserve"> </w:t>
      </w:r>
      <w:r>
        <w:t xml:space="preserve">— suitable only for a quick test run to verify the model runs without errors. Do not report results from 1,000 iterations.</w:t>
      </w:r>
    </w:p>
    <w:p>
      <w:pPr>
        <w:pStyle w:val="Compact"/>
        <w:numPr>
          <w:ilvl w:val="0"/>
          <w:numId w:val="1006"/>
        </w:numPr>
      </w:pPr>
      <w:r>
        <w:rPr>
          <w:b/>
          <w:bCs/>
        </w:rPr>
        <w:t xml:space="preserve">10,000 iterations</w:t>
      </w:r>
      <w:r>
        <w:t xml:space="preserve"> </w:t>
      </w:r>
      <w:r>
        <w:t xml:space="preserve">— minimum recommended for any result intended for use. Convergence is generally adequate for inventories with up to 5 sub-categories and 30 parameters.</w:t>
      </w:r>
    </w:p>
    <w:p>
      <w:pPr>
        <w:pStyle w:val="Compact"/>
        <w:numPr>
          <w:ilvl w:val="0"/>
          <w:numId w:val="1006"/>
        </w:numPr>
      </w:pPr>
      <w:r>
        <w:rPr>
          <w:b/>
          <w:bCs/>
        </w:rPr>
        <w:t xml:space="preserve">25,000–30,000 iterations</w:t>
      </w:r>
      <w:r>
        <w:t xml:space="preserve"> </w:t>
      </w:r>
      <w:r>
        <w:t xml:space="preserve">— recommended for final reporting, especially when correlations are enabled or the inventory has many sub-categories or asymmetric distributions.</w:t>
      </w:r>
    </w:p>
    <w:p>
      <w:pPr>
        <w:pStyle w:val="Compact"/>
        <w:numPr>
          <w:ilvl w:val="0"/>
          <w:numId w:val="1006"/>
        </w:numPr>
      </w:pPr>
      <w:r>
        <w:rPr>
          <w:b/>
          <w:bCs/>
        </w:rPr>
        <w:t xml:space="preserve">50,000 iterations</w:t>
      </w:r>
      <w:r>
        <w:t xml:space="preserve"> </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5"/>
    <w:bookmarkEnd w:id="36"/>
    <w:bookmarkStart w:id="41"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37"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 it does not assume a normal distribution and is therefore valid for asymmetric emission distributions.</w:t>
      </w:r>
    </w:p>
    <w:bookmarkEnd w:id="37"/>
    <w:bookmarkStart w:id="38"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38"/>
    <w:bookmarkStart w:id="39"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it is no longer surfaced in any user-facing display — IPCC Annex 7 expects MoE%, not CV%. It is undefined (reported as NA) when the mean emission is zero (e.g. pasture N</w:t>
      </w:r>
      <m:oMath>
        <m:sSub>
          <m:e>
            <m:r>
              <m:t>​</m:t>
            </m:r>
          </m:e>
          <m:sub>
            <m:r>
              <m:t>2</m:t>
            </m:r>
          </m:sub>
        </m:sSub>
      </m:oMath>
      <w:r>
        <w:t xml:space="preserve">O for fully housed systems).</w:t>
      </w:r>
    </w:p>
    <w:bookmarkEnd w:id="39"/>
    <w:bookmarkStart w:id="40"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0"/>
    <w:bookmarkEnd w:id="41"/>
    <w:bookmarkStart w:id="42"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7"/>
        </w:numPr>
      </w:pPr>
      <w:r>
        <w:rPr>
          <w:b/>
          <w:bCs/>
        </w:rPr>
        <w:t xml:space="preserve">Combined run</w:t>
      </w:r>
      <w:r>
        <w:t xml:space="preserve"> </w:t>
      </w:r>
      <w:r>
        <w:t xml:space="preserve">— all parameters varied according to their distributions. This is the primary result.</w:t>
      </w:r>
    </w:p>
    <w:p>
      <w:pPr>
        <w:pStyle w:val="Compact"/>
        <w:numPr>
          <w:ilvl w:val="0"/>
          <w:numId w:val="1007"/>
        </w:numPr>
      </w:pPr>
      <w:r>
        <w:rPr>
          <w:b/>
          <w:bCs/>
        </w:rPr>
        <w:t xml:space="preserve">AD-only run</w:t>
      </w:r>
      <w:r>
        <w:t xml:space="preserve"> </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7"/>
        </w:numPr>
      </w:pPr>
      <w:r>
        <w:rPr>
          <w:b/>
          <w:bCs/>
        </w:rPr>
        <w:t xml:space="preserve">EF-only run</w:t>
      </w:r>
      <w:r>
        <w:t xml:space="preserve"> </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animal population surveys (AD) or on refining emission factor estimates (EF).</w:t>
      </w:r>
    </w:p>
    <w:p>
      <w:pPr>
        <w:pStyle w:val="BodyText"/>
      </w:pPr>
      <w:r>
        <w:t xml:space="preserve"> </w:t>
      </w:r>
      <w:r>
        <w:t xml:space="preserve">The AD-only run pins ALL coefficient-side variance, not only the Parameters-sheet rows. The per-MMS sample matrices used for MCF, EF3, Frac_GasMS, Frac_LeachMS, and (when supplied) the MMS-allocation</w:t>
      </w:r>
      <w:r>
        <w:t xml:space="preserve"> </w:t>
      </w:r>
      <m:oMath>
        <m:r>
          <m:t>M</m:t>
        </m:r>
        <m:sSub>
          <m:e>
            <m:r>
              <m:t>S</m:t>
            </m:r>
          </m:e>
          <m:sub>
            <m:r>
              <m:t>s</m:t>
            </m:r>
          </m:sub>
        </m:sSub>
      </m:oMath>
      <w:r>
        <w:t xml:space="preserve"> </w:t>
      </w:r>
      <w:r>
        <w:t xml:space="preserve">fractions are nulled out for the AD-only sub-run so iteration-to-iteration variation in those quantities cannot leak into the AD-only result. As a result, AD-only CV equals CV(N) for every emission source in a single-sub-category inventory and varies across sources only through the Herfindahl-like concentration of each source over multiple sub-categories.</w:t>
      </w:r>
    </w:p>
    <w:p>
      <w:r>
        <w:br w:type="page"/>
      </w:r>
    </w:p>
    <w:bookmarkEnd w:id="42"/>
    <w:bookmarkStart w:id="46"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3"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3"/>
    <w:bookmarkStart w:id="44"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08"/>
        </w:numPr>
      </w:pPr>
      <w:r>
        <w:t xml:space="preserve">Replace all input columns and the output column with their ranks.</w:t>
      </w:r>
    </w:p>
    <w:p>
      <w:pPr>
        <w:pStyle w:val="Compact"/>
        <w:numPr>
          <w:ilvl w:val="0"/>
          <w:numId w:val="1008"/>
        </w:numPr>
      </w:pPr>
      <w:r>
        <w:t xml:space="preserve">For each parameter</w:t>
      </w:r>
      <w:r>
        <w:t xml:space="preserve"> </w:t>
      </w:r>
      <m:oMath>
        <m:r>
          <m:t>j</m:t>
        </m:r>
      </m:oMath>
      <w:r>
        <w:t xml:space="preserve">:</w:t>
      </w:r>
    </w:p>
    <w:p>
      <w:pPr>
        <w:pStyle w:val="Compact"/>
        <w:numPr>
          <w:ilvl w:val="1"/>
          <w:numId w:val="1009"/>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09"/>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09"/>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4"/>
    <w:bookmarkStart w:id="45"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0"/>
        </w:numPr>
      </w:pPr>
      <w:r>
        <w:rPr>
          <w:b/>
          <w:bCs/>
        </w:rPr>
        <w:t xml:space="preserve">Green bars</w:t>
      </w:r>
      <w:r>
        <w:t xml:space="preserve"> </w:t>
      </w:r>
      <w:r>
        <w:t xml:space="preserve">(positive coefficient) — increasing this parameter increases total emissions; reduction in uncertainty would directly reduce total emission uncertainty.</w:t>
      </w:r>
    </w:p>
    <w:p>
      <w:pPr>
        <w:pStyle w:val="Compact"/>
        <w:numPr>
          <w:ilvl w:val="0"/>
          <w:numId w:val="1010"/>
        </w:numPr>
      </w:pPr>
      <w:r>
        <w:rPr>
          <w:b/>
          <w:bCs/>
        </w:rPr>
        <w:t xml:space="preserve">Red bars</w:t>
      </w:r>
      <w:r>
        <w:t xml:space="preserve"> </w:t>
      </w:r>
      <w:r>
        <w:t xml:space="preserve">(negative coefficient) — increasing this parameter decreases total emissions.</w:t>
      </w:r>
    </w:p>
    <w:p>
      <w:pPr>
        <w:pStyle w:val="Compact"/>
        <w:numPr>
          <w:ilvl w:val="0"/>
          <w:numId w:val="1010"/>
        </w:numPr>
      </w:pPr>
      <w:r>
        <w:rPr>
          <w:b/>
          <w:bCs/>
        </w:rPr>
        <w:t xml:space="preserve">Dark (slate) bars</w:t>
      </w:r>
      <w:r>
        <w:t xml:space="preserve"> </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0"/>
        </w:numPr>
      </w:pPr>
      <w:r>
        <w:rPr>
          <w:b/>
          <w:bCs/>
        </w:rPr>
        <w:t xml:space="preserve">Bright (green/red) bars</w:t>
      </w:r>
      <w:r>
        <w:t xml:space="preserve"> </w:t>
      </w:r>
      <w:r>
        <w:t xml:space="preserve">— user-reducible parameters where better national data could meaningfully reduce inventory uncertainty.</w:t>
      </w:r>
    </w:p>
    <w:p>
      <w:r>
        <w:br w:type="page"/>
      </w:r>
    </w:p>
    <w:bookmarkEnd w:id="45"/>
    <w:bookmarkEnd w:id="46"/>
    <w:bookmarkStart w:id="53" w:name="correlation-structure"/>
    <w:p>
      <w:pPr>
        <w:pStyle w:val="Heading1"/>
      </w:pPr>
      <w:r>
        <w:t xml:space="preserve">Correlation Structure</w:t>
      </w:r>
    </w:p>
    <w:bookmarkStart w:id="47"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prevent the silent fall-back to</w:t>
      </w:r>
      <w:r>
        <w:t xml:space="preserve">no correlations’’ that would otherwise occur when a mode is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47"/>
    <w:bookmarkStart w:id="48"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48"/>
    <w:bookmarkStart w:id="49"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was set to</w:t>
      </w:r>
      <w:r>
        <w:t xml:space="preserve"> </w:t>
      </w:r>
      <m:oMath>
        <m:r>
          <m:rPr>
            <m:sty m:val="p"/>
          </m:rPr>
          <m:t>−</m:t>
        </m:r>
        <m:r>
          <m:t>0.50</m:t>
        </m:r>
      </m:oMath>
      <w:r>
        <w:t xml:space="preserve"> </w:t>
      </w:r>
      <w:r>
        <w:t xml:space="preserve">(cross-diet meta-analyses cited in Section ``Activity Data Correlations’’); Cfi</w:t>
      </w:r>
      <w:r>
        <w:t xml:space="preserve"> </w:t>
      </w:r>
      <m:oMath>
        <m:r>
          <m:rPr>
            <m:sty m:val="p"/>
          </m:rPr>
          <m:t>↔</m:t>
        </m:r>
      </m:oMath>
      <w:r>
        <w:t xml:space="preserve"> </w:t>
      </w:r>
      <w:r>
        <w:t xml:space="preserve">Ca was set to</w:t>
      </w:r>
      <w:r>
        <w:t xml:space="preserve"> </w:t>
      </w:r>
      <m:oMath>
        <m:r>
          <m:t>0.30</m:t>
        </m:r>
      </m:oMath>
      <w:r>
        <w:t xml:space="preserve"> </w:t>
      </w:r>
      <w:r>
        <w:t xml:space="preserve">rather than the previously assumed</w:t>
      </w:r>
      <w:r>
        <w:t xml:space="preserve"> </w:t>
      </w:r>
      <m:oMath>
        <m:r>
          <m:t>0.60</m:t>
        </m:r>
      </m:oMath>
      <w:r>
        <w:t xml:space="preserve">, recognising that Cfi and Ca are independent inputs in IPCC Eq 10.3 / 10.4 rather than jointly estimated; BW</w:t>
      </w:r>
      <w:r>
        <w:t xml:space="preserve"> </w:t>
      </w:r>
      <m:oMath>
        <m:r>
          <m:rPr>
            <m:sty m:val="p"/>
          </m:rPr>
          <m:t>↔</m:t>
        </m:r>
      </m:oMath>
      <w:r>
        <w:t xml:space="preserve"> </w:t>
      </w:r>
      <w:r>
        <w:t xml:space="preserve">MW was set to</w:t>
      </w:r>
      <w:r>
        <w:t xml:space="preserve"> </w:t>
      </w:r>
      <m:oMath>
        <m:r>
          <m:t>0.50</m:t>
        </m:r>
      </m:oMath>
      <w:r>
        <w:t xml:space="preserve"> </w:t>
      </w:r>
      <w:r>
        <w:t xml:space="preserve">rather than</w:t>
      </w:r>
      <w:r>
        <w:t xml:space="preserve"> </w:t>
      </w:r>
      <m:oMath>
        <m:r>
          <m:t>0.85</m:t>
        </m:r>
      </m:oMath>
      <w:r>
        <w:t xml:space="preserve"> </w:t>
      </w:r>
      <w:r>
        <w:t xml:space="preserve">to reflect the typical mixed-source data provenance (BW from the national census, MW from a breed reference);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to capture biological linkages between herd-population and feed-quality parameters; and a Milk</w:t>
      </w:r>
      <w:r>
        <w:t xml:space="preserve"> </w:t>
      </w:r>
      <m:oMath>
        <m:r>
          <m:rPr>
            <m:sty m:val="p"/>
          </m:rPr>
          <m:t>↔</m:t>
        </m:r>
      </m:oMath>
      <w:r>
        <w:t xml:space="preserve"> </w:t>
      </w:r>
      <w:r>
        <w:t xml:space="preserve">pct_pregnant pair was not included because the sign is ambiguous between per-cow genetic and per-herd management interpretations. The resulting matrix is positive-definite without nearest-PD repair.</w:t>
      </w:r>
    </w:p>
    <w:bookmarkEnd w:id="49"/>
    <w:bookmarkStart w:id="50"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0"/>
    <w:bookmarkStart w:id="51"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 which is not the year-to-year joint uncertainty Approach 2 is meant to capture —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1"/>
    <w:bookmarkStart w:id="52"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Activity data (</w:t>
      </w:r>
      <m:oMath>
        <m:r>
          <m:t>N</m:t>
        </m:r>
      </m:oMath>
      <w:r>
        <w:t xml:space="preserve">,</w:t>
      </w:r>
      <w:r>
        <w:t xml:space="preserve"> </w:t>
      </w:r>
      <m:oMath>
        <m:r>
          <m:t>B</m:t>
        </m:r>
        <m:r>
          <m:t>W</m:t>
        </m:r>
      </m:oMath>
      <w:r>
        <w:t xml:space="preserve">,</w:t>
      </w:r>
      <w:r>
        <w:t xml:space="preserve"> </w:t>
      </w:r>
      <m:oMath>
        <m:r>
          <m:t>W</m:t>
        </m:r>
        <m:r>
          <m:t>G</m:t>
        </m:r>
      </m:oMath>
      <w:r>
        <w:t xml:space="preserve">, Milk,</w:t>
      </w:r>
      <w:r>
        <w:t xml:space="preserve"> </w:t>
      </w:r>
      <w:r>
        <w:t xml:space="preserve">) is re-sampled fresh each year regardless of this setting:</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2"/>
    <w:bookmarkEnd w:id="53"/>
    <w:bookmarkStart w:id="54"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Pass / Warn / Fail thresholds for benchmark deviation apply</w:t>
      </w:r>
      <w:r>
        <w:t xml:space="preserve"> </w:t>
      </w:r>
      <w:r>
        <w:t xml:space="preserve">, the single parameter for which the tool holds a defensible continental IPCC default lookup: Vol.4 Ch.10 Annex Table 10A.1 (dairy cows), Annex Table 10A.2 (other cattle), or Annex Table 10A.3 (buffalo). Earlier versions of the tool also flagged deviations on Milk, MW, DE, Ym, and Bo against heuristic mid-points derived from the same Annex 10A illustrative tables; these were removed (Andreas Wilkes review, May 2026) because those mid-points were not directly citable to a published IPCC default and a reviewer auditing the QA tab could not locate them in the guidelines. The</w:t>
      </w:r>
      <w:r>
        <w:t xml:space="preserve"> </w:t>
      </w:r>
      <w:r>
        <w:t xml:space="preserve"> </w:t>
      </w:r>
      <w:r>
        <w:t xml:space="preserve">column of</w:t>
      </w:r>
      <w:r>
        <w:t xml:space="preserve"> </w:t>
      </w:r>
      <w:r>
        <w:t xml:space="preserve"> </w:t>
      </w:r>
      <w:r>
        <w:t xml:space="preserve">is still used to auto-fill missing values and is sourced from Vol.4 Ch.10 (Tables 10.4, 10.5, 10.7, 10.11, 10.12, 10.16(a), 10.17, 10.21, 10.22, 10.23) and Vol.4 Ch.11 (Tables 11.1, 11.3) — it is just no longer used as a deviation benchmark for parameters other than BW. Reinstating per-parameter benchmarks properly would require a multi-dimensional table indexed by continent, IPCC version (2006 vs 2019R), production system, and animal sub-category; that is deferred to a future release.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4"/>
    <w:bookmarkStart w:id="60" w:name="verification-of-calculation-accuracy"/>
    <w:p>
      <w:pPr>
        <w:pStyle w:val="Heading1"/>
      </w:pPr>
      <w:r>
        <w:t xml:space="preserve">Verification of Calculation Accuracy</w:t>
      </w:r>
    </w:p>
    <w:p>
      <w:pPr>
        <w:pStyle w:val="FirstParagraph"/>
      </w:pPr>
      <w:r>
        <w:t xml:space="preserve">The previous section describes the checks the tool applies to the user’s</w:t>
      </w:r>
      <w:r>
        <w:t xml:space="preserve"> </w:t>
      </w:r>
      <w:r>
        <w:t xml:space="preserve">. This section describes how the tool’s</w:t>
      </w:r>
      <w:r>
        <w:t xml:space="preserve"> </w:t>
      </w:r>
      <w:r>
        <w:t xml:space="preserve"> </w:t>
      </w:r>
      <w:r>
        <w:t xml:space="preserve">— the implementation of the IPCC equation chain and the Monte Carlo sampler — has itself been verified to produce correct numbers. Input validation and calculation verification are complementary: the former guards against bad data going in, the latter guarantees the equations are implemented correctly.</w:t>
      </w:r>
    </w:p>
    <w:bookmarkStart w:id="55" w:name="X4783eb254dc3b2061d58bfe305eaa5ea4dc7341"/>
    <w:p>
      <w:pPr>
        <w:pStyle w:val="Heading2"/>
      </w:pPr>
      <w:r>
        <w:t xml:space="preserve">Equation-chain verification against manual calculation</w:t>
      </w:r>
    </w:p>
    <w:p>
      <w:pPr>
        <w:pStyle w:val="FirstParagraph"/>
      </w:pPr>
      <w:r>
        <w:t xml:space="preserve">The core of the verification is a fixed, fully worked test case. For a single representative animal with a complete set of fixed parameters, every intermediate quantity in the IPCC Tier 2 chain was computed independently by hand and in a spreadsheet, directly from the published equations: the net-energy terms (</w:t>
      </w:r>
      <m:oMath>
        <m:r>
          <m:t>N</m:t>
        </m:r>
        <m:sSub>
          <m:e>
            <m:r>
              <m:t>E</m:t>
            </m:r>
          </m:e>
          <m:sub>
            <m:r>
              <m:t>m</m:t>
            </m:r>
          </m:sub>
        </m:sSub>
      </m:oMath>
      <w:r>
        <w:t xml:space="preserve">,</w:t>
      </w:r>
      <w:r>
        <w:t xml:space="preserve"> </w:t>
      </w:r>
      <m:oMath>
        <m:r>
          <m:t>N</m:t>
        </m:r>
        <m:sSub>
          <m:e>
            <m:r>
              <m:t>E</m:t>
            </m:r>
          </m:e>
          <m:sub>
            <m:r>
              <m:t>a</m:t>
            </m:r>
          </m:sub>
        </m:sSub>
      </m:oMath>
      <w:r>
        <w:t xml:space="preserve">,</w:t>
      </w:r>
      <w:r>
        <w:t xml:space="preserve"> </w:t>
      </w:r>
      <m:oMath>
        <m:r>
          <m:t>N</m:t>
        </m:r>
        <m:sSub>
          <m:e>
            <m:r>
              <m:t>E</m:t>
            </m:r>
          </m:e>
          <m:sub>
            <m:r>
              <m:t>g</m:t>
            </m:r>
          </m:sub>
        </m:sSub>
      </m:oMath>
      <w:r>
        <w:t xml:space="preserve">,</w:t>
      </w:r>
      <w:r>
        <w:t xml:space="preserve"> </w:t>
      </w:r>
      <m:oMath>
        <m:r>
          <m:t>N</m:t>
        </m:r>
        <m:sSub>
          <m:e>
            <m:r>
              <m:t>E</m:t>
            </m:r>
          </m:e>
          <m:sub>
            <m:r>
              <m:t>l</m:t>
            </m:r>
          </m:sub>
        </m:sSub>
      </m:oMath>
      <w:r>
        <w:t xml:space="preserve">,</w:t>
      </w:r>
      <w:r>
        <w:t xml:space="preserve"> </w:t>
      </w:r>
      <m:oMath>
        <m:r>
          <m:t>N</m:t>
        </m:r>
        <m:sSub>
          <m:e>
            <m:r>
              <m:t>E</m:t>
            </m:r>
          </m:e>
          <m:sub>
            <m:r>
              <m:t>w</m:t>
            </m:r>
          </m:sub>
        </m:sSub>
      </m:oMath>
      <w:r>
        <w:t xml:space="preserve">,</w:t>
      </w:r>
      <w:r>
        <w:t xml:space="preserve"> </w:t>
      </w:r>
      <m:oMath>
        <m:r>
          <m:t>N</m:t>
        </m:r>
        <m:sSub>
          <m:e>
            <m:r>
              <m:t>E</m:t>
            </m:r>
          </m:e>
          <m:sub>
            <m:r>
              <m:t>p</m:t>
            </m:r>
          </m:sub>
        </m:sSub>
      </m:oMath>
      <w:r>
        <w:t xml:space="preserve">), the energy ratios (</w:t>
      </w:r>
      <m:oMath>
        <m:r>
          <m:t>R</m:t>
        </m:r>
        <m:r>
          <m:t>E</m:t>
        </m:r>
        <m:r>
          <m:t>M</m:t>
        </m:r>
      </m:oMath>
      <w:r>
        <w:t xml:space="preserve">,</w:t>
      </w:r>
      <w:r>
        <w:t xml:space="preserve"> </w:t>
      </w:r>
      <m:oMath>
        <m:r>
          <m:t>R</m:t>
        </m:r>
        <m:r>
          <m:t>E</m:t>
        </m:r>
        <m:r>
          <m:t>G</m:t>
        </m:r>
      </m:oMath>
      <w:r>
        <w:t xml:space="preserve">), gross energy intake (</w:t>
      </w:r>
      <m:oMath>
        <m:r>
          <m:t>G</m:t>
        </m:r>
        <m:r>
          <m:t>E</m:t>
        </m:r>
      </m:oMath>
      <w:r>
        <w:t xml:space="preserve">), the enteric emission factor (</w:t>
      </w:r>
      <m:oMath>
        <m:r>
          <m:t>E</m:t>
        </m:r>
        <m:sSub>
          <m:e>
            <m:r>
              <m:t>F</m:t>
            </m:r>
          </m:e>
          <m:sub>
            <m:r>
              <m:t>1</m:t>
            </m:r>
          </m:sub>
        </m:sSub>
      </m:oMath>
      <w:r>
        <w:t xml:space="preserve">), volatile-solid excretion (</w:t>
      </w:r>
      <m:oMath>
        <m:r>
          <m:t>V</m:t>
        </m:r>
        <m:r>
          <m:t>S</m:t>
        </m:r>
      </m:oMath>
      <w:r>
        <w:t xml:space="preserve">), nitrogen excretion (</w:t>
      </w:r>
      <m:oMath>
        <m:sSub>
          <m:e>
            <m:r>
              <m:t>N</m:t>
            </m:r>
          </m:e>
          <m:sub>
            <m:r>
              <m:rPr>
                <m:nor/>
                <m:sty m:val="p"/>
              </m:rPr>
              <m:t>ex</m:t>
            </m:r>
          </m:sub>
        </m:sSub>
      </m:oMath>
      <w:r>
        <w:t xml:space="preserve">), and all four manure- and pasture-N</w:t>
      </w:r>
      <m:oMath>
        <m:sSub>
          <m:e>
            <m:r>
              <m:t>​</m:t>
            </m:r>
          </m:e>
          <m:sub>
            <m:r>
              <m:t>2</m:t>
            </m:r>
          </m:sub>
        </m:sSub>
      </m:oMath>
      <w:r>
        <w:t xml:space="preserve">O pathways, through to the inventory totals (total CH</w:t>
      </w:r>
      <m:oMath>
        <m:sSub>
          <m:e>
            <m:r>
              <m:t>​</m:t>
            </m:r>
          </m:e>
          <m:sub>
            <m:r>
              <m:t>4</m:t>
            </m:r>
          </m:sub>
        </m:sSub>
      </m:oMath>
      <w:r>
        <w:t xml:space="preserve">, total N</w:t>
      </w:r>
      <m:oMath>
        <m:sSub>
          <m:e>
            <m:r>
              <m:t>​</m:t>
            </m:r>
          </m:e>
          <m:sub>
            <m:r>
              <m:t>2</m:t>
            </m:r>
          </m:sub>
        </m:sSub>
      </m:oMath>
      <w:r>
        <w:t xml:space="preserve">O, and total CO</w:t>
      </w:r>
      <m:oMath>
        <m:sSub>
          <m:e>
            <m:r>
              <m:t>​</m:t>
            </m:r>
          </m:e>
          <m:sub>
            <m:r>
              <m:t>2</m:t>
            </m:r>
          </m:sub>
        </m:sSub>
      </m:oMath>
      <w:r>
        <w:t xml:space="preserve">eq under each GWP basis).</w:t>
      </w:r>
    </w:p>
    <w:p>
      <w:pPr>
        <w:pStyle w:val="BodyText"/>
      </w:pPr>
      <w:r>
        <w:t xml:space="preserve">The tool’s computed value for each of these quantities must match the independently calculated reference to a relative tolerance of</w:t>
      </w:r>
      <w:r>
        <w:t xml:space="preserve"> </w:t>
      </w:r>
      <m:oMath>
        <m:r>
          <m:t>1</m:t>
        </m:r>
        <m:r>
          <m:rPr>
            <m:sty m:val="p"/>
          </m:rPr>
          <m:t>×</m:t>
        </m:r>
        <m:sSup>
          <m:e>
            <m:r>
              <m:t>10</m:t>
            </m:r>
          </m:e>
          <m:sup>
            <m:r>
              <m:rPr>
                <m:sty m:val="p"/>
              </m:rPr>
              <m:t>−</m:t>
            </m:r>
            <m:r>
              <m:t>4</m:t>
            </m:r>
          </m:sup>
        </m:sSup>
      </m:oMath>
      <w:r>
        <w:t xml:space="preserve">. These comparisons are encoded as automated assertions that run on every build, so any future change to the calculation code that altered a result — even slightly — would be caught immediately. This is the primary guarantee that the equations in Section</w:t>
      </w:r>
      <w:r>
        <w:t xml:space="preserve"> </w:t>
      </w:r>
      <w:r>
        <w:t xml:space="preserve">“IPCC Tier 2 Emission Equations”</w:t>
      </w:r>
      <w:r>
        <w:t xml:space="preserve"> </w:t>
      </w:r>
      <w:r>
        <w:t xml:space="preserve">are implemented exactly as written.</w:t>
      </w:r>
    </w:p>
    <w:bookmarkEnd w:id="55"/>
    <w:bookmarkStart w:id="56" w:name="X3af40e86e6c3533a97769c998397f52a172e7fb"/>
    <w:p>
      <w:pPr>
        <w:pStyle w:val="Heading2"/>
      </w:pPr>
      <w:r>
        <w:t xml:space="preserve">Cross-comparison with an independent Monte Carlo package</w:t>
      </w:r>
    </w:p>
    <w:p>
      <w:pPr>
        <w:pStyle w:val="FirstParagraph"/>
      </w:pPr>
      <w:r>
        <w:t xml:space="preserve">Beyond the single worked case, the tool has been exercised on real Tier 2 national cattle inventories and its results compared against two independent references: (i) manual re-calculation of the per-head emission factors and inventory totals, and (ii) an independent commercial Monte Carlo package configured with the same parameters, distributions and iteration count.</w:t>
      </w:r>
    </w:p>
    <w:p>
      <w:pPr>
        <w:pStyle w:val="BodyText"/>
      </w:pPr>
      <w:r>
        <w:t xml:space="preserve">On these real inventories the tool reproduced the deterministic emission totals from the manual calculation, and produced a 95% uncertainty interval consistent with the independent Monte Carlo package to within the sampling variability expected between two stochastic runs.</w:t>
      </w:r>
      <w:r>
        <w:t xml:space="preserve"> </w:t>
      </w:r>
      <w:r>
        <w:t xml:space="preserve">%% OPTIONAL: if you wish to quote a specific figure, insert it here, e.g.</w:t>
      </w:r>
      <w:r>
        <w:t xml:space="preserve"> </w:t>
      </w:r>
      <w:r>
        <w:t xml:space="preserve">%%</w:t>
      </w:r>
      <w:r>
        <w:t xml:space="preserve"> </w:t>
      </w:r>
      <w:r>
        <w:t xml:space="preserve">“(agreement within X% on the 95% margin of error for the manure-N2O pathway)”</w:t>
      </w:r>
      <w:r>
        <w:t xml:space="preserve">.</w:t>
      </w:r>
      <w:r>
        <w:t xml:space="preserve"> </w:t>
      </w:r>
      <w:r>
        <w:t xml:space="preserve">A regression guard retained in the automated test suite keeps the manure-N</w:t>
      </w:r>
      <m:oMath>
        <m:sSub>
          <m:e>
            <m:r>
              <m:t>​</m:t>
            </m:r>
          </m:e>
          <m:sub>
            <m:r>
              <m:t>2</m:t>
            </m:r>
          </m:sub>
        </m:sSub>
      </m:oMath>
      <w:r>
        <w:t xml:space="preserve">O pathway within the range established by this cross-comparison, so a future code change cannot silently introduce a large (e.g. order-of-magnitude) error in that pathway.</w:t>
      </w:r>
    </w:p>
    <w:bookmarkEnd w:id="56"/>
    <w:bookmarkStart w:id="57" w:name="automated-regression-test-suite"/>
    <w:p>
      <w:pPr>
        <w:pStyle w:val="Heading2"/>
      </w:pPr>
      <w:r>
        <w:t xml:space="preserve">Automated regression test suite</w:t>
      </w:r>
    </w:p>
    <w:p>
      <w:pPr>
        <w:pStyle w:val="FirstParagraph"/>
      </w:pPr>
      <w:r>
        <w:t xml:space="preserve">The two verification activities above are part of a broader automated test suite (91 checks at the time of writing) that is run before each release and deployment. The checks are organised into seven groups:</w:t>
      </w:r>
    </w:p>
    <w:p>
      <w:pPr>
        <w:pStyle w:val="BodyText"/>
      </w:pPr>
      <w:r>
        <w:t xml:space="preserve">The full multi-sub-category inventory chain must pass all checks before the tool is published.</w:t>
      </w:r>
    </w:p>
    <w:bookmarkEnd w:id="57"/>
    <w:bookmarkStart w:id="58" w:name="X076c15e95af57cebd5bcd2a03dee00b5ab0420b"/>
    <w:p>
      <w:pPr>
        <w:pStyle w:val="Heading2"/>
      </w:pPr>
      <w:r>
        <w:t xml:space="preserve">Verification of IPCC default values and uncertainty ranges</w:t>
      </w:r>
    </w:p>
    <w:p>
      <w:pPr>
        <w:pStyle w:val="FirstParagraph"/>
      </w:pPr>
      <w:r>
        <w:t xml:space="preserve">Every IPCC default value and uncertainty range pre-loaded in the tool — the energy-equation coefficients, the methane conversion factor</w:t>
      </w:r>
      <w:r>
        <w:t xml:space="preserve"> </w:t>
      </w:r>
      <m:oMath>
        <m:sSub>
          <m:e>
            <m:r>
              <m:t>Y</m:t>
            </m:r>
          </m:e>
          <m:sub>
            <m:r>
              <m:t>m</m:t>
            </m:r>
          </m:sub>
        </m:sSub>
      </m:oMath>
      <w:r>
        <w:t xml:space="preserve">, the maximum methane producing capacity</w:t>
      </w:r>
      <w:r>
        <w:t xml:space="preserve"> </w:t>
      </w:r>
      <m:oMath>
        <m:sSub>
          <m:e>
            <m:r>
              <m:t>B</m:t>
            </m:r>
          </m:e>
          <m:sub>
            <m:r>
              <m:t>o</m:t>
            </m:r>
          </m:sub>
        </m:sSub>
      </m:oMath>
      <w:r>
        <w:t xml:space="preserve">, the manure-system MCF values, and the N</w:t>
      </w:r>
      <m:oMath>
        <m:sSub>
          <m:e>
            <m:r>
              <m:t>​</m:t>
            </m:r>
          </m:e>
          <m:sub>
            <m:r>
              <m:t>2</m:t>
            </m:r>
          </m:sub>
        </m:sSub>
      </m:oMath>
      <w:r>
        <w:t xml:space="preserve">O emission factors and volatilisation / leaching fractions (</w:t>
      </w:r>
      <m:oMath>
        <m:r>
          <m:t>E</m:t>
        </m:r>
        <m:sSub>
          <m:e>
            <m:r>
              <m:t>F</m:t>
            </m:r>
          </m:e>
          <m:sub>
            <m:r>
              <m:t>3</m:t>
            </m:r>
          </m:sub>
        </m:sSub>
      </m:oMath>
      <w:r>
        <w:t xml:space="preserve">,</w:t>
      </w:r>
      <w:r>
        <w:t xml:space="preserve"> </w:t>
      </w:r>
      <m:oMath>
        <m:r>
          <m:t>E</m:t>
        </m:r>
        <m:sSub>
          <m:e>
            <m:r>
              <m:t>F</m:t>
            </m:r>
          </m:e>
          <m:sub>
            <m:r>
              <m:t>4</m:t>
            </m:r>
          </m:sub>
        </m:sSub>
      </m:oMath>
      <w:r>
        <w:t xml:space="preserve">,</w:t>
      </w:r>
      <w:r>
        <w:t xml:space="preserve"> </w:t>
      </w:r>
      <m:oMath>
        <m:r>
          <m:t>E</m:t>
        </m:r>
        <m:sSub>
          <m:e>
            <m:r>
              <m:t>F</m:t>
            </m:r>
          </m:e>
          <m:sub>
            <m:r>
              <m:t>5</m:t>
            </m:r>
          </m:sub>
        </m:sSub>
      </m:oMath>
      <w:r>
        <w:t xml:space="preserve">, FracGASM, FracLEACH) — has been checked line-by-line against the IPCC 2019 Refinement source text (Volume 4, Chapter 10 and Chapter 11). This review confirmed the central values and corrected two pre-loaded uncertainty ranges (</w:t>
      </w:r>
      <m:oMath>
        <m:sSub>
          <m:e>
            <m:r>
              <m:t>B</m:t>
            </m:r>
          </m:e>
          <m:sub>
            <m:r>
              <m:t>o</m:t>
            </m:r>
          </m:sub>
        </m:sSub>
      </m:oMath>
      <w:r>
        <w:t xml:space="preserve"> </w:t>
      </w:r>
      <w:r>
        <w:t xml:space="preserve">and the pasture direct-N</w:t>
      </w:r>
      <m:oMath>
        <m:sSub>
          <m:e>
            <m:r>
              <m:t>​</m:t>
            </m:r>
          </m:e>
          <m:sub>
            <m:r>
              <m:t>2</m:t>
            </m:r>
          </m:sub>
        </m:sSub>
      </m:oMath>
      <w:r>
        <w:t xml:space="preserve">O factor</w:t>
      </w:r>
      <w:r>
        <w:t xml:space="preserve"> </w:t>
      </w:r>
      <m:oMath>
        <m:r>
          <m:t>E</m:t>
        </m:r>
        <m:sSub>
          <m:e>
            <m:r>
              <m:t>F</m:t>
            </m:r>
          </m:e>
          <m:sub>
            <m:r>
              <m:t>3</m:t>
            </m:r>
            <m:r>
              <m:rPr>
                <m:sty m:val="p"/>
              </m:rPr>
              <m:t>,</m:t>
            </m:r>
            <m:r>
              <m:rPr>
                <m:nor/>
                <m:sty m:val="p"/>
              </m:rPr>
              <m:t>PRP</m:t>
            </m:r>
          </m:sub>
        </m:sSub>
      </m:oMath>
      <w:r>
        <w:t xml:space="preserve">) to match the climate-specific ranges in Tables 10.16a and 11.1.</w:t>
      </w:r>
    </w:p>
    <w:bookmarkEnd w:id="58"/>
    <w:bookmarkStart w:id="59" w:name="reproducibility"/>
    <w:p>
      <w:pPr>
        <w:pStyle w:val="Heading2"/>
      </w:pPr>
      <w:r>
        <w:t xml:space="preserve">Reproducibility</w:t>
      </w:r>
    </w:p>
    <w:p>
      <w:pPr>
        <w:pStyle w:val="FirstParagraph"/>
      </w:pPr>
      <w:r>
        <w:t xml:space="preserve">Each simulation is driven by an explicit random seed, so any run can be reproduced exactly by re-supplying the same inputs and seed. The convergence guidance in Section</w:t>
      </w:r>
      <w:r>
        <w:t xml:space="preserve"> </w:t>
      </w:r>
      <w:r>
        <w:t xml:space="preserve">“Recommended Iteration Count and Convergence”</w:t>
      </w:r>
      <w:r>
        <w:t xml:space="preserve"> </w:t>
      </w:r>
      <w:r>
        <w:t xml:space="preserve">— re-running with a second seed and checking that the 95% margin of error is stable — lets a user confirm that a reported result is converged rather than an artefact of a particular random draw.</w:t>
      </w:r>
    </w:p>
    <w:p>
      <w:r>
        <w:br w:type="page"/>
      </w:r>
    </w:p>
    <w:bookmarkEnd w:id="59"/>
    <w:bookmarkEnd w:id="60"/>
    <w:bookmarkStart w:id="64"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61"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1"/>
        </w:numPr>
      </w:pPr>
      <w:r>
        <w:t xml:space="preserve">Activity-data (population) uncertainty (Column E);</w:t>
      </w:r>
    </w:p>
    <w:p>
      <w:pPr>
        <w:pStyle w:val="Compact"/>
        <w:numPr>
          <w:ilvl w:val="0"/>
          <w:numId w:val="1011"/>
        </w:numPr>
      </w:pPr>
      <w:r>
        <w:t xml:space="preserve">Emission-factor uncertainty (Column F);</w:t>
      </w:r>
    </w:p>
    <w:p>
      <w:pPr>
        <w:pStyle w:val="Compact"/>
        <w:numPr>
          <w:ilvl w:val="0"/>
          <w:numId w:val="1011"/>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the convention adopted in this tool: AD = animal population (N) only; coefficient (EF) = the IPCC equation parameters that combine into the per-head emission factor (Cfi, Ca, Ym, Bo, MCF, EF3, EF4, EF5, Frac_GasMS, Frac_LeachMS, Frac_PRP, EF3_PRP, Frac_GasPRP, Frac_LeachPRP).</w:t>
      </w:r>
    </w:p>
    <w:bookmarkEnd w:id="61"/>
    <w:bookmarkStart w:id="62"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2"/>
        </w:numPr>
      </w:pPr>
    </w:p>
    <w:p>
      <w:pPr>
        <w:pStyle w:val="Compact"/>
        <w:numPr>
          <w:ilvl w:val="1"/>
          <w:numId w:val="1013"/>
        </w:numPr>
      </w:pPr>
      <w:r>
        <w:t xml:space="preserve">3.A.1.a Dairy cattle</w:t>
      </w:r>
    </w:p>
    <w:p>
      <w:pPr>
        <w:pStyle w:val="Compact"/>
        <w:numPr>
          <w:ilvl w:val="1"/>
          <w:numId w:val="1013"/>
        </w:numPr>
      </w:pPr>
      <w:r>
        <w:t xml:space="preserve">3.A.1.b Non-dairy cattle</w:t>
      </w:r>
    </w:p>
    <w:p>
      <w:pPr>
        <w:pStyle w:val="Compact"/>
        <w:numPr>
          <w:ilvl w:val="0"/>
          <w:numId w:val="1012"/>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4"/>
        </w:numPr>
      </w:pPr>
      <w:r>
        <w:t xml:space="preserve">3.B.1 Cattle (3.B.1.a Dairy, 3.B.1.b Non-dairy)</w:t>
      </w:r>
    </w:p>
    <w:p>
      <w:pPr>
        <w:pStyle w:val="Compact"/>
        <w:numPr>
          <w:ilvl w:val="0"/>
          <w:numId w:val="1012"/>
        </w:numPr>
      </w:pPr>
      <w:r>
        <w:t xml:space="preserve"> </w:t>
      </w:r>
      <w:r>
        <w:t xml:space="preserve">(direct and indirect N</w:t>
      </w:r>
      <m:oMath>
        <m:sSub>
          <m:e>
            <m:r>
              <m:t>​</m:t>
            </m:r>
          </m:e>
          <m:sub>
            <m:r>
              <m:t>2</m:t>
            </m:r>
          </m:sub>
        </m:sSub>
      </m:oMath>
      <w:r>
        <w:t xml:space="preserve">O)</w:t>
      </w:r>
    </w:p>
    <w:p>
      <w:pPr>
        <w:pStyle w:val="Compact"/>
        <w:numPr>
          <w:ilvl w:val="1"/>
          <w:numId w:val="1015"/>
        </w:numPr>
      </w:pPr>
      <w:r>
        <w:t xml:space="preserve">3.D.1.c Urine and dung deposited by grazing animals (direct N</w:t>
      </w:r>
      <m:oMath>
        <m:sSub>
          <m:e>
            <m:r>
              <m:t>​</m:t>
            </m:r>
          </m:e>
          <m:sub>
            <m:r>
              <m:t>2</m:t>
            </m:r>
          </m:sub>
        </m:sSub>
      </m:oMath>
      <w:r>
        <w:t xml:space="preserve">O)</w:t>
      </w:r>
    </w:p>
    <w:p>
      <w:pPr>
        <w:pStyle w:val="Compact"/>
        <w:numPr>
          <w:ilvl w:val="1"/>
          <w:numId w:val="1015"/>
        </w:numPr>
      </w:pPr>
      <w:r>
        <w:t xml:space="preserve">3.D.2.a Atmospheric deposition (multiple sources, including dung and urine deposited on pasture)</w:t>
      </w:r>
    </w:p>
    <w:p>
      <w:pPr>
        <w:pStyle w:val="Compact"/>
        <w:numPr>
          <w:ilvl w:val="1"/>
          <w:numId w:val="1015"/>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62"/>
    <w:bookmarkStart w:id="63"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6"/>
        </w:numPr>
      </w:pPr>
      <w:r>
        <w:t xml:space="preserve"> </w:t>
      </w: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6"/>
        </w:numPr>
      </w:pPr>
      <w:r>
        <w:t xml:space="preserve"> </w:t>
      </w: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6"/>
        </w:numPr>
      </w:pPr>
      <w:r>
        <w:t xml:space="preserve"> </w:t>
      </w: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63"/>
    <w:bookmarkEnd w:id="64"/>
    <w:bookmarkStart w:id="65"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provides</w:t>
      </w:r>
      <w:r>
        <w:t xml:space="preserve"> </w:t>
      </w:r>
      <w:r>
        <w:t xml:space="preserve"> </w:t>
      </w:r>
      <w:r>
        <w:t xml:space="preserve">for the Iman–Conover restricted-pairing reordering used to reproduce the target rank correlation matrix per IPCC Vol.1 Ch.3 §3.2.3.2, and</w:t>
      </w:r>
      <w:r>
        <w:t xml:space="preserve"> </w:t>
      </w:r>
      <w:r>
        <w:t xml:space="preserve"> </w:t>
      </w:r>
      <w:r>
        <w:t xml:space="preserve">/</w:t>
      </w:r>
      <w:r>
        <w:t xml:space="preserve"> </w:t>
      </w:r>
      <w:r>
        <w:t xml:space="preserve"> </w:t>
      </w:r>
      <w:r>
        <w:t xml:space="preserve">for the triangular and PERT marginals.)</w:t>
      </w:r>
    </w:p>
    <w:p>
      <w:pPr>
        <w:pStyle w:val="BodyText"/>
      </w:pPr>
      <w:r>
        <w:t xml:space="preserve">Bates, D., and Maechler, M. (2024).</w:t>
      </w:r>
      <w:r>
        <w:t xml:space="preserve"> </w:t>
      </w:r>
      <w:r>
        <w:t xml:space="preserve">: Sparse and Dense Matrix Classes and Methods. R package. (</w:t>
      </w:r>
      <w:r>
        <w:t xml:space="preserv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r>
        <w:pict>
          <v:rect style="width:0;height:1.5pt" o:hralign="center" o:hrstd="t" o:hr="t"/>
        </w:pic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2026-09-22T12:24:02Z</dcterms:created>
  <dcterms:modified xsi:type="dcterms:W3CDTF">2026-09-22T12:24:02Z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Technical Methodology: Equations, Monte Carlo Procedure, and Uncertainty Reporting</vt:lpwstr>
  </property>
</Properties>
</file>