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 (If manually entering data, consistency in spelling can be achieved by `dragging’ an already-filled cell across unfilled cells, rather than retyping words.)</w:t>
      </w:r>
    </w:p>
    <w:bookmarkEnd w:id="18"/>
    <w:bookmarkStart w:id="19" w:name="obtaining-uncertainty-estimates"/>
    <w:p>
      <w:pPr>
        <w:pStyle w:val="Heading2"/>
      </w:pPr>
      <w:r>
        <w:t xml:space="preserve">Obtaining uncertainty estimates</w:t>
      </w:r>
    </w:p>
    <w:p>
      <w:pPr>
        <w:pStyle w:val="FirstParagraph"/>
      </w:pPr>
    </w:p>
    <w:p>
      <w:pPr>
        <w:pStyle w:val="BodyText"/>
      </w:pPr>
    </w:p>
    <w:p>
      <w:pPr>
        <w:pStyle w:val="Compact"/>
        <w:numPr>
          <w:ilvl w:val="0"/>
          <w:numId w:val="1007"/>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 i.e. </w:t>
      </w:r>
      <w:r>
        <w:t xml:space="preserve">.</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2026-09-22T12:23:50Z</dcterms:created>
  <dcterms:modified xsi:type="dcterms:W3CDTF">2026-09-22T12:23:50Z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ies>
</file>