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 (If manually entering data, consistency in spelling can be achieved by `dragging’ an already-filled cell across unfilled cells, rather than retyping words.)</w:t>
      </w:r>
    </w:p>
    <w:bookmarkEnd w:id="18"/>
    <w:bookmarkStart w:id="19" w:name="obtaining-uncertainty-estimates"/>
    <w:p>
      <w:pPr>
        <w:pStyle w:val="Heading2"/>
      </w:pPr>
      <w:r>
        <w:t xml:space="preserve">Obtaining uncertainty estimates</w:t>
      </w:r>
    </w:p>
    <w:p>
      <w:pPr>
        <w:pStyle w:val="FirstParagraph"/>
      </w:pPr>
    </w:p>
    <w:p>
      <w:pPr>
        <w:pStyle w:val="BodyText"/>
      </w:pPr>
    </w:p>
    <w:p>
      <w:pPr>
        <w:pStyle w:val="Compact"/>
        <w:numPr>
          <w:ilvl w:val="0"/>
          <w:numId w:val="1007"/>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 i.e. </w:t>
      </w:r>
      <w:r>
        <w:t xml:space="preserve">.</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2026-09-18T14:49:02Z</dcterms:created>
  <dcterms:modified xsi:type="dcterms:W3CDTF">2026-09-18T14:49:02Z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ies>
</file>