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IPCC Eq.~10.2, ``Coefficient for calculating net energy for maintenance’’,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r>
            <m:rPr>
              <m:sty m:val="p"/>
            </m:rPr>
            <m:t>(</m:t>
          </m:r>
          <m:r>
            <m:t>4.092</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1.126</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r>
            <m:rPr>
              <m:sty m:val="p"/>
            </m:rPr>
            <m:t>(</m:t>
          </m:r>
          <m:r>
            <m:t>5.160</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1.308</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empirical fits derived from ruminant data and are only valid over the digestibility range observed for ruminant diets. The 2019 Refinement (Vol.4 Ch.10, §10.2) documents that range as</w:t>
      </w:r>
      <w:r>
        <w:t xml:space="preserve"> </w:t>
      </w:r>
      <w:r>
        <w:rPr>
          <w:b/>
          <w:bCs/>
        </w:rPr>
        <w:t xml:space="preserve">45–85%</w:t>
      </w:r>
      <w:r>
        <w:t xml:space="preserve"> </w:t>
      </w:r>
      <w:r>
        <w:t xml:space="preserve">(45–55% for crop by-products and rangelands; 55–80% for managed pasture and forage-based diets; 72–85% for grain-based feedlot diets). Outside this range the fits extrapolate poorly:</w:t>
      </w:r>
      <w:r>
        <w:t xml:space="preserve"> </w:t>
      </w:r>
      <m:oMath>
        <m:r>
          <m:t>R</m:t>
        </m:r>
        <m:r>
          <m:t>E</m:t>
        </m:r>
        <m:r>
          <m:t>G</m:t>
        </m:r>
      </m:oMath>
      <w:r>
        <w:t xml:space="preserve"> </w:t>
      </w:r>
      <w:r>
        <w:t xml:space="preserve">passes through zero near</w:t>
      </w:r>
      <w:r>
        <w:t xml:space="preserve"> </w:t>
      </w:r>
      <m:oMath>
        <m:r>
          <m:t>D</m:t>
        </m:r>
        <m:r>
          <m:t>E</m:t>
        </m:r>
        <m:r>
          <m:rPr>
            <m:sty m:val="p"/>
          </m:rPr>
          <m:t>≈</m:t>
        </m:r>
        <m:r>
          <m:t>37.6</m:t>
        </m:r>
        <m:r>
          <m:rPr>
            <m:sty m:val="p"/>
          </m:rPr>
          <m:t>%</m:t>
        </m:r>
      </m:oMath>
      <w:r>
        <w:t xml:space="preserve">, and below that the</w:t>
      </w:r>
      <w:r>
        <w:t xml:space="preserve"> </w:t>
      </w:r>
      <m:oMath>
        <m:r>
          <m:rPr>
            <m:sty m:val="p"/>
          </m:rPr>
          <m:t>−</m:t>
        </m:r>
        <m:r>
          <m:t>37.4</m:t>
        </m:r>
        <m:r>
          <m:rPr>
            <m:sty m:val="p"/>
          </m:rPr>
          <m:t>/</m:t>
        </m:r>
        <m:r>
          <m:t>D</m:t>
        </m:r>
        <m:r>
          <m:t>E</m:t>
        </m:r>
      </m:oMath>
      <w:r>
        <w:t xml:space="preserve"> </w:t>
      </w:r>
      <w:r>
        <w:t xml:space="preserve">term dominates and drives</w:t>
      </w:r>
      <w:r>
        <w:t xml:space="preserve"> </w:t>
      </w:r>
      <m:oMath>
        <m:r>
          <m:t>R</m:t>
        </m:r>
        <m:r>
          <m:t>E</m:t>
        </m:r>
        <m:r>
          <m:t>G</m:t>
        </m:r>
      </m:oMath>
      <w:r>
        <w:t xml:space="preserve"> </w:t>
      </w:r>
      <w:r>
        <w:t xml:space="preserve">negative. Because the gross-energy equation (below) divides by</w:t>
      </w:r>
      <w:r>
        <w:t xml:space="preserve"> </w:t>
      </w:r>
      <m:oMath>
        <m:r>
          <m:t>R</m:t>
        </m:r>
        <m:r>
          <m:t>E</m:t>
        </m:r>
        <m:r>
          <m:t>M</m:t>
        </m:r>
      </m:oMath>
      <w:r>
        <w:t xml:space="preserve"> </w:t>
      </w:r>
      <w:r>
        <w:t xml:space="preserve">and</w:t>
      </w:r>
      <w:r>
        <w:t xml:space="preserve"> </w:t>
      </w:r>
      <m:oMath>
        <m:r>
          <m:t>R</m:t>
        </m:r>
        <m:r>
          <m:t>E</m:t>
        </m:r>
        <m:r>
          <m:t>G</m:t>
        </m:r>
      </m:oMath>
      <w:r>
        <w:t xml:space="preserve">, an unconstrained low-</w:t>
      </w:r>
      <m:oMath>
        <m:r>
          <m:t>D</m:t>
        </m:r>
        <m:r>
          <m:t>E</m:t>
        </m:r>
      </m:oMath>
      <w:r>
        <w:t xml:space="preserve"> </w:t>
      </w:r>
      <w:r>
        <w:t xml:space="preserve">draw makes gross energy, and hence emissions, diverge or even turn negative.</w:t>
      </w:r>
    </w:p>
    <w:p>
      <w:pPr>
        <w:pStyle w:val="BodyText"/>
      </w:pPr>
      <w:r>
        <w:t xml:space="preserve">To keep every Monte Carlo iteration inside the equations’ valid domain, sampled</w:t>
      </w:r>
      <w:r>
        <w:t xml:space="preserve"> </w:t>
      </w:r>
      <m:oMath>
        <m:r>
          <m:t>D</m:t>
        </m:r>
        <m:r>
          <m:t>E</m:t>
        </m:r>
      </m:oMath>
      <w:r>
        <w:t xml:space="preserve"> </w:t>
      </w:r>
      <w:r>
        <w:t xml:space="preserve">values are</w:t>
      </w:r>
      <w:r>
        <w:t xml:space="preserve"> </w:t>
      </w:r>
      <w:r>
        <w:rPr>
          <w:b/>
          <w:bCs/>
        </w:rPr>
        <w:t xml:space="preserve">clamped to</w:t>
      </w:r>
      <w:r>
        <w:rPr>
          <w:b/>
          <w:bCs/>
        </w:rPr>
        <w:t xml:space="preserve"> </w:t>
      </w:r>
      <m:oMath>
        <m:r>
          <m:rPr>
            <m:sty m:val="p"/>
          </m:rPr>
          <m:t>[</m:t>
        </m:r>
        <m:r>
          <m:t>45</m:t>
        </m:r>
        <m:r>
          <m:rPr>
            <m:sty m:val="p"/>
          </m:rPr>
          <m:t>,</m:t>
        </m:r>
        <m:r>
          <m:t>85</m:t>
        </m:r>
        <m:r>
          <m:rPr>
            <m:sty m:val="p"/>
          </m:rPr>
          <m:t>]</m:t>
        </m:r>
        <m:r>
          <m:rPr>
            <m:sty m:val="p"/>
          </m:rPr>
          <m:t>%</m:t>
        </m:r>
      </m:oMath>
      <w:r>
        <w:t xml:space="preserve"> </w:t>
      </w:r>
      <w:r>
        <w:t xml:space="preserve">at the sampling stage (</w:t>
      </w:r>
      <w:r>
        <w:rPr>
          <w:rStyle w:val="VerbatimChar"/>
        </w:rPr>
        <w:t xml:space="preserve">generate_mc_samples</w:t>
      </w:r>
      <w:r>
        <w:t xml:space="preserve">). This prevents non-physical iterations (the extreme positive and negative emission totals that would otherwise stretch the output histogram and pull the simulated mean above the 97.5</w:t>
      </w:r>
      <w:r>
        <w:t xml:space="preserve"> </w:t>
      </w:r>
      <w:r>
        <w:t xml:space="preserve">percentile) without materially shifting the central estimate, since the clamp only trims the small fraction of the</w:t>
      </w:r>
      <w:r>
        <w:t xml:space="preserve"> </w:t>
      </w:r>
      <m:oMath>
        <m:r>
          <m:t>D</m:t>
        </m:r>
        <m:r>
          <m:t>E</m:t>
        </m:r>
      </m:oMath>
      <w:r>
        <w:t xml:space="preserve"> </w:t>
      </w:r>
      <w:r>
        <w:t xml:space="preserve">distribution that falls outside the documented ruminant range. The earlier</w:t>
      </w:r>
      <w:r>
        <w:t xml:space="preserve"> </w:t>
      </w:r>
      <m:oMath>
        <m:r>
          <m:t>D</m:t>
        </m:r>
        <m:r>
          <m:t>E</m:t>
        </m:r>
        <m:r>
          <m:rPr>
            <m:sty m:val="p"/>
          </m:rPr>
          <m:t>&gt;</m:t>
        </m:r>
        <m:r>
          <m:t>0</m:t>
        </m:r>
      </m:oMath>
      <w:r>
        <w:t xml:space="preserve"> </w:t>
      </w:r>
      <w:r>
        <w:t xml:space="preserve">check is retained as defence-in-depth.</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all parameters varied according to their distributions. This is the primary result.</w:t>
      </w:r>
    </w:p>
    <w:p>
      <w:pPr>
        <w:pStyle w:val="Compact"/>
        <w:numPr>
          <w:ilvl w:val="0"/>
          <w:numId w:val="1007"/>
        </w:numPr>
      </w:pPr>
      <w:r>
        <w:rPr>
          <w:b/>
          <w:bCs/>
        </w:rPr>
        <w:t xml:space="preserve">AD-only run</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increasing this parameter decreases total emissions.</w:t>
      </w:r>
    </w:p>
    <w:p>
      <w:pPr>
        <w:pStyle w:val="Compact"/>
        <w:numPr>
          <w:ilvl w:val="0"/>
          <w:numId w:val="1010"/>
        </w:numPr>
      </w:pPr>
      <w:r>
        <w:rPr>
          <w:b/>
          <w:bCs/>
        </w:rPr>
        <w:t xml:space="preserve">Dark (slate) bars</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(which is not the year-to-year joint uncertainty Approach 2 is meant to capture)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60" w:name="verification-of-calculation-accuracy"/>
    <w:p>
      <w:pPr>
        <w:pStyle w:val="Heading1"/>
      </w:pPr>
      <w:r>
        <w:t xml:space="preserve">Verification of Calculation Accuracy</w:t>
      </w:r>
    </w:p>
    <w:p>
      <w:pPr>
        <w:pStyle w:val="FirstParagraph"/>
      </w:pPr>
      <w:r>
        <w:t xml:space="preserve">The previous section describes the checks the tool applies to the user’s</w:t>
      </w:r>
      <w:r>
        <w:t xml:space="preserve"> </w:t>
      </w:r>
      <w:r>
        <w:t xml:space="preserve">. This section describes how the tool’s</w:t>
      </w:r>
      <w:r>
        <w:t xml:space="preserve"> </w:t>
      </w:r>
      <w:r>
        <w:t xml:space="preserve">: the implementation of the IPCC equation chain and the Monte Carlo sampler, has itself been verified to produce correct numbers. Input validation and calculation verification are complementary: the former guards against bad data going in, the latter guarantees the equations are implemented correctly.</w:t>
      </w:r>
    </w:p>
    <w:bookmarkStart w:id="55" w:name="X4783eb254dc3b2061d58bfe305eaa5ea4dc7341"/>
    <w:p>
      <w:pPr>
        <w:pStyle w:val="Heading2"/>
      </w:pPr>
      <w:r>
        <w:t xml:space="preserve">Equation-chain verification against manual calculation</w:t>
      </w:r>
    </w:p>
    <w:p>
      <w:pPr>
        <w:pStyle w:val="FirstParagraph"/>
      </w:pPr>
      <w:r>
        <w:t xml:space="preserve">The core of the verification is a fixed, fully worked test case. For a single representative animal with a complete set of fixed parameters, every intermediate quantity in the IPCC Tier 2 chain was computed independently by hand and in a spreadsheet, directly from the published equations: the net-energy terms (</w:t>
      </w:r>
      <m:oMath>
        <m:r>
          <m:t>N</m:t>
        </m:r>
        <m:sSub>
          <m:e>
            <m:r>
              <m:t>E</m:t>
            </m:r>
          </m:e>
          <m:sub>
            <m:r>
              <m:t>m</m:t>
            </m:r>
          </m:sub>
        </m:sSub>
      </m:oMath>
      <w:r>
        <w:t xml:space="preserve">,</w:t>
      </w:r>
      <w:r>
        <w:t xml:space="preserve"> </w:t>
      </w:r>
      <m:oMath>
        <m:r>
          <m:t>N</m:t>
        </m:r>
        <m:sSub>
          <m:e>
            <m:r>
              <m:t>E</m:t>
            </m:r>
          </m:e>
          <m:sub>
            <m:r>
              <m:t>a</m:t>
            </m:r>
          </m:sub>
        </m:sSub>
      </m:oMath>
      <w:r>
        <w:t xml:space="preserve">,</w:t>
      </w:r>
      <w:r>
        <w:t xml:space="preserve"> </w:t>
      </w:r>
      <m:oMath>
        <m:r>
          <m:t>N</m:t>
        </m:r>
        <m:sSub>
          <m:e>
            <m:r>
              <m:t>E</m:t>
            </m:r>
          </m:e>
          <m:sub>
            <m:r>
              <m:t>g</m:t>
            </m:r>
          </m:sub>
        </m:sSub>
      </m:oMath>
      <w:r>
        <w:t xml:space="preserve">,</w:t>
      </w:r>
      <w:r>
        <w:t xml:space="preserve"> </w:t>
      </w:r>
      <m:oMath>
        <m:r>
          <m:t>N</m:t>
        </m:r>
        <m:sSub>
          <m:e>
            <m:r>
              <m:t>E</m:t>
            </m:r>
          </m:e>
          <m:sub>
            <m:r>
              <m:t>l</m:t>
            </m:r>
          </m:sub>
        </m:sSub>
      </m:oMath>
      <w:r>
        <w:t xml:space="preserve">,</w:t>
      </w:r>
      <w:r>
        <w:t xml:space="preserve"> </w:t>
      </w:r>
      <m:oMath>
        <m:r>
          <m:t>N</m:t>
        </m:r>
        <m:sSub>
          <m:e>
            <m:r>
              <m:t>E</m:t>
            </m:r>
          </m:e>
          <m:sub>
            <m:r>
              <m:t>w</m:t>
            </m:r>
          </m:sub>
        </m:sSub>
      </m:oMath>
      <w:r>
        <w:t xml:space="preserve">,</w:t>
      </w:r>
      <w:r>
        <w:t xml:space="preserve"> </w:t>
      </w:r>
      <m:oMath>
        <m:r>
          <m:t>N</m:t>
        </m:r>
        <m:sSub>
          <m:e>
            <m:r>
              <m:t>E</m:t>
            </m:r>
          </m:e>
          <m:sub>
            <m:r>
              <m:t>p</m:t>
            </m:r>
          </m:sub>
        </m:sSub>
      </m:oMath>
      <w:r>
        <w:t xml:space="preserve">), the energy ratios (</w:t>
      </w:r>
      <m:oMath>
        <m:r>
          <m:t>R</m:t>
        </m:r>
        <m:r>
          <m:t>E</m:t>
        </m:r>
        <m:r>
          <m:t>M</m:t>
        </m:r>
      </m:oMath>
      <w:r>
        <w:t xml:space="preserve">,</w:t>
      </w:r>
      <w:r>
        <w:t xml:space="preserve"> </w:t>
      </w:r>
      <m:oMath>
        <m:r>
          <m:t>R</m:t>
        </m:r>
        <m:r>
          <m:t>E</m:t>
        </m:r>
        <m:r>
          <m:t>G</m:t>
        </m:r>
      </m:oMath>
      <w:r>
        <w:t xml:space="preserve">), gross energy intake (</w:t>
      </w:r>
      <m:oMath>
        <m:r>
          <m:t>G</m:t>
        </m:r>
        <m:r>
          <m:t>E</m:t>
        </m:r>
      </m:oMath>
      <w:r>
        <w:t xml:space="preserve">), the enteric emission factor (</w:t>
      </w:r>
      <m:oMath>
        <m:r>
          <m:t>E</m:t>
        </m:r>
        <m:sSub>
          <m:e>
            <m:r>
              <m:t>F</m:t>
            </m:r>
          </m:e>
          <m:sub>
            <m:r>
              <m:t>1</m:t>
            </m:r>
          </m:sub>
        </m:sSub>
      </m:oMath>
      <w:r>
        <w:t xml:space="preserve">), volatile-solid excretion (</w:t>
      </w:r>
      <m:oMath>
        <m:r>
          <m:t>V</m:t>
        </m:r>
        <m:r>
          <m:t>S</m:t>
        </m:r>
      </m:oMath>
      <w:r>
        <w:t xml:space="preserve">), nitrogen excretion (</w:t>
      </w:r>
      <m:oMath>
        <m:sSub>
          <m:e>
            <m:r>
              <m:t>N</m:t>
            </m:r>
          </m:e>
          <m:sub>
            <m:r>
              <m:rPr>
                <m:nor/>
                <m:sty m:val="p"/>
              </m:rPr>
              <m:t>ex</m:t>
            </m:r>
          </m:sub>
        </m:sSub>
      </m:oMath>
      <w:r>
        <w:t xml:space="preserve">), and all four manure- and pasture-N</w:t>
      </w:r>
      <m:oMath>
        <m:sSub>
          <m:e>
            <m:r>
              <m:t>​</m:t>
            </m:r>
          </m:e>
          <m:sub>
            <m:r>
              <m:t>2</m:t>
            </m:r>
          </m:sub>
        </m:sSub>
      </m:oMath>
      <w:r>
        <w:t xml:space="preserve">O pathways, through to the inventory totals (total CH</w:t>
      </w:r>
      <m:oMath>
        <m:sSub>
          <m:e>
            <m:r>
              <m:t>​</m:t>
            </m:r>
          </m:e>
          <m:sub>
            <m:r>
              <m:t>4</m:t>
            </m:r>
          </m:sub>
        </m:sSub>
      </m:oMath>
      <w:r>
        <w:t xml:space="preserve">, total N</w:t>
      </w:r>
      <m:oMath>
        <m:sSub>
          <m:e>
            <m:r>
              <m:t>​</m:t>
            </m:r>
          </m:e>
          <m:sub>
            <m:r>
              <m:t>2</m:t>
            </m:r>
          </m:sub>
        </m:sSub>
      </m:oMath>
      <w:r>
        <w:t xml:space="preserve">O, and total CO</w:t>
      </w:r>
      <m:oMath>
        <m:sSub>
          <m:e>
            <m:r>
              <m:t>​</m:t>
            </m:r>
          </m:e>
          <m:sub>
            <m:r>
              <m:t>2</m:t>
            </m:r>
          </m:sub>
        </m:sSub>
      </m:oMath>
      <w:r>
        <w:t xml:space="preserve">eq under each GWP basis).</w:t>
      </w:r>
    </w:p>
    <w:p>
      <w:pPr>
        <w:pStyle w:val="BodyText"/>
      </w:pPr>
      <w:r>
        <w:t xml:space="preserve">The tool’s computed value for each of these quantities must match the independently calculated reference to a relative tolerance of</w:t>
      </w:r>
      <w:r>
        <w:t xml:space="preserve"> </w:t>
      </w:r>
      <m:oMath>
        <m:r>
          <m:t>1</m:t>
        </m:r>
        <m:r>
          <m:rPr>
            <m:sty m:val="p"/>
          </m:rPr>
          <m:t>×</m:t>
        </m:r>
        <m:sSup>
          <m:e>
            <m:r>
              <m:t>10</m:t>
            </m:r>
          </m:e>
          <m:sup>
            <m:r>
              <m:rPr>
                <m:sty m:val="p"/>
              </m:rPr>
              <m:t>−</m:t>
            </m:r>
            <m:r>
              <m:t>4</m:t>
            </m:r>
          </m:sup>
        </m:sSup>
      </m:oMath>
      <w:r>
        <w:t xml:space="preserve">. These comparisons are encoded as automated assertions that run on every build, so any future change to the calculation code that altered a result: even slightly, would be caught immediately. This is the primary guarantee that the equations in Section</w:t>
      </w:r>
      <w:r>
        <w:t xml:space="preserve"> </w:t>
      </w:r>
      <w:r>
        <w:t xml:space="preserve">“IPCC Tier 2 Emission Equations”</w:t>
      </w:r>
      <w:r>
        <w:t xml:space="preserve"> </w:t>
      </w:r>
      <w:r>
        <w:t xml:space="preserve">are implemented exactly as written.</w:t>
      </w:r>
    </w:p>
    <w:bookmarkEnd w:id="55"/>
    <w:bookmarkStart w:id="56" w:name="X3af40e86e6c3533a97769c998397f52a172e7fb"/>
    <w:p>
      <w:pPr>
        <w:pStyle w:val="Heading2"/>
      </w:pPr>
      <w:r>
        <w:t xml:space="preserve">Cross-comparison with an independent Monte Carlo package</w:t>
      </w:r>
    </w:p>
    <w:p>
      <w:pPr>
        <w:pStyle w:val="FirstParagraph"/>
      </w:pPr>
      <w:r>
        <w:t xml:space="preserve">Beyond the single worked case, the tool has been exercised on real Tier 2 national cattle inventories and its results compared against two independent references: (i) manual re-calculation of the per-head emission factors and inventory totals, and (ii) an independent commercial Monte Carlo package configured with the same parameters, distributions and iteration count.</w:t>
      </w:r>
    </w:p>
    <w:p>
      <w:pPr>
        <w:pStyle w:val="BodyText"/>
      </w:pPr>
      <w:r>
        <w:t xml:space="preserve">On these real inventories the tool reproduced the deterministic emission totals from the manual calculation, and produced a 95% uncertainty interval consistent with the independent Monte Carlo package to within the sampling variability expected between two stochastic runs.</w:t>
      </w:r>
      <w:r>
        <w:t xml:space="preserve"> </w:t>
      </w:r>
      <w:r>
        <w:t xml:space="preserve">%% OPTIONAL: if you wish to quote a specific figure, insert it here, e.g.</w:t>
      </w:r>
      <w:r>
        <w:t xml:space="preserve"> </w:t>
      </w:r>
      <w:r>
        <w:t xml:space="preserve">%%</w:t>
      </w:r>
      <w:r>
        <w:t xml:space="preserve"> </w:t>
      </w:r>
      <w:r>
        <w:t xml:space="preserve">“(agreement within X% on the 95% margin of error for the manure-N2O pathway)”</w:t>
      </w:r>
      <w:r>
        <w:t xml:space="preserve">.</w:t>
      </w:r>
      <w:r>
        <w:t xml:space="preserve"> </w:t>
      </w:r>
      <w:r>
        <w:t xml:space="preserve">A regression guard retained in the automated test suite keeps the manure-N</w:t>
      </w:r>
      <m:oMath>
        <m:sSub>
          <m:e>
            <m:r>
              <m:t>​</m:t>
            </m:r>
          </m:e>
          <m:sub>
            <m:r>
              <m:t>2</m:t>
            </m:r>
          </m:sub>
        </m:sSub>
      </m:oMath>
      <w:r>
        <w:t xml:space="preserve">O pathway within the range established by this cross-comparison, so a future code change cannot silently introduce a large (e.g. order-of-magnitude) error in that pathway.</w:t>
      </w:r>
    </w:p>
    <w:bookmarkEnd w:id="56"/>
    <w:bookmarkStart w:id="57" w:name="automated-regression-test-suite"/>
    <w:p>
      <w:pPr>
        <w:pStyle w:val="Heading2"/>
      </w:pPr>
      <w:r>
        <w:t xml:space="preserve">Automated regression test suite</w:t>
      </w:r>
    </w:p>
    <w:p>
      <w:pPr>
        <w:pStyle w:val="FirstParagraph"/>
      </w:pPr>
      <w:r>
        <w:t xml:space="preserve">The two verification activities above are part of a broader automated test suite (91 checks at the time of writing) that is run before each release and deployment. The checks are organised into seven groups:</w:t>
      </w:r>
    </w:p>
    <w:p>
      <w:pPr>
        <w:pStyle w:val="BodyText"/>
      </w:pPr>
      <w:r>
        <w:t xml:space="preserve">The full multi-sub-category inventory chain must pass all checks before the tool is published.</w:t>
      </w:r>
    </w:p>
    <w:bookmarkEnd w:id="57"/>
    <w:bookmarkStart w:id="58" w:name="X076c15e95af57cebd5bcd2a03dee00b5ab0420b"/>
    <w:p>
      <w:pPr>
        <w:pStyle w:val="Heading2"/>
      </w:pPr>
      <w:r>
        <w:t xml:space="preserve">Verification of IPCC default values and uncertainty ranges</w:t>
      </w:r>
    </w:p>
    <w:p>
      <w:pPr>
        <w:pStyle w:val="FirstParagraph"/>
      </w:pPr>
      <w:r>
        <w:t xml:space="preserve">Every IPCC default value and uncertainty range pre-loaded in the tool: the energy-equation coefficients, the methane conversion factor</w:t>
      </w:r>
      <w:r>
        <w:t xml:space="preserve"> </w:t>
      </w:r>
      <m:oMath>
        <m:sSub>
          <m:e>
            <m:r>
              <m:t>Y</m:t>
            </m:r>
          </m:e>
          <m:sub>
            <m:r>
              <m:t>m</m:t>
            </m:r>
          </m:sub>
        </m:sSub>
      </m:oMath>
      <w:r>
        <w:t xml:space="preserve">, the maximum methane producing capacity</w:t>
      </w:r>
      <w:r>
        <w:t xml:space="preserve"> </w:t>
      </w:r>
      <m:oMath>
        <m:sSub>
          <m:e>
            <m:r>
              <m:t>B</m:t>
            </m:r>
          </m:e>
          <m:sub>
            <m:r>
              <m:t>o</m:t>
            </m:r>
          </m:sub>
        </m:sSub>
      </m:oMath>
      <w:r>
        <w:t xml:space="preserve">, the manure-system MCF values, and the N</w:t>
      </w:r>
      <m:oMath>
        <m:sSub>
          <m:e>
            <m:r>
              <m:t>​</m:t>
            </m:r>
          </m:e>
          <m:sub>
            <m:r>
              <m:t>2</m:t>
            </m:r>
          </m:sub>
        </m:sSub>
      </m:oMath>
      <w:r>
        <w:t xml:space="preserve">O emission factors and volatilisation / leaching fractions (</w:t>
      </w:r>
      <m:oMath>
        <m:r>
          <m:t>E</m:t>
        </m:r>
        <m:sSub>
          <m:e>
            <m:r>
              <m:t>F</m:t>
            </m:r>
          </m:e>
          <m:sub>
            <m:r>
              <m:t>3</m:t>
            </m:r>
          </m:sub>
        </m:sSub>
      </m:oMath>
      <w:r>
        <w:t xml:space="preserve">,</w:t>
      </w:r>
      <w:r>
        <w:t xml:space="preserve"> </w:t>
      </w:r>
      <m:oMath>
        <m:r>
          <m:t>E</m:t>
        </m:r>
        <m:sSub>
          <m:e>
            <m:r>
              <m:t>F</m:t>
            </m:r>
          </m:e>
          <m:sub>
            <m:r>
              <m:t>4</m:t>
            </m:r>
          </m:sub>
        </m:sSub>
      </m:oMath>
      <w:r>
        <w:t xml:space="preserve">,</w:t>
      </w:r>
      <w:r>
        <w:t xml:space="preserve"> </w:t>
      </w:r>
      <m:oMath>
        <m:r>
          <m:t>E</m:t>
        </m:r>
        <m:sSub>
          <m:e>
            <m:r>
              <m:t>F</m:t>
            </m:r>
          </m:e>
          <m:sub>
            <m:r>
              <m:t>5</m:t>
            </m:r>
          </m:sub>
        </m:sSub>
      </m:oMath>
      <w:r>
        <w:t xml:space="preserve">, FracGASM, FracLEACH), has been checked line-by-line against the IPCC 2019 Refinement source text (Volume 4, Chapter 10 and Chapter 11). This review confirmed the central values and corrected two pre-loaded uncertainty ranges (</w:t>
      </w:r>
      <m:oMath>
        <m:sSub>
          <m:e>
            <m:r>
              <m:t>B</m:t>
            </m:r>
          </m:e>
          <m:sub>
            <m:r>
              <m:t>o</m:t>
            </m:r>
          </m:sub>
        </m:sSub>
      </m:oMath>
      <w:r>
        <w:t xml:space="preserve"> </w:t>
      </w:r>
      <w:r>
        <w:t xml:space="preserve">and the pasture direct-N</w:t>
      </w:r>
      <m:oMath>
        <m:sSub>
          <m:e>
            <m:r>
              <m:t>​</m:t>
            </m:r>
          </m:e>
          <m:sub>
            <m:r>
              <m:t>2</m:t>
            </m:r>
          </m:sub>
        </m:sSub>
      </m:oMath>
      <w:r>
        <w:t xml:space="preserve">O factor</w:t>
      </w:r>
      <w:r>
        <w:t xml:space="preserve"> </w:t>
      </w:r>
      <m:oMath>
        <m:r>
          <m:t>E</m:t>
        </m:r>
        <m:sSub>
          <m:e>
            <m:r>
              <m:t>F</m:t>
            </m:r>
          </m:e>
          <m:sub>
            <m:r>
              <m:t>3</m:t>
            </m:r>
            <m:r>
              <m:rPr>
                <m:sty m:val="p"/>
              </m:rPr>
              <m:t>,</m:t>
            </m:r>
            <m:r>
              <m:rPr>
                <m:nor/>
                <m:sty m:val="p"/>
              </m:rPr>
              <m:t>PRP</m:t>
            </m:r>
          </m:sub>
        </m:sSub>
      </m:oMath>
      <w:r>
        <w:t xml:space="preserve">) to match the climate-specific ranges in Tables 10.16a and 11.1.</w:t>
      </w:r>
    </w:p>
    <w:bookmarkEnd w:id="58"/>
    <w:bookmarkStart w:id="59" w:name="reproducibility"/>
    <w:p>
      <w:pPr>
        <w:pStyle w:val="Heading2"/>
      </w:pPr>
      <w:r>
        <w:t xml:space="preserve">Reproducibility</w:t>
      </w:r>
    </w:p>
    <w:p>
      <w:pPr>
        <w:pStyle w:val="FirstParagraph"/>
      </w:pPr>
      <w:r>
        <w:t xml:space="preserve">Each simulation is driven by an explicit random seed, so any run can be reproduced exactly by re-supplying the same inputs and seed. The convergence guidance in Section</w:t>
      </w:r>
      <w:r>
        <w:t xml:space="preserve"> </w:t>
      </w:r>
      <w:r>
        <w:t xml:space="preserve">“Recommended Iteration Count and Convergence”</w:t>
      </w:r>
      <w:r>
        <w:t xml:space="preserve">: re-running with a second seed and checking that the 95% margin of error is stable, lets a user confirm that a reported result is converged rather than an artefact of a particular random draw.</w:t>
      </w:r>
    </w:p>
    <w:p>
      <w:r>
        <w:br w:type="page"/>
      </w:r>
    </w:p>
    <w:bookmarkEnd w:id="59"/>
    <w:bookmarkEnd w:id="60"/>
    <w:bookmarkStart w:id="64"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61"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61"/>
    <w:bookmarkStart w:id="62"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62"/>
    <w:bookmarkStart w:id="63"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63"/>
    <w:bookmarkEnd w:id="64"/>
    <w:bookmarkStart w:id="65"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provides</w:t>
      </w:r>
      <w:r>
        <w:t xml:space="preserve"> </w:t>
      </w:r>
      <w:r>
        <w:t xml:space="preserve"> </w:t>
      </w:r>
      <w:r>
        <w:t xml:space="preserve">for the Iman–Conover restricted-pairing reordering used to reproduce the target rank correlation matrix per IPCC Vol.1 Ch.3 §3.2.3.2, and</w:t>
      </w:r>
      <w:r>
        <w:t xml:space="preserve"> </w:t>
      </w:r>
      <w:r>
        <w:t xml:space="preserve"> </w:t>
      </w:r>
      <w:r>
        <w:t xml:space="preserve">/</w:t>
      </w:r>
      <w:r>
        <w:t xml:space="preserve"> </w:t>
      </w:r>
      <w:r>
        <w:t xml:space="preserve"> </w:t>
      </w:r>
      <w:r>
        <w:t xml:space="preserve">for the triangular and PERT marginals.)</w:t>
      </w:r>
    </w:p>
    <w:p>
      <w:pPr>
        <w:pStyle w:val="BodyText"/>
      </w:pPr>
      <w:r>
        <w:t xml:space="preserve">Bates, D., and Maechler, M. (2024).</w:t>
      </w:r>
      <w:r>
        <w:t xml:space="preserve"> </w:t>
      </w:r>
      <w:r>
        <w:t xml:space="preserve">: Sparse and Dense Matrix Classes and Methods. R package.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r>
        <w:pict>
          <v:rect style="width:0;height:1.5pt" o:hralign="center" o:hrstd="t" o:hr="t"/>
        </w:pic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4BD01C76-C71C-4766-8ECC-837B609D7D38}"/>
</file>

<file path=customXml/itemProps2.xml><?xml version="1.0" encoding="utf-8"?>
<ds:datastoreItem xmlns:ds="http://schemas.openxmlformats.org/officeDocument/2006/customXml" ds:itemID="{CAA379D9-C202-4104-BC8E-0367DA93FA6F}"/>
</file>

<file path=customXml/itemProps3.xml><?xml version="1.0" encoding="utf-8"?>
<ds:datastoreItem xmlns:ds="http://schemas.openxmlformats.org/officeDocument/2006/customXml" ds:itemID="{9DD1EAE6-8CDC-41FA-80FF-5E32DA9E9784}"/>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ClimateActionNetZero</dc:creator>
  <cp:keywords/>
  <dcterms:created xsi:type="dcterms:W3CDTF">2026-09-29T08:11:29Z</dcterms:created>
  <dcterms:modified xsi:type="dcterms:W3CDTF">2026-09-29T08:11:29Z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MediaServiceImageTags">
    <vt:lpwstr/>
  </property>
  <property fmtid="{D5CDD505-2E9C-101B-9397-08002B2CF9AE}" pid="9" name="ContentTypeId">
    <vt:lpwstr>0x0101006AAA32E7549EE6449AC68337FF671C5A</vt:lpwstr>
  </property>
</Properties>
</file>