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IPCC Tier 2 Livestock GHG Uncertainty Calculator</w:t>
      </w:r>
    </w:p>
    <w:p>
      <w:pPr>
        <w:pStyle w:val="Subtitle"/>
      </w:pPr>
      <w:r>
        <w:t xml:space="preserve">User Guide</w:t>
      </w:r>
    </w:p>
    <w:p>
      <w:pPr>
        <w:pStyle w:val="Author"/>
      </w:pPr>
      <w:r>
        <w:t xml:space="preserve">CIAT / CGIAR Alliance, ClimateActionNetZero</w:t>
      </w:r>
    </w:p>
    <w:p>
      <w:r>
        <w:br w:type="page"/>
      </w:r>
    </w:p>
    <w:bookmarkStart w:id="12" w:name="overview"/>
    <w:p>
      <w:pPr>
        <w:pStyle w:val="Heading1"/>
      </w:pPr>
      <w:r>
        <w:t xml:space="preserve">Overview</w:t>
      </w:r>
    </w:p>
    <w:bookmarkStart w:id="9" w:name="what-this-tool-does"/>
    <w:p>
      <w:pPr>
        <w:pStyle w:val="Heading2"/>
      </w:pPr>
      <w:r>
        <w:t xml:space="preserve">What this tool does</w:t>
      </w:r>
    </w:p>
    <w:p>
      <w:pPr>
        <w:pStyle w:val="FirstParagraph"/>
      </w:pPr>
      <w:r>
        <w:t xml:space="preserve">National GHG inventories based on IPCC Tier 2 methods require not only a central estimate of emissions but also a quantification of their uncertainty. This tool automates that process for livestock (cattle) using Monte Carlo simulation:</w:t>
      </w:r>
    </w:p>
    <w:p>
      <w:pPr>
        <w:pStyle w:val="Compact"/>
        <w:numPr>
          <w:ilvl w:val="0"/>
          <w:numId w:val="1001"/>
        </w:numPr>
      </w:pPr>
      <w:r>
        <w:t xml:space="preserve">You supply your country-specific Tier 2 activity data and emission-factor inputs, each with an uncertainty range.</w:t>
      </w:r>
    </w:p>
    <w:p>
      <w:pPr>
        <w:pStyle w:val="Compact"/>
        <w:numPr>
          <w:ilvl w:val="0"/>
          <w:numId w:val="1001"/>
        </w:numPr>
      </w:pPr>
      <w:r>
        <w:t xml:space="preserve">The tool randomly samples from the uncertainty distributions you have defined (thousands of times) and propagates those samples through the full IPCC Tier 2 equation chain (Eq. 10.1–10.34).</w:t>
      </w:r>
    </w:p>
    <w:p>
      <w:pPr>
        <w:pStyle w:val="Compact"/>
        <w:numPr>
          <w:ilvl w:val="0"/>
          <w:numId w:val="1001"/>
        </w:numPr>
      </w:pPr>
      <w:r>
        <w:t xml:space="preserve">It reports the resulting 95% confidence interval around your emission estimate, identifies which parameters drive the most uncertainty (sensitivity analysis), and formats the results for submission in the format of IPCC 2006 Vol. 1 Ch. 3 Table 3.3.</w:t>
      </w:r>
    </w:p>
    <w:p>
      <w:pPr>
        <w:pStyle w:val="FirstParagraph"/>
      </w:pPr>
      <w:r>
        <w:t xml:space="preserve">The approach follows IPCC Approach 2 (Monte Carlo) as described in IPCC 2006 Vol. 1 Ch. 3.</w:t>
      </w:r>
    </w:p>
    <w:bookmarkEnd w:id="9"/>
    <w:bookmarkStart w:id="10" w:name="who-this-tool-is-for"/>
    <w:p>
      <w:pPr>
        <w:pStyle w:val="Heading2"/>
      </w:pPr>
      <w:r>
        <w:t xml:space="preserve">Who this tool is for</w:t>
      </w:r>
    </w:p>
    <w:p>
      <w:pPr>
        <w:pStyle w:val="FirstParagraph"/>
      </w:pPr>
      <w:r>
        <w:t xml:space="preserve">This tool is designed for national inventory practitioners who:</w:t>
      </w:r>
    </w:p>
    <w:p>
      <w:pPr>
        <w:pStyle w:val="Compact"/>
        <w:numPr>
          <w:ilvl w:val="0"/>
          <w:numId w:val="1002"/>
        </w:numPr>
      </w:pPr>
      <w:r>
        <w:t xml:space="preserve">Are already conducting or have recently completed a Tier 2 cattle GHG inventory (enteric fermentation, manure management, direct and indirect N</w:t>
      </w:r>
      <w:r>
        <w:t xml:space="preserve">O from pasture deposition)</w:t>
      </w:r>
    </w:p>
    <w:p>
      <w:pPr>
        <w:pStyle w:val="Compact"/>
        <w:numPr>
          <w:ilvl w:val="0"/>
          <w:numId w:val="1002"/>
        </w:numPr>
      </w:pPr>
      <w:r>
        <w:t xml:space="preserve">Have at least rough estimates of the uncertainty in their key activity data and emission factors</w:t>
      </w:r>
    </w:p>
    <w:p>
      <w:pPr>
        <w:pStyle w:val="Compact"/>
        <w:numPr>
          <w:ilvl w:val="0"/>
          <w:numId w:val="1002"/>
        </w:numPr>
      </w:pPr>
      <w:r>
        <w:t xml:space="preserve">Need to report the uncertainty range for inclusion in national inventory reports</w:t>
      </w:r>
    </w:p>
    <w:p>
      <w:pPr>
        <w:pStyle w:val="FirstParagraph"/>
      </w:pPr>
      <w:r>
        <w:t xml:space="preserve">The tool assumes basic familiarity with IPCC Tier 2 methodology. Users do not need prior experience with Monte Carlo methods, but a conceptual understanding of probability distributions is helpful.</w:t>
      </w:r>
    </w:p>
    <w:bookmarkEnd w:id="10"/>
    <w:bookmarkStart w:id="11" w:name="emission-sources-covered"/>
    <w:p>
      <w:pPr>
        <w:pStyle w:val="Heading2"/>
      </w:pPr>
      <w:r>
        <w:t xml:space="preserve">Emission sources covered</w:t>
      </w:r>
    </w:p>
    <w:p>
      <w:pPr>
        <w:pStyle w:val="FirstParagraph"/>
      </w:pPr>
      <w:r>
        <w:t xml:space="preserve">The Monte Carlo simulations can be run for enteric fermentation alone, or for enteric fermentation together with one or more (or all) of the other emission sources listed above. If you are interested to only run simulations for manure-related emission sources, you should supply country-specific Tier 2 input parameters for enteric fermentation. If these are not supplied, the tool will auto-fill these inputs using IPCC default parameters and uncertainty ranges, which may not reflect the assumptions in your inventory.</w:t>
      </w:r>
    </w:p>
    <w:p>
      <w:r>
        <w:br w:type="page"/>
      </w:r>
    </w:p>
    <w:bookmarkEnd w:id="11"/>
    <w:bookmarkEnd w:id="12"/>
    <w:bookmarkStart w:id="22" w:name="preparing-your-data"/>
    <w:p>
      <w:pPr>
        <w:pStyle w:val="Heading1"/>
      </w:pPr>
      <w:r>
        <w:t xml:space="preserve">Preparing your data</w:t>
      </w:r>
    </w:p>
    <w:bookmarkStart w:id="13" w:name="what-you-need-before-you-start"/>
    <w:p>
      <w:pPr>
        <w:pStyle w:val="Heading2"/>
      </w:pPr>
      <w:r>
        <w:t xml:space="preserve">What you need before you start</w:t>
      </w:r>
    </w:p>
    <w:p>
      <w:pPr>
        <w:pStyle w:val="FirstParagraph"/>
      </w:pPr>
      <w:r>
        <w:t xml:space="preserve">Before opening the tool, assemble the following:</w:t>
      </w:r>
    </w:p>
    <w:p>
      <w:pPr>
        <w:numPr>
          <w:ilvl w:val="0"/>
          <w:numId w:val="1003"/>
        </w:numPr>
      </w:pPr>
      <w:r>
        <w:rPr>
          <w:b/>
          <w:bCs/>
        </w:rPr>
        <w:t xml:space="preserve">Activity data</w:t>
      </w:r>
      <w:r>
        <w:t xml:space="preserve">: For each animal sub-category, the population (N), body weight (BW), weight gain (WG), milk yield (for cows), milk fat %, digestible energy (DE%), manure management system (MMS) fractions, and other Tier 2 inputs.</w:t>
      </w:r>
    </w:p>
    <w:p>
      <w:pPr>
        <w:numPr>
          <w:ilvl w:val="0"/>
          <w:numId w:val="1003"/>
        </w:numPr>
      </w:pPr>
      <w:r>
        <w:rPr>
          <w:b/>
          <w:bCs/>
        </w:rPr>
        <w:t xml:space="preserve">Uncertainty ranges</w:t>
      </w:r>
      <w:r>
        <w:t xml:space="preserve">: For each parameter, an estimate of its uncertainty, typically either:</w:t>
      </w:r>
    </w:p>
    <w:p>
      <w:pPr>
        <w:pStyle w:val="Compact"/>
        <w:numPr>
          <w:ilvl w:val="1"/>
          <w:numId w:val="1004"/>
        </w:numPr>
      </w:pPr>
      <w:r>
        <w:t xml:space="preserve">A percentage uncertainty (e.g. ±20% representing the half-width of a 95% confidence interval), or</w:t>
      </w:r>
    </w:p>
    <w:p>
      <w:pPr>
        <w:pStyle w:val="Compact"/>
        <w:numPr>
          <w:ilvl w:val="1"/>
          <w:numId w:val="1004"/>
        </w:numPr>
      </w:pPr>
      <w:r>
        <w:t xml:space="preserve">Explicit lower and upper bounds.</w:t>
      </w:r>
    </w:p>
    <w:p>
      <w:pPr>
        <w:numPr>
          <w:ilvl w:val="0"/>
          <w:numId w:val="1003"/>
        </w:numPr>
      </w:pPr>
      <w:r>
        <w:rPr>
          <w:b/>
          <w:bCs/>
        </w:rPr>
        <w:t xml:space="preserve">Manure management fractions</w:t>
      </w:r>
      <w:r>
        <w:t xml:space="preserve"> </w:t>
      </w:r>
      <w:r>
        <w:t xml:space="preserve">(if running manure management CH</w:t>
      </w:r>
      <w:r>
        <w:t xml:space="preserve"> </w:t>
      </w:r>
      <w:r>
        <w:t xml:space="preserve">or N</w:t>
      </w:r>
      <w:r>
        <w:t xml:space="preserve">O): The percentage of manure allocated to each management system (e.g. pasture, solid storage, liquid, etc.). If you are uncertain about the allocation itself, the tool uses a data uploading template in which the Manure_Management tab has optional</w:t>
      </w:r>
      <w:r>
        <w:t xml:space="preserve"> </w:t>
      </w:r>
      <w:r>
        <w:t xml:space="preserve"> </w:t>
      </w:r>
      <w:r>
        <w:t xml:space="preserve">/</w:t>
      </w:r>
      <w:r>
        <w:t xml:space="preserve"> </w:t>
      </w:r>
      <w:r>
        <w:t xml:space="preserve"> </w:t>
      </w:r>
      <w:r>
        <w:t xml:space="preserve">/</w:t>
      </w:r>
      <w:r>
        <w:t xml:space="preserve"> </w:t>
      </w:r>
      <w:r>
        <w:t xml:space="preserve"> </w:t>
      </w:r>
      <w:r>
        <w:t xml:space="preserve">columns, fill them and the tool will sample each MMS within its range, renormalising every Monte Carlo iteration so the simplex (per-group rows sum to 100%) is preserved. The sampled values surface as</w:t>
      </w:r>
      <w:r>
        <w:t xml:space="preserve"> </w:t>
      </w:r>
      <w:r>
        <w:t xml:space="preserve"> </w:t>
      </w:r>
      <w:r>
        <w:t xml:space="preserve">in the sensitivity tornado so MMS allocation can show up as an influential driver. Leave blank to keep</w:t>
      </w:r>
      <w:r>
        <w:t xml:space="preserve"> </w:t>
      </w:r>
      <w:r>
        <w:t xml:space="preserve"> </w:t>
      </w:r>
      <w:r>
        <w:t xml:space="preserve">deterministic (the default, matching the IPCC Inventory Software).</w:t>
      </w:r>
    </w:p>
    <w:p>
      <w:pPr>
        <w:numPr>
          <w:ilvl w:val="0"/>
          <w:numId w:val="1003"/>
        </w:numPr>
      </w:pPr>
      <w:r>
        <w:rPr>
          <w:b/>
          <w:bCs/>
        </w:rPr>
        <w:t xml:space="preserve">Emission factors and other coefficients</w:t>
      </w:r>
      <w:r>
        <w:t xml:space="preserve">: If your inventory uses country-specific emission factors (e.g. EF3, EF4, etc.) or country-specific values of other parameters (e.g. C, Ca, Cp, Frac_GasMS, etc.), prepare these parameter values and the associated uncertainty estimates. If your inventory uses the IPCC default values, the tool can auto-fill these default values.</w:t>
      </w:r>
    </w:p>
    <w:p>
      <w:pPr>
        <w:pStyle w:val="FirstParagraph"/>
      </w:pPr>
      <w:r>
        <w:t xml:space="preserve">If you do not yet have uncertainty estimates, see Section 2.4 for guidance on obtaining them.</w:t>
      </w:r>
    </w:p>
    <w:p>
      <w:pPr>
        <w:pStyle w:val="BodyText"/>
      </w:pPr>
      <w:r>
        <w:t xml:space="preserve"> </w:t>
      </w:r>
      <w:r>
        <w:t xml:space="preserve">The tool’s pre-run check is source-aware: if you select only the methane sources (i.e. enteric fermentation, manure management CH</w:t>
      </w:r>
      <w:r>
        <w:t xml:space="preserve">), it will not ask you to fill the N</w:t>
      </w:r>
      <w:r>
        <w:t xml:space="preserve">O parameters, and vice versa. So a methane-only run never blocks on blank manure-N</w:t>
      </w:r>
      <w:r>
        <w:t xml:space="preserve">O cells. The managed-storage N</w:t>
      </w:r>
      <w:r>
        <w:t xml:space="preserve">O quantities (EF3 per system, Frac_GasMS, Frac_LeachMS) live in the Manure_Management tab, fill them there, not in the Parameters tab.</w:t>
      </w:r>
    </w:p>
    <w:p>
      <w:pPr>
        <w:pStyle w:val="BodyText"/>
      </w:pPr>
      <w:r>
        <w:t xml:space="preserve">The tool uses a specific data upload template, described in the following sections. When you assemble your inputs to the tool, you may either input them directly into the template (which can be downloaded from the</w:t>
      </w:r>
      <w:r>
        <w:t xml:space="preserve"> </w:t>
      </w:r>
      <w:r>
        <w:rPr>
          <w:rStyle w:val="VerbatimChar"/>
        </w:rPr>
        <w:t xml:space="preserve">1. Data input' tab), or you can use AI-assisted data preparation (see Section 2.2 below) to convert the data from your format into the template's format. In either case, it is useful to familiarise yourself with the parameter definitions and units used by the tool (see the</w:t>
      </w:r>
      <w:r>
        <w:t xml:space="preserve">Definitions’ tab) so that your inputs are aligned with how the tool treats each parameter. For example, MMS fractions should be expressed as percentages (e.g. `5’ meaning 5%) rather than fractions (e.g. 0.05).</w:t>
      </w:r>
    </w:p>
    <w:bookmarkEnd w:id="13"/>
    <w:bookmarkStart w:id="14" w:name="ai-assisted-data-preparation"/>
    <w:p>
      <w:pPr>
        <w:pStyle w:val="Heading2"/>
      </w:pPr>
      <w:r>
        <w:t xml:space="preserve">AI-assisted data preparation</w:t>
      </w:r>
    </w:p>
    <w:p>
      <w:pPr>
        <w:pStyle w:val="FirstParagraph"/>
      </w:pPr>
      <w:r>
        <w:t xml:space="preserve">If your raw inventory data lives in your own Excel or CSV files with column names or other formatting that does not match the template, the tool offers an</w:t>
      </w:r>
      <w:r>
        <w:t xml:space="preserve"> </w:t>
      </w:r>
      <w:r>
        <w:t xml:space="preserve"> </w:t>
      </w:r>
      <w:r>
        <w:t xml:space="preserve">that does the column-mapping and unit-conversion work for you. It is a small chat panel on the `Resources’ tab; you upload your data and the AI walks you through a three-step process that produces a filled template you can download.</w:t>
      </w:r>
    </w:p>
    <w:p>
      <w:pPr>
        <w:pStyle w:val="BodyText"/>
      </w:pPr>
      <w:r>
        <w:t xml:space="preserve"> </w:t>
      </w:r>
      <w:r>
        <w:t xml:space="preserve">The translator works in three explicit passes: Explore, Clarify, Emit, instead of trying to do everything at once. This structure stops the AI from silently dropping rows or substituting catalogue defaults for values you supplied.</w:t>
      </w:r>
    </w:p>
    <w:p>
      <w:pPr>
        <w:pStyle w:val="BodyText"/>
      </w:pPr>
      <w:r>
        <w:t xml:space="preserve"> </w:t>
      </w:r>
      <w:r>
        <w:t xml:space="preserve">The translator is most useful when (a) your data is in a different format from the template (e.g. rows are parameters, columns are years), (b) your column names differ from the template (e.g. </w:t>
      </w:r>
      <w:r>
        <w:t xml:space="preserve">,</w:t>
      </w:r>
      <w:r>
        <w:t xml:space="preserve"> </w:t>
      </w:r>
      <w:r>
        <w:t xml:space="preserve">), (c) you have data in inconsistent units (lbs vs kg, fractions vs percentages), or (d) you want IPCC defaults filled in for the parameters you do not measure.</w:t>
      </w:r>
    </w:p>
    <w:p>
      <w:pPr>
        <w:pStyle w:val="BodyText"/>
      </w:pPr>
      <w:r>
        <w:t xml:space="preserve"> </w:t>
      </w:r>
      <w:r>
        <w:t xml:space="preserve">The translator does column-mapping, not analysis. Always (a) spot-check the key numbers (population, body weight, milk yield) by comparing with your original file, and (b) review the QA/QC tab after upload: any value the translator filled from an IPCC default is flagged in amber there.</w:t>
      </w:r>
    </w:p>
    <w:p>
      <w:pPr>
        <w:pStyle w:val="BodyText"/>
      </w:pPr>
      <w:r>
        <w:t xml:space="preserve"> </w:t>
      </w:r>
      <w:r>
        <w:t xml:space="preserve">The translator is hosted by the GMH project on a small AI account (no payment from you). The chat does not store your input data: only your email and a per-call token count are logged so the administrator can monitor monthly usage. A $10/month global spending cap prevents runaway use; if the cap is hit you will see a clear</w:t>
      </w:r>
      <w:r>
        <w:t xml:space="preserve"> </w:t>
      </w:r>
      <w:r>
        <w:t xml:space="preserve">“monthly cap reached, contact administrator”</w:t>
      </w:r>
      <w:r>
        <w:t xml:space="preserve"> </w:t>
      </w:r>
      <w:r>
        <w:t xml:space="preserve">message.</w:t>
      </w:r>
    </w:p>
    <w:bookmarkEnd w:id="14"/>
    <w:bookmarkStart w:id="15" w:name="complete-parameter-reference"/>
    <w:p>
      <w:pPr>
        <w:pStyle w:val="Heading2"/>
      </w:pPr>
      <w:r>
        <w:t xml:space="preserve">Complete parameter reference</w:t>
      </w:r>
    </w:p>
    <w:p>
      <w:pPr>
        <w:pStyle w:val="FirstParagraph"/>
      </w:pPr>
      <w:r>
        <w:t xml:space="preserve">The table below lists all parameters accepted by the tool. Required parameters depend on the emission sources you are running. Parameters marked</w:t>
      </w:r>
      <w:r>
        <w:t xml:space="preserve"> </w:t>
      </w:r>
      <w:r>
        <w:t xml:space="preserve"> </w:t>
      </w:r>
      <w:r>
        <w:t xml:space="preserve">in the IPCC default column must be supplied from your national data. The tool will auto-fill missing optional parameters with IPCC defaults and flag them in Tab 1 (see Section 3.2). When uploading your data, be sure to select 2006 IPCC Guidelines or 2019 Refinement so that the tool auto-fills and performs data quality checks according to the correct version of the guidelines.</w:t>
      </w:r>
    </w:p>
    <w:p>
      <w:pPr>
        <w:pStyle w:val="BodyText"/>
      </w:pPr>
    </w:p>
    <w:p>
      <w:pPr>
        <w:pStyle w:val="BodyText"/>
      </w:pPr>
      <w:r>
        <w:t xml:space="preserve">: Parameters flagged</w:t>
      </w:r>
      <w:r>
        <w:t xml:space="preserve"> </w:t>
      </w:r>
      <w:r>
        <w:t xml:space="preserve">“asymmetric”</w:t>
      </w:r>
      <w:r>
        <w:t xml:space="preserve"> </w:t>
      </w:r>
      <w:r>
        <w:t xml:space="preserve">use explicit lower/upper bounds from the IPCC tables rather than a symmetric ±% formula. The template pre-fills these bounds automatically from the IPCC 2019 Refinement tables.</w:t>
      </w:r>
    </w:p>
    <w:bookmarkEnd w:id="15"/>
    <w:bookmarkStart w:id="16" w:name="understanding-the-input-structure"/>
    <w:p>
      <w:pPr>
        <w:pStyle w:val="Heading2"/>
      </w:pPr>
      <w:r>
        <w:t xml:space="preserve">Understanding the input structure</w:t>
      </w:r>
    </w:p>
    <w:p>
      <w:pPr>
        <w:pStyle w:val="FirstParagraph"/>
      </w:pPr>
      <w:r>
        <w:t xml:space="preserve">The tool uses an Excel template with a specific structure. On the</w:t>
      </w:r>
      <w:r>
        <w:t xml:space="preserve"> </w:t>
      </w:r>
      <w:r>
        <w:rPr>
          <w:b/>
          <w:bCs/>
        </w:rPr>
        <w:t xml:space="preserve">Data Input</w:t>
      </w:r>
      <w:r>
        <w:t xml:space="preserve"> </w:t>
      </w:r>
      <w:r>
        <w:t xml:space="preserve">tab, under</w:t>
      </w:r>
      <w:r>
        <w:t xml:space="preserve"> </w:t>
      </w:r>
      <w:r>
        <w:rPr>
          <w:rStyle w:val="VerbatimChar"/>
        </w:rPr>
        <w:t xml:space="preserve">Data source', select</w:t>
      </w:r>
      <w:r>
        <w:t xml:space="preserve">Custom Upload’, then select the IPCC Guidelines version, and download the template by clicking</w:t>
      </w:r>
      <w:r>
        <w:t xml:space="preserve"> </w:t>
      </w:r>
      <w:r>
        <w:t xml:space="preserve">“Download blank template”</w:t>
      </w:r>
      <w:r>
        <w:t xml:space="preserve">.</w:t>
      </w:r>
    </w:p>
    <w:bookmarkEnd w:id="16"/>
    <w:bookmarkStart w:id="17" w:name="the-inventory_metadata-sheet"/>
    <w:p>
      <w:pPr>
        <w:pStyle w:val="Heading2"/>
      </w:pPr>
      <w:r>
        <w:t xml:space="preserve">The Inventory_Metadata sheet</w:t>
      </w:r>
    </w:p>
    <w:p>
      <w:pPr>
        <w:pStyle w:val="FirstParagraph"/>
      </w:pPr>
      <w:r>
        <w:t xml:space="preserve">The first sheet captures where the inventory is for. Two cells deserve a note:</w:t>
      </w:r>
    </w:p>
    <w:p>
      <w:pPr>
        <w:pStyle w:val="Compact"/>
        <w:numPr>
          <w:ilvl w:val="0"/>
          <w:numId w:val="1005"/>
        </w:numPr>
      </w:pPr>
      <w:r>
        <w:t xml:space="preserve">: free text (e.g. </w:t>
      </w:r>
      <w:r>
        <w:t xml:space="preserve">). Used in the report header, not used for any lookup.</w:t>
      </w:r>
    </w:p>
    <w:p>
      <w:pPr>
        <w:pStyle w:val="Compact"/>
        <w:numPr>
          <w:ilvl w:val="0"/>
          <w:numId w:val="1005"/>
        </w:numPr>
      </w:pPr>
      <w:r>
        <w:t xml:space="preserve">: a</w:t>
      </w:r>
      <w:r>
        <w:t xml:space="preserve"> </w:t>
      </w:r>
      <w:r>
        <w:t xml:space="preserve"> </w:t>
      </w:r>
      <w:r>
        <w:t xml:space="preserve">(</w:t>
      </w:r>
      <w:r>
        <w:t xml:space="preserve">). This drives the QA tab’s BW deviation check, which compares your body-weight value against the IPCC Vol.4 Ch.10 Annex Tables 10A.1 / 10A.2 / 10A.3 default for your continent. Pick the continent your inventory’s animal sub-categories are in. If you genuinely do not know or are running a hypothetical example, select</w:t>
      </w:r>
      <w:r>
        <w:t xml:space="preserve"> </w:t>
      </w:r>
      <w:r>
        <w:t xml:space="preserve">.</w:t>
      </w:r>
    </w:p>
    <w:p>
      <w:pPr>
        <w:pStyle w:val="FirstParagraph"/>
      </w:pPr>
      <w:r>
        <w:t xml:space="preserve">The Parameters sheet has the following key columns:</w:t>
      </w:r>
    </w:p>
    <w:p>
      <w:pPr>
        <w:pStyle w:val="BodyText"/>
      </w:pPr>
      <w:r>
        <w:t xml:space="preserve"> </w:t>
      </w:r>
      <w:r>
        <w:t xml:space="preserve">Each row is one parameter for one sub-category. A country with two production systems and five sub-categories each would have approximately 12–15 parameters × 10 sub-categories = 100–150 rows. (Hence, the AI translator may be particularly useful for users with large numbers of sub-categories.)</w:t>
      </w:r>
    </w:p>
    <w:bookmarkEnd w:id="17"/>
    <w:bookmarkStart w:id="18" w:name="defining-sub-categories"/>
    <w:p>
      <w:pPr>
        <w:pStyle w:val="Heading2"/>
      </w:pPr>
      <w:r>
        <w:t xml:space="preserve">Defining sub-categories</w:t>
      </w:r>
    </w:p>
    <w:p>
      <w:pPr>
        <w:pStyle w:val="FirstParagraph"/>
      </w:pPr>
      <w:r>
        <w:t xml:space="preserve">Sub-categories should match your national inventory. Examples of typical sub-categories include:</w:t>
      </w:r>
    </w:p>
    <w:p>
      <w:pPr>
        <w:pStyle w:val="Compact"/>
        <w:numPr>
          <w:ilvl w:val="0"/>
          <w:numId w:val="1006"/>
        </w:numPr>
      </w:pPr>
      <w:r>
        <w:t xml:space="preserve">Dairy:</w:t>
      </w:r>
      <w:r>
        <w:t xml:space="preserve"> </w:t>
      </w:r>
      <w:r>
        <w:t xml:space="preserve"> </w:t>
      </w:r>
      <w:r>
        <w:t xml:space="preserve">(lactating),</w:t>
      </w:r>
      <w:r>
        <w:t xml:space="preserve"> </w:t>
      </w:r>
      <w:r>
        <w:t xml:space="preserve">,</w:t>
      </w:r>
      <w:r>
        <w:t xml:space="preserve"> </w:t>
      </w:r>
      <w:r>
        <w:t xml:space="preserve">,</w:t>
      </w:r>
      <w:r>
        <w:t xml:space="preserve"> </w:t>
      </w:r>
      <w:r>
        <w:t xml:space="preserve">,</w:t>
      </w:r>
      <w:r>
        <w:t xml:space="preserve"> </w:t>
      </w:r>
    </w:p>
    <w:p>
      <w:pPr>
        <w:pStyle w:val="Compact"/>
        <w:numPr>
          <w:ilvl w:val="0"/>
          <w:numId w:val="1006"/>
        </w:numPr>
      </w:pPr>
      <w:r>
        <w:t xml:space="preserve">Non-dairy beef:</w:t>
      </w:r>
      <w:r>
        <w:t xml:space="preserve"> </w:t>
      </w:r>
      <w:r>
        <w:t xml:space="preserve">,</w:t>
      </w:r>
      <w:r>
        <w:t xml:space="preserve"> </w:t>
      </w:r>
      <w:r>
        <w:t xml:space="preserve">,</w:t>
      </w:r>
      <w:r>
        <w:t xml:space="preserve"> </w:t>
      </w:r>
      <w:r>
        <w:t xml:space="preserve">,</w:t>
      </w:r>
      <w:r>
        <w:t xml:space="preserve"> </w:t>
      </w:r>
      <w:r>
        <w:t xml:space="preserve">,</w:t>
      </w:r>
      <w:r>
        <w:t xml:space="preserve"> </w:t>
      </w:r>
    </w:p>
    <w:p>
      <w:pPr>
        <w:pStyle w:val="FirstParagraph"/>
      </w:pPr>
      <w:r>
        <w:t xml:space="preserve">Each sub-category needs its own rows for each relevant parameter. The values of</w:t>
      </w:r>
      <w:r>
        <w:t xml:space="preserve"> </w:t>
      </w:r>
      <w:r>
        <w:t xml:space="preserve">,</w:t>
      </w:r>
      <w:r>
        <w:t xml:space="preserve"> </w:t>
      </w:r>
      <w:r>
        <w:t xml:space="preserve">, and</w:t>
      </w:r>
      <w:r>
        <w:t xml:space="preserve"> </w:t>
      </w:r>
      <w:r>
        <w:t xml:space="preserve"> </w:t>
      </w:r>
      <w:r>
        <w:t xml:space="preserve">together identify each group uniquely: they must be spelled consistently across all rows for the same group. (If manually entering data, consistency in spelling can be achieved by `dragging’ an already-filled cell across unfilled cells, rather than retyping words.)</w:t>
      </w:r>
    </w:p>
    <w:bookmarkEnd w:id="18"/>
    <w:bookmarkStart w:id="19" w:name="if-you-already-measured-feed-intake"/>
    <w:p>
      <w:pPr>
        <w:pStyle w:val="Heading2"/>
      </w:pPr>
      <w:r>
        <w:t xml:space="preserve">If you already measured feed intake</w:t>
      </w:r>
    </w:p>
    <w:p>
      <w:pPr>
        <w:pStyle w:val="FirstParagraph"/>
      </w:pPr>
      <w:r>
        <w:t xml:space="preserve">Most inventories let the tool work out how much each animal eats, from body weight, growth, milk yield, pregnancy and activity. If your own data already measures intake, you can supply it instead and skip that step.</w:t>
      </w:r>
    </w:p>
    <w:p>
      <w:pPr>
        <w:pStyle w:val="BodyText"/>
      </w:pPr>
      <w:r>
        <w:t xml:space="preserve">Two optional rows appear for every sub-category in the Parameters sheet:</w:t>
      </w:r>
    </w:p>
    <w:p>
      <w:pPr>
        <w:pStyle w:val="Compact"/>
        <w:numPr>
          <w:ilvl w:val="0"/>
          <w:numId w:val="1007"/>
        </w:numPr>
      </w:pPr>
      <w:r>
        <w:t xml:space="preserve">: gross energy intake, in MJ per head per day.</w:t>
      </w:r>
    </w:p>
    <w:p>
      <w:pPr>
        <w:pStyle w:val="Compact"/>
        <w:numPr>
          <w:ilvl w:val="0"/>
          <w:numId w:val="1007"/>
        </w:numPr>
      </w:pPr>
      <w:r>
        <w:t xml:space="preserve">: dry matter intake, in kg per head per day. Used only when</w:t>
      </w:r>
      <w:r>
        <w:t xml:space="preserve"> </w:t>
      </w:r>
      <w:r>
        <w:t xml:space="preserve"> </w:t>
      </w:r>
      <w:r>
        <w:t xml:space="preserve">is not given, and converted at the IPCC factor of 18.45 MJ per kg.</w:t>
      </w:r>
    </w:p>
    <w:p>
      <w:pPr>
        <w:pStyle w:val="FirstParagraph"/>
      </w:pPr>
      <w:r>
        <w:t xml:space="preserve"> </w:t>
      </w:r>
      <w:r>
        <w:t xml:space="preserve">A blank cell means</w:t>
      </w:r>
      <w:r>
        <w:t xml:space="preserve"> </w:t>
      </w:r>
      <w:r>
        <w:t xml:space="preserve">“calculate it from the animal performance data”</w:t>
      </w:r>
      <w:r>
        <w:t xml:space="preserve">, which is the normal case and exactly what earlier versions of the tool did. Fill them in only for the sub-categories where you actually have a figure; you can mix measured and calculated groups in the same inventory. If you enter both,</w:t>
      </w:r>
      <w:r>
        <w:t xml:space="preserve"> </w:t>
      </w:r>
      <w:r>
        <w:t xml:space="preserve"> </w:t>
      </w:r>
      <w:r>
        <w:t xml:space="preserve">is used, because it carries your own measured energy density rather than the IPCC average.</w:t>
      </w:r>
    </w:p>
    <w:p>
      <w:pPr>
        <w:pStyle w:val="BodyText"/>
      </w:pPr>
      <w:r>
        <w:t xml:space="preserve"> </w:t>
      </w:r>
      <w:r>
        <w:t xml:space="preserve">This surprises people, so it is worth being explicit. A measured gross energy replaces the energy calculation, not the nitrogen calculation. Nitrogen excretion works by subtracting the nitrogen retained in milk and in weight gain from the nitrogen eaten, so those inputs still drive your nitrous oxide numbers. Digestibility (</w:t>
      </w:r>
      <w:r>
        <w:t xml:space="preserve">) is still needed too: once you supply</w:t>
      </w:r>
      <w:r>
        <w:t xml:space="preserve"> </w:t>
      </w:r>
      <w:r>
        <w:t xml:space="preserve"> </w:t>
      </w:r>
      <w:r>
        <w:t xml:space="preserve">it no longer affects enteric methane, but it still decides how much of the feed passes through undigested and becomes manure, and therefore manure methane.</w:t>
      </w:r>
    </w:p>
    <w:p>
      <w:pPr>
        <w:pStyle w:val="BodyText"/>
      </w:pPr>
      <w:r>
        <w:t xml:space="preserve"> </w:t>
      </w:r>
      <w:r>
        <w:t xml:space="preserve">The results table has an</w:t>
      </w:r>
      <w:r>
        <w:t xml:space="preserve"> </w:t>
      </w:r>
      <w:r>
        <w:t xml:space="preserve"> </w:t>
      </w:r>
      <w:r>
        <w:t xml:space="preserve">column showing, for each group, whether the figure was calculated (</w:t>
      </w:r>
      <w:r>
        <w:t xml:space="preserve">“Energy balance”</w:t>
      </w:r>
      <w:r>
        <w:t xml:space="preserve">) or supplied (</w:t>
      </w:r>
      <w:r>
        <w:t xml:space="preserve">“Measured GE”</w:t>
      </w:r>
      <w:r>
        <w:t xml:space="preserve"> </w:t>
      </w:r>
      <w:r>
        <w:t xml:space="preserve">or</w:t>
      </w:r>
      <w:r>
        <w:t xml:space="preserve"> </w:t>
      </w:r>
      <w:r>
        <w:t xml:space="preserve">“Measured DMI”</w:t>
      </w:r>
      <w:r>
        <w:t xml:space="preserve">). The same information appears in the run settings of the Excel download and in the Word report, so anyone reviewing your inventory can see how each number was produced. If a group mixes both, it is reported as</w:t>
      </w:r>
      <w:r>
        <w:t xml:space="preserve"> </w:t>
      </w:r>
      <w:r>
        <w:t xml:space="preserve">“Mixed”</w:t>
      </w:r>
      <w:r>
        <w:t xml:space="preserve"> </w:t>
      </w:r>
      <w:r>
        <w:t xml:space="preserve">rather than being labelled with one method.</w:t>
      </w:r>
    </w:p>
    <w:bookmarkEnd w:id="19"/>
    <w:bookmarkStart w:id="20" w:name="obtaining-uncertainty-estimates"/>
    <w:p>
      <w:pPr>
        <w:pStyle w:val="Heading2"/>
      </w:pPr>
      <w:r>
        <w:t xml:space="preserve">Obtaining uncertainty estimates</w:t>
      </w:r>
    </w:p>
    <w:p>
      <w:pPr>
        <w:pStyle w:val="FirstParagraph"/>
      </w:pPr>
    </w:p>
    <w:p>
      <w:pPr>
        <w:pStyle w:val="BodyText"/>
      </w:pPr>
    </w:p>
    <w:p>
      <w:pPr>
        <w:pStyle w:val="Compact"/>
        <w:numPr>
          <w:ilvl w:val="0"/>
          <w:numId w:val="1008"/>
        </w:numPr>
      </w:pPr>
      <w:r>
        <w:t xml:space="preserve">: If populations are estimated from representative livestock surveys, the survey sampling error may provide a direct estimate of uncertainty. The 95% confidence interval from a survey translates directly to the</w:t>
      </w:r>
      <w:r>
        <w:t xml:space="preserve"> </w:t>
      </w:r>
      <w:r>
        <w:t xml:space="preserve"> </w:t>
      </w:r>
      <w:r>
        <w:t xml:space="preserve">and</w:t>
      </w:r>
      <w:r>
        <w:t xml:space="preserve"> </w:t>
      </w:r>
      <w:r>
        <w:t xml:space="preserve"> </w:t>
      </w:r>
      <w:r>
        <w:t xml:space="preserve">bounds (or to</w:t>
      </w:r>
      <w:r>
        <w:t xml:space="preserve"> </w:t>
      </w:r>
      <w:r>
        <w:t xml:space="preserve"> </w:t>
      </w:r>
      <w:r>
        <w:t xml:space="preserve">if symmetric).</w:t>
      </w:r>
    </w:p>
    <w:p>
      <w:pPr>
        <w:pStyle w:val="Compact"/>
        <w:numPr>
          <w:ilvl w:val="0"/>
          <w:numId w:val="1008"/>
        </w:numPr>
      </w:pPr>
      <w:r>
        <w:t xml:space="preserve">: Ask the data provider to give a range within which they are 95% confident the true value falls.</w:t>
      </w:r>
    </w:p>
    <w:p>
      <w:pPr>
        <w:pStyle w:val="Compact"/>
        <w:numPr>
          <w:ilvl w:val="0"/>
          <w:numId w:val="1008"/>
        </w:numPr>
      </w:pPr>
      <w:r>
        <w:t xml:space="preserve">: IPCC 2019 Refinement Chapter 11 provides uncertainty ranges for key emission factors. Use these as the starting point if no country-specific data is available.</w:t>
      </w:r>
    </w:p>
    <w:p>
      <w:pPr>
        <w:pStyle w:val="FirstParagraph"/>
      </w:pPr>
    </w:p>
    <w:p>
      <w:pPr>
        <w:pStyle w:val="Compact"/>
        <w:numPr>
          <w:ilvl w:val="0"/>
          <w:numId w:val="1009"/>
        </w:numPr>
      </w:pPr>
      <w:r>
        <w:t xml:space="preserve">: If you used a country-specific value from a published study, the study’s reported confidence interval or standard deviation can be used.</w:t>
      </w:r>
    </w:p>
    <w:p>
      <w:pPr>
        <w:pStyle w:val="Compact"/>
        <w:numPr>
          <w:ilvl w:val="0"/>
          <w:numId w:val="1009"/>
        </w:numPr>
      </w:pPr>
      <w:r>
        <w:t xml:space="preserve">: IPCC 2019 Refinement (Vol.4 Ch.10 / Ch.11) gives uncertainty percentages or lower / upper bounds for several parameters (e.g. EF</w:t>
      </w:r>
      <w:r>
        <w:t xml:space="preserve">, Ym, MCF). The template pre-fills these where IPCC publishes them; where IPCC does not publish an uncertainty range, the template falls back to ranges from Penman</w:t>
      </w:r>
      <w:r>
        <w:t xml:space="preserve"> </w:t>
      </w:r>
      <w:r>
        <w:t xml:space="preserve"> </w:t>
      </w:r>
      <w:r>
        <w:t xml:space="preserve">(2000) and Monni</w:t>
      </w:r>
      <w:r>
        <w:t xml:space="preserve"> </w:t>
      </w:r>
      <w:r>
        <w:t xml:space="preserve"> </w:t>
      </w:r>
      <w:r>
        <w:t xml:space="preserve">(2007), these are clearly distinguished in the template footnotes.</w:t>
      </w:r>
    </w:p>
    <w:p>
      <w:pPr>
        <w:pStyle w:val="Compact"/>
        <w:numPr>
          <w:ilvl w:val="0"/>
          <w:numId w:val="1009"/>
        </w:numPr>
      </w:pPr>
      <w:r>
        <w:t xml:space="preserve">: Ask the expert who provided the value to estimate the plausible range.</w:t>
      </w:r>
    </w:p>
    <w:p>
      <w:pPr>
        <w:pStyle w:val="FirstParagraph"/>
      </w:pPr>
      <w:r>
        <w:t xml:space="preserve">If you genuinely have no information about a parameter’s uncertainty, a reasonable default for emission factors is</w:t>
      </w:r>
      <w:r>
        <w:t xml:space="preserve"> </w:t>
      </w:r>
      <w:r>
        <w:t xml:space="preserve">20–40%. For population data with census-based estimates,</w:t>
      </w:r>
      <w:r>
        <w:t xml:space="preserve"> </w:t>
      </w:r>
      <w:r>
        <w:t xml:space="preserve">5–15% is typical.</w:t>
      </w:r>
    </w:p>
    <w:bookmarkEnd w:id="20"/>
    <w:bookmarkStart w:id="21" w:name="choosing-a-distribution"/>
    <w:p>
      <w:pPr>
        <w:pStyle w:val="Heading2"/>
      </w:pPr>
      <w:r>
        <w:t xml:space="preserve">Choosing a distribution</w:t>
      </w:r>
    </w:p>
    <w:p>
      <w:pPr>
        <w:pStyle w:val="FirstParagraph"/>
      </w:pPr>
    </w:p>
    <w:p>
      <w:r>
        <w:br w:type="page"/>
      </w:r>
    </w:p>
    <w:bookmarkEnd w:id="21"/>
    <w:bookmarkEnd w:id="22"/>
    <w:bookmarkStart w:id="25" w:name="loading-your-data-tab-1-data-input"/>
    <w:p>
      <w:pPr>
        <w:pStyle w:val="Heading1"/>
      </w:pPr>
      <w:r>
        <w:t xml:space="preserve">Loading your data (Tab 1: Data Input)</w:t>
      </w:r>
    </w:p>
    <w:bookmarkStart w:id="23" w:name="using-the-example-datasets"/>
    <w:p>
      <w:pPr>
        <w:pStyle w:val="Heading2"/>
      </w:pPr>
      <w:r>
        <w:t xml:space="preserve">Using the example datasets</w:t>
      </w:r>
    </w:p>
    <w:p>
      <w:pPr>
        <w:pStyle w:val="FirstParagraph"/>
      </w:pPr>
      <w:r>
        <w:t xml:space="preserve">Two built-in example datasets are included to let you explore the tool without uploading your own data:</w:t>
      </w:r>
    </w:p>
    <w:p>
      <w:pPr>
        <w:pStyle w:val="Compact"/>
        <w:numPr>
          <w:ilvl w:val="0"/>
          <w:numId w:val="1010"/>
        </w:numPr>
      </w:pPr>
      <w:r>
        <w:t xml:space="preserve">: A fictional East African highland dairy system, 12 parameters, dairy/cows, including a synthetic 5-year time series.</w:t>
      </w:r>
    </w:p>
    <w:p>
      <w:pPr>
        <w:pStyle w:val="Compact"/>
        <w:numPr>
          <w:ilvl w:val="0"/>
          <w:numId w:val="1010"/>
        </w:numPr>
      </w:pPr>
      <w:r>
        <w:t xml:space="preserve">: A fictional semi-arid pastoral beef system, 11 parameters, non-dairy/breeding cows, including a synthetic 5-year time series.</w:t>
      </w:r>
    </w:p>
    <w:p>
      <w:pPr>
        <w:pStyle w:val="FirstParagraph"/>
      </w:pPr>
      <w:r>
        <w:t xml:space="preserve">Select either from the</w:t>
      </w:r>
      <w:r>
        <w:t xml:space="preserve"> </w:t>
      </w:r>
      <w:r>
        <w:t xml:space="preserve">“Country / Example Data”</w:t>
      </w:r>
      <w:r>
        <w:t xml:space="preserve"> </w:t>
      </w:r>
      <w:r>
        <w:t xml:space="preserve">dropdown. The tool loads the data immediately and you can proceed directly to Tab 2.</w:t>
      </w:r>
    </w:p>
    <w:bookmarkEnd w:id="23"/>
    <w:bookmarkStart w:id="24" w:name="uploading-your-own-data"/>
    <w:p>
      <w:pPr>
        <w:pStyle w:val="Heading2"/>
      </w:pPr>
      <w:r>
        <w:t xml:space="preserve">Uploading your own data</w:t>
      </w:r>
    </w:p>
    <w:p>
      <w:pPr>
        <w:pStyle w:val="FirstParagraph"/>
      </w:pPr>
      <w:r>
        <w:rPr>
          <w:b/>
          <w:bCs/>
        </w:rPr>
        <w:t xml:space="preserve">Step 1: Choose an IPCC Guidelines version.</w:t>
      </w:r>
      <w:r>
        <w:t xml:space="preserve"> </w:t>
      </w:r>
      <w:r>
        <w:t xml:space="preserve">Before downloading the template, select the IPCC version your inventory follows:</w:t>
      </w:r>
    </w:p>
    <w:p>
      <w:pPr>
        <w:pStyle w:val="Compact"/>
        <w:numPr>
          <w:ilvl w:val="0"/>
          <w:numId w:val="1011"/>
        </w:numPr>
      </w:pPr>
      <w:r>
        <w:t xml:space="preserve">: Uses the eight original manure management systems (MMS). Choose this if your national inventory is based on the 2006 Guidelines.</w:t>
      </w:r>
    </w:p>
    <w:p>
      <w:pPr>
        <w:pStyle w:val="Compact"/>
        <w:numPr>
          <w:ilvl w:val="0"/>
          <w:numId w:val="1011"/>
        </w:numPr>
      </w:pPr>
      <w:r>
        <w:t xml:space="preserve">: Adds four additional MMS types (anaerobic digester/biogas, aerobic treatment, solid storage covered/compacted, burned for fuel) and uses updated emission factors and N excretion equations from the 2019 Refinement. Choose this for inventories aligned with the 2019 Refinement.</w:t>
      </w:r>
    </w:p>
    <w:p>
      <w:pPr>
        <w:pStyle w:val="FirstParagraph"/>
      </w:pPr>
      <w:r>
        <w:t xml:space="preserve">The MMS dropdown in the downloaded template is automatically filtered to show only the manure systems valid for the version you selected.</w:t>
      </w:r>
    </w:p>
    <w:p>
      <w:pPr>
        <w:pStyle w:val="BodyText"/>
      </w:pPr>
      <w:r>
        <w:rPr>
          <w:b/>
          <w:bCs/>
        </w:rPr>
        <w:t xml:space="preserve">Step 2: Download and fill in the template.</w:t>
      </w:r>
    </w:p>
    <w:p>
      <w:pPr>
        <w:pStyle w:val="Compact"/>
        <w:numPr>
          <w:ilvl w:val="0"/>
          <w:numId w:val="1012"/>
        </w:numPr>
      </w:pPr>
      <w:r>
        <w:t xml:space="preserve">Click</w:t>
      </w:r>
      <w:r>
        <w:t xml:space="preserve"> </w:t>
      </w:r>
      <w:r>
        <w:t xml:space="preserve">“Download Excel template”</w:t>
      </w:r>
      <w:r>
        <w:t xml:space="preserve"> </w:t>
      </w:r>
      <w:r>
        <w:t xml:space="preserve">to get the pre-formatted workbook</w:t>
      </w:r>
    </w:p>
    <w:p>
      <w:pPr>
        <w:pStyle w:val="Compact"/>
        <w:numPr>
          <w:ilvl w:val="0"/>
          <w:numId w:val="1012"/>
        </w:numPr>
      </w:pPr>
      <w:r>
        <w:t xml:space="preserve">Fill in the</w:t>
      </w:r>
      <w:r>
        <w:t xml:space="preserve"> </w:t>
      </w:r>
      <w:r>
        <w:rPr>
          <w:b/>
          <w:bCs/>
        </w:rPr>
        <w:t xml:space="preserve">Parameters</w:t>
      </w:r>
      <w:r>
        <w:t xml:space="preserve"> </w:t>
      </w:r>
      <w:r>
        <w:t xml:space="preserve">sheet following the structure in Section 2.3</w:t>
      </w:r>
    </w:p>
    <w:p>
      <w:pPr>
        <w:pStyle w:val="Compact"/>
        <w:numPr>
          <w:ilvl w:val="0"/>
          <w:numId w:val="1012"/>
        </w:numPr>
      </w:pPr>
      <w:r>
        <w:t xml:space="preserve">Fill in the</w:t>
      </w:r>
      <w:r>
        <w:t xml:space="preserve"> </w:t>
      </w:r>
      <w:r>
        <w:rPr>
          <w:b/>
          <w:bCs/>
        </w:rPr>
        <w:t xml:space="preserve">Manure_Management</w:t>
      </w:r>
      <w:r>
        <w:t xml:space="preserve"> </w:t>
      </w:r>
      <w:r>
        <w:t xml:space="preserve">sheet if you are running manure N</w:t>
      </w:r>
      <w:r>
        <w:t xml:space="preserve">O sources</w:t>
      </w:r>
    </w:p>
    <w:p>
      <w:pPr>
        <w:pStyle w:val="Compact"/>
        <w:numPr>
          <w:ilvl w:val="0"/>
          <w:numId w:val="1012"/>
        </w:numPr>
      </w:pPr>
      <w:r>
        <w:rPr>
          <w:i/>
          <w:iCs/>
        </w:rPr>
        <w:t xml:space="preserve">(Optional)</w:t>
      </w:r>
      <w:r>
        <w:t xml:space="preserve"> </w:t>
      </w:r>
      <w:r>
        <w:t xml:space="preserve">Fill in the</w:t>
      </w:r>
      <w:r>
        <w:t xml:space="preserve"> </w:t>
      </w:r>
      <w:r>
        <w:rPr>
          <w:b/>
          <w:bCs/>
        </w:rPr>
        <w:t xml:space="preserve">Parameter_TimeSeries</w:t>
      </w:r>
      <w:r>
        <w:t xml:space="preserve"> </w:t>
      </w:r>
      <w:r>
        <w:t xml:space="preserve">sheet if you want correlations computed automatically from historical data</w:t>
      </w:r>
    </w:p>
    <w:p>
      <w:pPr>
        <w:pStyle w:val="Compact"/>
        <w:numPr>
          <w:ilvl w:val="0"/>
          <w:numId w:val="1012"/>
        </w:numPr>
      </w:pPr>
      <w:r>
        <w:t xml:space="preserve">Save the file as .xlsx and upload it using the file picker.</w:t>
      </w:r>
    </w:p>
    <w:p>
      <w:pPr>
        <w:pStyle w:val="FirstParagraph"/>
      </w:pPr>
      <w:r>
        <w:rPr>
          <w:b/>
          <w:bCs/>
        </w:rPr>
        <w:t xml:space="preserve">Step 3: Review upload notifications.</w:t>
      </w:r>
    </w:p>
    <w:p>
      <w:pPr>
        <w:pStyle w:val="BodyText"/>
      </w:pPr>
      <w:r>
        <w:t xml:space="preserve">After a successful upload, a green notification confirms how many parameters were loaded. Any warnings appear as amber notifications.</w:t>
      </w:r>
    </w:p>
    <w:p>
      <w:pPr>
        <w:pStyle w:val="BodyText"/>
      </w:pPr>
      <w:r>
        <w:t xml:space="preserve"> </w:t>
      </w:r>
      <w:r>
        <w:t xml:space="preserve">If your upload does not include all required parameters, the tool will:</w:t>
      </w:r>
    </w:p>
    <w:p>
      <w:pPr>
        <w:pStyle w:val="BodyText"/>
      </w:pPr>
      <w:r>
        <w:t xml:space="preserve">You should review whether the IPCC defaults are appropriate for your country context and, where necessary, revise any auto-filled values before your final simulation run.</w:t>
      </w:r>
    </w:p>
    <w:p>
      <w:pPr>
        <w:pStyle w:val="BodyText"/>
      </w:pPr>
    </w:p>
    <w:p>
      <w:r>
        <w:br w:type="page"/>
      </w:r>
    </w:p>
    <w:bookmarkEnd w:id="24"/>
    <w:bookmarkEnd w:id="25"/>
    <w:bookmarkStart w:id="29" w:name="reviewing-data-quality-tab-2-qaqc"/>
    <w:p>
      <w:pPr>
        <w:pStyle w:val="Heading1"/>
      </w:pPr>
      <w:r>
        <w:t xml:space="preserve">Reviewing data quality (Tab 2: QA/QC)</w:t>
      </w:r>
    </w:p>
    <w:bookmarkStart w:id="26" w:name="what-the-qaqc-checks-do"/>
    <w:p>
      <w:pPr>
        <w:pStyle w:val="Heading2"/>
      </w:pPr>
      <w:r>
        <w:t xml:space="preserve">What the QA/QC checks do</w:t>
      </w:r>
    </w:p>
    <w:p>
      <w:pPr>
        <w:pStyle w:val="FirstParagraph"/>
      </w:pPr>
      <w:r>
        <w:t xml:space="preserve">The QA/QC tab runs automated checks on your parameter values and flags any that are potentially problematic. Five statuses are possible:</w:t>
      </w:r>
    </w:p>
    <w:p>
      <w:pPr>
        <w:pStyle w:val="BodyText"/>
      </w:pPr>
      <w:r>
        <w:t xml:space="preserve"> </w:t>
      </w:r>
      <w:r>
        <w:t xml:space="preserve">The deviation check (Pass below ±50% from the IPCC default, Warn above; a deviation above 200% is still a warning, never a fail) is applied</w:t>
      </w:r>
      <w:r>
        <w:t xml:space="preserve"> </w:t>
      </w:r>
      <w:r>
        <w:t xml:space="preserve">: the one parameter for which the tool keeps a defensible continental IPCC table lookup: Annex Tables 10A.1 (dairy cows), 10A.2 (non-dairy cattle), and 10A.3 (buffalo).</w:t>
      </w:r>
    </w:p>
    <w:p>
      <w:pPr>
        <w:pStyle w:val="BodyText"/>
      </w:pPr>
      <w:r>
        <w:t xml:space="preserve"> </w:t>
      </w:r>
      <w:r>
        <w:t xml:space="preserve">If a Parameters-sheet</w:t>
      </w:r>
      <w:r>
        <w:t xml:space="preserve"> </w:t>
      </w:r>
      <w:r>
        <w:t xml:space="preserve"> </w:t>
      </w:r>
      <w:r>
        <w:t xml:space="preserve">(e.g. </w:t>
      </w:r>
      <w:r>
        <w:t xml:space="preserve">) has no exact match in the Manure_Management sheet but</w:t>
      </w:r>
      <w:r>
        <w:t xml:space="preserve"> </w:t>
      </w:r>
      <w:r>
        <w:t xml:space="preserve"> </w:t>
      </w:r>
      <w:r>
        <w:t xml:space="preserve">close to exactly one Manure_Management sub-category (e.g. </w:t>
      </w:r>
      <w:r>
        <w:t xml:space="preserve">, edit distance</w:t>
      </w:r>
      <w:r>
        <w:t xml:space="preserve"> </w:t>
      </w:r>
      <m:oMath>
        <m:r>
          <m:rPr>
            <m:sty m:val="p"/>
          </m:rPr>
          <m:t>≤</m:t>
        </m:r>
        <m:r>
          <m:t>2</m:t>
        </m:r>
      </m:oMath>
      <w:r>
        <w:t xml:space="preserve">), the tool auto-matches them and emits a</w:t>
      </w:r>
      <w:r>
        <w:t xml:space="preserve"> </w:t>
      </w:r>
      <w:r>
        <w:t xml:space="preserve"> </w:t>
      </w:r>
      <w:r>
        <w:t xml:space="preserve">row labelled</w:t>
      </w:r>
      <w:r>
        <w:t xml:space="preserve"> </w:t>
      </w:r>
      <w:r>
        <w:t xml:space="preserve"> </w:t>
      </w:r>
      <w:r>
        <w:t xml:space="preserve">so you can verify the substitution. If multiple candidates match, the run is blocked with a clear error.</w:t>
      </w:r>
    </w:p>
    <w:bookmarkEnd w:id="26"/>
    <w:bookmarkStart w:id="27" w:name="what-to-do-for-each-status"/>
    <w:p>
      <w:pPr>
        <w:pStyle w:val="Heading2"/>
      </w:pPr>
      <w:r>
        <w:t xml:space="preserve">What to do for each status</w:t>
      </w:r>
    </w:p>
    <w:p>
      <w:pPr>
        <w:pStyle w:val="FirstParagraph"/>
      </w:pPr>
      <w:r>
        <w:t xml:space="preserve">: No action needed. All structural checks passed; for</w:t>
      </w:r>
      <w:r>
        <w:t xml:space="preserve"> </w:t>
      </w:r>
      <w:r>
        <w:t xml:space="preserve"> </w:t>
      </w:r>
      <w:r>
        <w:t xml:space="preserve">the mean is also within ±50% of the continental IPCC default (Annex Tables 10A.1 / 10A.2 / 10A.3).</w:t>
      </w:r>
    </w:p>
    <w:p>
      <w:pPr>
        <w:pStyle w:val="BodyText"/>
      </w:pPr>
      <w:r>
        <w:t xml:space="preserve">: Either the</w:t>
      </w:r>
      <w:r>
        <w:t xml:space="preserve"> </w:t>
      </w:r>
      <w:r>
        <w:t xml:space="preserve"> </w:t>
      </w:r>
      <w:r>
        <w:t xml:space="preserve">mean deviates more than 50% from the continental IPCC default, or a non-fatal structural condition fired (asymmetric-bounds reminder for EF</w:t>
      </w:r>
      <w:r>
        <w:t xml:space="preserve"> </w:t>
      </w:r>
      <w:r>
        <w:t xml:space="preserve">/ Frac_GASM_PRP / Frac_LEACH_PRP, sub-category auto-match, implausible bounds, fractional parameter on an unbounded distribution). Possible actions:</w:t>
      </w:r>
    </w:p>
    <w:p>
      <w:pPr>
        <w:pStyle w:val="BodyText"/>
      </w:pPr>
      <w:r>
        <w:t xml:space="preserve">: A structural validation failed:</w:t>
      </w:r>
      <w:r>
        <w:t xml:space="preserve"> </w:t>
      </w:r>
      <m:oMath>
        <m:r>
          <m:t>D</m:t>
        </m:r>
        <m:sSub>
          <m:e>
            <m:r>
              <m:t>E</m:t>
            </m:r>
          </m:e>
          <m:sub>
            <m:r>
              <m:rPr>
                <m:sty m:val="p"/>
              </m:rPr>
              <m:t>%</m:t>
            </m:r>
          </m:sub>
        </m:sSub>
        <m:r>
          <m:rPr>
            <m:sty m:val="p"/>
          </m:rPr>
          <m:t>≤</m:t>
        </m:r>
        <m:r>
          <m:t>0</m:t>
        </m:r>
      </m:oMath>
      <w:r>
        <w:t xml:space="preserve"> </w:t>
      </w:r>
      <w:r>
        <w:t xml:space="preserve">or</w:t>
      </w:r>
      <w:r>
        <w:t xml:space="preserve"> </w:t>
      </w:r>
      <m:oMath>
        <m:r>
          <m:rPr>
            <m:sty m:val="p"/>
          </m:rPr>
          <m:t>≥</m:t>
        </m:r>
        <m:r>
          <m:t>100</m:t>
        </m:r>
      </m:oMath>
      <w:r>
        <w:t xml:space="preserve">; bounds that do not bracket the mean; an MMS fraction-sum more than 1% off 100%; or a Beta configured with mean outside</w:t>
      </w:r>
      <w:r>
        <w:t xml:space="preserve"> </w:t>
      </w:r>
      <m:oMath>
        <m:r>
          <m:rPr>
            <m:sty m:val="p"/>
          </m:rPr>
          <m:t>(</m:t>
        </m:r>
        <m:r>
          <m:t>0</m:t>
        </m:r>
        <m:r>
          <m:rPr>
            <m:sty m:val="p"/>
          </m:rPr>
          <m:t>,</m:t>
        </m:r>
        <m:r>
          <m:t>1</m:t>
        </m:r>
        <m:r>
          <m:rPr>
            <m:sty m:val="p"/>
          </m:rPr>
          <m:t>)</m:t>
        </m:r>
      </m:oMath>
      <w:r>
        <w:t xml:space="preserve">. The Run button stays blocked while any fail remains. Correct the value in your Excel file and re-upload, or, if you have checked the value and accept it, tick</w:t>
      </w:r>
      <w:r>
        <w:t xml:space="preserve"> </w:t>
      </w:r>
      <w:r>
        <w:t xml:space="preserve"> </w:t>
      </w:r>
      <w:r>
        <w:t xml:space="preserve">next to the row.</w:t>
      </w:r>
    </w:p>
    <w:p>
      <w:pPr>
        <w:pStyle w:val="BodyText"/>
      </w:pPr>
      <w:r>
        <w:t xml:space="preserve"> </w:t>
      </w:r>
      <w:r>
        <w:t xml:space="preserve">Each failing row has an Ignore checkbox. The first tick opens a warning: running with ignored checks may produce unreliable results. Two failures cannot simply be waved through because the sampler would return NaN, so ignoring them applies the smallest repair instead and marks the row</w:t>
      </w:r>
      <w:r>
        <w:t xml:space="preserve"> </w:t>
      </w:r>
      <w:r>
        <w:t xml:space="preserve">: bounds that do not bracket the mean are widened around it, and a Beta or log-normal distribution on a value outside its valid range is replaced by a normal distribution. An ambiguous sub-category key cannot be ignored. Every ignored or repaired check is shown in a red banner above the results and listed in the Excel report (sheet</w:t>
      </w:r>
      <w:r>
        <w:t xml:space="preserve"> </w:t>
      </w:r>
      <w:r>
        <w:t xml:space="preserve">), at the end of the CSV, and in section 2b of the Word summary, so a reviewer always sees them next to the numbers.</w:t>
      </w:r>
    </w:p>
    <w:p>
      <w:pPr>
        <w:pStyle w:val="BodyText"/>
      </w:pPr>
      <w:r>
        <w:t xml:space="preserve">: A required parameter was not found in the upload. The tool auto-filled it with the IPCC default value from PARAM_CATALOGUE; the value and the IPCC equation / table source are shown in the Tab 1 notification. Applies to every parameter, not just</w:t>
      </w:r>
      <w:r>
        <w:t xml:space="preserve"> </w:t>
      </w:r>
      <w:r>
        <w:t xml:space="preserve">. Review whether the default is appropriate for your country context and, where possible, replace it with country-specific data.</w:t>
      </w:r>
    </w:p>
    <w:p>
      <w:pPr>
        <w:pStyle w:val="BodyText"/>
      </w:pPr>
      <w:r>
        <w:t xml:space="preserve"> </w:t>
      </w:r>
      <w:r>
        <w:t xml:space="preserve">You can make any necessary corrections by editing in Tab 3 (</w:t>
      </w:r>
      <w:r>
        <w:rPr>
          <w:rStyle w:val="VerbatimChar"/>
        </w:rPr>
        <w:t xml:space="preserve">Uncertainty'). The final values used in the simulation runs will be documented in the reports output by the tool, but will not be updated in your data input file. Alternatively, if you edit the values in your data input file and re-upload in Tab 1 (</w:t>
      </w:r>
      <w:r>
        <w:t xml:space="preserve">Data input’), the values used will be documented in the final reports and stored in your data input file.</w:t>
      </w:r>
    </w:p>
    <w:bookmarkEnd w:id="27"/>
    <w:bookmarkStart w:id="28" w:name="documenting-deviations"/>
    <w:p>
      <w:pPr>
        <w:pStyle w:val="Heading2"/>
      </w:pPr>
      <w:r>
        <w:t xml:space="preserve">Documenting deviations</w:t>
      </w:r>
    </w:p>
    <w:p>
      <w:pPr>
        <w:pStyle w:val="FirstParagraph"/>
      </w:pPr>
      <w:r>
        <w:t xml:space="preserve">For any Warn or Info flags where you are deliberately using a country-specific value that deviates from the default, document the justification in your national inventory report. IPCC expert reviewers will look for this documentation.</w:t>
      </w:r>
    </w:p>
    <w:p>
      <w:r>
        <w:br w:type="page"/>
      </w:r>
    </w:p>
    <w:bookmarkEnd w:id="28"/>
    <w:bookmarkEnd w:id="29"/>
    <w:bookmarkStart w:id="32" w:name="Xf2498949195d70a17f273cecd55e747eb1386c9"/>
    <w:p>
      <w:pPr>
        <w:pStyle w:val="Heading1"/>
      </w:pPr>
      <w:r>
        <w:t xml:space="preserve">Reviewing uncertainty distributions (Tab 3: Uncertainty)</w:t>
      </w:r>
    </w:p>
    <w:bookmarkStart w:id="30" w:name="the-parameter-table"/>
    <w:p>
      <w:pPr>
        <w:pStyle w:val="Heading2"/>
      </w:pPr>
      <w:r>
        <w:t xml:space="preserve">The parameter table</w:t>
      </w:r>
    </w:p>
    <w:p>
      <w:pPr>
        <w:pStyle w:val="FirstParagraph"/>
      </w:pPr>
      <w:r>
        <w:t xml:space="preserve">Tab 3 shows all parameters loaded from your data as an editable table. Each row shows:</w:t>
      </w:r>
    </w:p>
    <w:p>
      <w:pPr>
        <w:pStyle w:val="BodyText"/>
      </w:pPr>
      <w:r>
        <w:t xml:space="preserve">You can edit values directly in the table. Clicking a cell opens an edit field.</w:t>
      </w:r>
    </w:p>
    <w:bookmarkEnd w:id="30"/>
    <w:bookmarkStart w:id="31" w:name="quick-set-buttons"/>
    <w:p>
      <w:pPr>
        <w:pStyle w:val="Heading2"/>
      </w:pPr>
      <w:r>
        <w:t xml:space="preserve">Quick-set buttons</w:t>
      </w:r>
    </w:p>
    <w:p>
      <w:pPr>
        <w:pStyle w:val="FirstParagraph"/>
      </w:pPr>
      <w:r>
        <w:t xml:space="preserve">Two quick-set buttons are available for rapid exploration:</w:t>
      </w:r>
    </w:p>
    <w:p>
      <w:pPr>
        <w:pStyle w:val="BodyText"/>
      </w:pPr>
      <w:r>
        <w:t xml:space="preserve">These are useful for a first exploratory run. Refine individual parameters before your final analysis.</w:t>
      </w:r>
    </w:p>
    <w:p>
      <w:r>
        <w:br w:type="page"/>
      </w:r>
    </w:p>
    <w:bookmarkEnd w:id="31"/>
    <w:bookmarkEnd w:id="32"/>
    <w:bookmarkStart w:id="41" w:name="correlations-tab-4-correlations"/>
    <w:p>
      <w:pPr>
        <w:pStyle w:val="Heading1"/>
      </w:pPr>
      <w:r>
        <w:t xml:space="preserve">Correlations (Tab 4: Correlations)</w:t>
      </w:r>
    </w:p>
    <w:p>
      <w:pPr>
        <w:pStyle w:val="FirstParagraph"/>
      </w:pPr>
      <w:r>
        <w:t xml:space="preserve"> </w:t>
      </w:r>
      <w:r>
        <w:t xml:space="preserve">For a side-by-side worked comparison of all four correlation modes applied to the Country X / Country Y built-in examples (including how each mode changes the 95% confidence interval on total CO</w:t>
      </w:r>
      <m:oMath>
        <m:sSub>
          <m:e>
            <m:r>
              <m:t>​</m:t>
            </m:r>
          </m:e>
          <m:sub>
            <m:r>
              <m:t>2</m:t>
            </m:r>
          </m:sub>
        </m:sSub>
      </m:oMath>
      <w:r>
        <w:t xml:space="preserve">eq, the structural-defaults heatmap with per-pair sources, and the common mistakes to avoid), click the green</w:t>
      </w:r>
      <w:r>
        <w:t xml:space="preserve"> </w:t>
      </w:r>
      <w:r>
        <w:t xml:space="preserve"> </w:t>
      </w:r>
      <w:r>
        <w:t xml:space="preserve">link at the top of the Activity Data Correlations card on Tab 4. It opens a focused topic page in a new browser tab.</w:t>
      </w:r>
    </w:p>
    <w:bookmarkStart w:id="33" w:name="why-correlations-matter"/>
    <w:p>
      <w:pPr>
        <w:pStyle w:val="Heading2"/>
      </w:pPr>
      <w:r>
        <w:t xml:space="preserve">Why correlations matter</w:t>
      </w:r>
    </w:p>
    <w:p>
      <w:pPr>
        <w:pStyle w:val="FirstParagraph"/>
      </w:pPr>
      <w:r>
        <w:t xml:space="preserve">There are two different things called</w:t>
      </w:r>
      <w:r>
        <w:t xml:space="preserve"> </w:t>
      </w:r>
      <w:r>
        <w:t xml:space="preserve">“correlation”</w:t>
      </w:r>
      <w:r>
        <w:t xml:space="preserve"> </w:t>
      </w:r>
      <w:r>
        <w:t xml:space="preserve">on this page, and they matter to very different degrees.</w:t>
      </w:r>
    </w:p>
    <w:p>
      <w:pPr>
        <w:pStyle w:val="BodyText"/>
      </w:pPr>
      <w:r>
        <w:t xml:space="preserve"> </w:t>
      </w:r>
      <w:r>
        <w:t xml:space="preserve">If two parameters tend to move together (e.g. larger animals also tend to produce more milk), ignoring the relationship understates the uncertainty in the total. For most Tier 2 analyses this is a modest effect, typically a few percentage points, and ignoring it is a reasonable simplifying assumption. IPCC Approach 2 guidance recommends including known correlations where they exist.</w:t>
      </w:r>
    </w:p>
    <w:p>
      <w:pPr>
        <w:pStyle w:val="BodyText"/>
      </w:pPr>
      <w:r>
        <w:t xml:space="preserve"> </w:t>
      </w:r>
      <w:r>
        <w:t xml:space="preserve">This one is not modest. If several of your groups carry the</w:t>
      </w:r>
      <w:r>
        <w:t xml:space="preserve"> </w:t>
      </w:r>
      <w:r>
        <w:t xml:space="preserve"> </w:t>
      </w:r>
      <w:r>
        <w:t xml:space="preserve">number for a coefficient, because it came from one IPCC default or one regional study, then that is a single estimate applied many times. If it is wrong, every group is wrong in the same direction at once, and nothing cancels. Sampling each group independently instead makes the errors average each other out, and the reported uncertainty falls as the inventory is split more finely.</w:t>
      </w:r>
    </w:p>
    <w:p>
      <w:pPr>
        <w:pStyle w:val="BodyText"/>
      </w:pPr>
      <w:r>
        <w:t xml:space="preserve">The size of this effect is easy to underestimate. On a test inventory where the herd, the parameters and the uncertainty inputs were all held fixed and</w:t>
      </w:r>
      <w:r>
        <w:t xml:space="preserve"> </w:t>
      </w:r>
      <w:r>
        <w:t xml:space="preserve"> </w:t>
      </w:r>
      <w:r>
        <w:t xml:space="preserve">the number of groups changed, the reported 95% margin of error fell from 25.1% on a single group to 1.5% on 251 groups. Nothing about the data had changed; only the disaggregation had. This is why</w:t>
      </w:r>
      <w:r>
        <w:t xml:space="preserve"> </w:t>
      </w:r>
      <w:r>
        <w:t xml:space="preserve"> </w:t>
      </w:r>
      <w:r>
        <w:t xml:space="preserve">defaults to treating a shared value as one estimate, and why you should normally leave it there. IPCC 2019 Refinement Vol.1 Ch.3 makes the same point: subcategories</w:t>
      </w:r>
      <w:r>
        <w:t xml:space="preserve"> </w:t>
      </w:r>
      <w:r>
        <w:t xml:space="preserve">“can be highly correlated, because either the AD are derived from the same source or the EFs have parameters in common”</w:t>
      </w:r>
      <w:r>
        <w:t xml:space="preserve">.</w:t>
      </w:r>
    </w:p>
    <w:bookmarkEnd w:id="33"/>
    <w:bookmarkStart w:id="34" w:name="inputs-shared-between-groups"/>
    <w:p>
      <w:pPr>
        <w:pStyle w:val="Heading2"/>
      </w:pPr>
      <w:r>
        <w:t xml:space="preserve">Inputs shared between groups</w:t>
      </w:r>
    </w:p>
    <w:p>
      <w:pPr>
        <w:pStyle w:val="FirstParagraph"/>
      </w:pPr>
      <w:r>
        <w:t xml:space="preserve">This setting sits below the correlation heatmap and has two options.</w:t>
      </w:r>
    </w:p>
    <w:p>
      <w:pPr>
        <w:pStyle w:val="BodyText"/>
      </w:pPr>
      <w:r>
        <w:t xml:space="preserve"> </w:t>
      </w:r>
      <w:r>
        <w:t xml:space="preserve">(the default, and the right answer for nearly every inventory). Where several groups carry the same number for a coefficient, the tool draws it once and applies that draw to all of them. Their errors then move together, which is what actually happens when one estimate is reused.</w:t>
      </w:r>
    </w:p>
    <w:p>
      <w:pPr>
        <w:pStyle w:val="BodyText"/>
      </w:pPr>
      <w:r>
        <w:t xml:space="preserve">. Each group redraws every coefficient on its own. This is correct only when each group’s values really were estimated separately, which is unusual. It is kept so you can reproduce a previous run or see the size of the effect on your own data.</w:t>
      </w:r>
    </w:p>
    <w:p>
      <w:pPr>
        <w:pStyle w:val="BodyText"/>
      </w:pPr>
      <w:r>
        <w:t xml:space="preserve">Underneath the control, the tool tells you what it found, for example</w:t>
      </w:r>
      <w:r>
        <w:t xml:space="preserve"> </w:t>
      </w:r>
      <w:r>
        <w:t xml:space="preserve">. If that list is empty, nothing in your inventory is shared and the setting changes nothing.</w:t>
      </w:r>
    </w:p>
    <w:p>
      <w:pPr>
        <w:pStyle w:val="BodyText"/>
      </w:pPr>
      <w:r>
        <w:t xml:space="preserve">Two things to expect. First, the reported margin of error will usually be</w:t>
      </w:r>
      <w:r>
        <w:t xml:space="preserve"> </w:t>
      </w:r>
      <w:r>
        <w:t xml:space="preserve"> </w:t>
      </w:r>
      <w:r>
        <w:t xml:space="preserve">with the default than with independent groups. That is the correction, not a regression: the smaller figure was an artefact of splitting the inventory. Second, the tool decides what is shared by looking for identical values, so if you genuinely have a separate estimate per group, enter your own numbers and those groups will be treated independently automatically.</w:t>
      </w:r>
    </w:p>
    <w:bookmarkEnd w:id="34"/>
    <w:bookmarkStart w:id="35" w:name="quick-guide-which-option-do-i-pick"/>
    <w:p>
      <w:pPr>
        <w:pStyle w:val="Heading2"/>
      </w:pPr>
      <w:r>
        <w:t xml:space="preserve">Quick guide: which option do I pick?</w:t>
      </w:r>
    </w:p>
    <w:p>
      <w:pPr>
        <w:pStyle w:val="FirstParagraph"/>
      </w:pPr>
      <w:r>
        <w:t xml:space="preserve"> </w:t>
      </w:r>
      <w:r>
        <w:t xml:space="preserve">If a mode would have nothing to work with (e.g. </w:t>
      </w:r>
      <w:r>
        <w:rPr>
          <w:rStyle w:val="VerbatimChar"/>
        </w:rPr>
        <w:t xml:space="preserve">From template'' when your \texttt{Parameter\_TimeSeries} sheet is empty, or</w:t>
      </w:r>
      <w:r>
        <w:t xml:space="preserve">Advanced: manual entry’’ before you’ve uploaded a CSV), the radio choice appears greyed out with a short note explaining why. The tool also blocks the Run button with an explicit error if a no-data mode is somehow selected.</w:t>
      </w:r>
    </w:p>
    <w:bookmarkEnd w:id="35"/>
    <w:bookmarkStart w:id="36" w:name="Xe3904adf1a8d3f19911bbbf624a07a59ad2013f"/>
    <w:p>
      <w:pPr>
        <w:pStyle w:val="Heading2"/>
      </w:pPr>
      <w:r>
        <w:t xml:space="preserve">What change in the result should I expect?</w:t>
      </w:r>
    </w:p>
    <w:p>
      <w:pPr>
        <w:pStyle w:val="FirstParagraph"/>
      </w:pPr>
      <w:r>
        <w:t xml:space="preserve">The central emission estimate is essentially unchanged regardless of which mode you pick: correlations preserve marginal means by construction. What changes is the</w:t>
      </w:r>
      <w:r>
        <w:t xml:space="preserve"> </w:t>
      </w:r>
      <w:r>
        <w:t xml:space="preserve">. As a rule of thumb, on a typical single-year cattle inventory:</w:t>
      </w:r>
    </w:p>
    <w:p>
      <w:pPr>
        <w:pStyle w:val="BodyText"/>
      </w:pPr>
      <w:r>
        <w:t xml:space="preserve">If you select correlations and the result barely changes, that is usually expected, not a bug: the IPCC equation chain multiplies around 13 parameters together, which dilutes the effect of any single correlated pair. See the Methodology document for the underlying mathematics.</w:t>
      </w:r>
    </w:p>
    <w:p>
      <w:pPr>
        <w:pStyle w:val="BodyText"/>
      </w:pPr>
      <w:r>
        <w:t xml:space="preserve"> </w:t>
      </w:r>
      <w:r>
        <w:t xml:space="preserve">Before running your simulation, Tab 5 (`Simulate &amp; Results’) lets you select</w:t>
      </w:r>
      <w:r>
        <w:t xml:space="preserve"> </w:t>
      </w:r>
      <w:r>
        <w:t xml:space="preserve">. Selecting this lets you inspect the influence of the correlation options you chose.</w:t>
      </w:r>
    </w:p>
    <w:bookmarkEnd w:id="36"/>
    <w:bookmarkStart w:id="37" w:name="X9fbe3bf0ed716b849148a0169f61d962391b056"/>
    <w:p>
      <w:pPr>
        <w:pStyle w:val="Heading2"/>
      </w:pPr>
      <w:r>
        <w:t xml:space="preserve">Automatic correlations from time-series data</w:t>
      </w:r>
    </w:p>
    <w:p>
      <w:pPr>
        <w:pStyle w:val="FirstParagraph"/>
      </w:pPr>
      <w:r>
        <w:t xml:space="preserve">If you included a Parameter_TimeSeries sheet in your upload, the tool can compute historical correlations automatically:</w:t>
      </w:r>
    </w:p>
    <w:bookmarkEnd w:id="37"/>
    <w:bookmarkStart w:id="38" w:name="manual-correlation-matrix"/>
    <w:p>
      <w:pPr>
        <w:pStyle w:val="Heading2"/>
      </w:pPr>
      <w:r>
        <w:t xml:space="preserve">Manual correlation matrix</w:t>
      </w:r>
    </w:p>
    <w:p>
      <w:pPr>
        <w:pStyle w:val="FirstParagraph"/>
      </w:pPr>
      <w:r>
        <w:t xml:space="preserve">If you prefer to specify correlations manually:</w:t>
      </w:r>
    </w:p>
    <w:p>
      <w:pPr>
        <w:pStyle w:val="BodyText"/>
      </w:pPr>
      <w:r>
        <w:t xml:space="preserve"> </w:t>
      </w:r>
      <w:r>
        <w:t xml:space="preserve">Two CSV templates appear inside the</w:t>
      </w:r>
      <w:r>
        <w:t xml:space="preserve"> </w:t>
      </w:r>
      <w:r>
        <w:t xml:space="preserve"> </w:t>
      </w:r>
      <w:r>
        <w:t xml:space="preserve">panel and remove the need to construct the matrix from scratch:</w:t>
      </w:r>
    </w:p>
    <w:p>
      <w:pPr>
        <w:pStyle w:val="BodyText"/>
      </w:pPr>
      <w:r>
        <w:t xml:space="preserve"> </w:t>
      </w:r>
      <w:r>
        <w:t xml:space="preserve">The templates ship with the canonical parameter names already in the first column and the header row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names that don’t match a catalogue parameter are silently ignored when the matrix is applied to the simulation (no error message; the correlation just doesn’t take effect).</w:t>
      </w:r>
    </w:p>
    <w:p>
      <w:pPr>
        <w:pStyle w:val="BodyText"/>
      </w:pPr>
      <w:r>
        <w:t xml:space="preserve"> </w:t>
      </w:r>
      <w:r>
        <w:t xml:space="preserve">If your uploaded matrix omits a parameter that the simulation uses (for example, you upload a small matrix covering only the parameters you want correlated), every pair involving the omitted parameter is treated as independent: the simulation runs and uses the correlations you did provide, but it does not invent values for the missing ones. Equivalent rule for header typos: a misspelled row/column name is treated the same as a missing parameter, so the correlation simply does not take effect. This is intentional graceful degradation, not an error, so the easiest way to verify your matrix is being used as you expect is to use the downloadable templates above (which ship with all canonical names already in place).</w:t>
      </w:r>
    </w:p>
    <w:bookmarkEnd w:id="38"/>
    <w:bookmarkStart w:id="39" w:name="structural-defaults-expert-elicited"/>
    <w:p>
      <w:pPr>
        <w:pStyle w:val="Heading2"/>
      </w:pPr>
      <w:r>
        <w:t xml:space="preserve">Structural defaults (expert-elicited)</w:t>
      </w:r>
    </w:p>
    <w:p>
      <w:pPr>
        <w:pStyle w:val="FirstParagraph"/>
      </w:pPr>
      <w:r>
        <w:t xml:space="preserve">A built-in preset of structural defaults is available. It applies the following well-documented pairs, drawn from the IPCC equations and the livestock literature.</w:t>
      </w:r>
      <w:r>
        <w:t xml:space="preserve"> </w:t>
      </w:r>
      <w:r>
        <w:t xml:space="preserve"> </w:t>
      </w:r>
      <w:r>
        <w:t xml:space="preserve">Hover any non-zero cell in the heatmap for the per-pair source citation.</w:t>
      </w:r>
    </w:p>
    <w:p>
      <w:pPr>
        <w:pStyle w:val="BodyText"/>
      </w:pPr>
      <w:r>
        <w:t xml:space="preserve">All other pairs are set to zero.</w:t>
      </w:r>
    </w:p>
    <w:bookmarkEnd w:id="39"/>
    <w:bookmarkStart w:id="40" w:name="coefficient-emission-factor-correlations"/>
    <w:p>
      <w:pPr>
        <w:pStyle w:val="Heading2"/>
      </w:pPr>
      <w:r>
        <w:t xml:space="preserve">Coefficient (emission factor) correlations</w:t>
      </w:r>
    </w:p>
    <w:p>
      <w:pPr>
        <w:pStyle w:val="FirstParagraph"/>
      </w:pPr>
      <w:r>
        <w:t xml:space="preserve">The right-hand card on Tab~4 controls correlations</w:t>
      </w:r>
      <w:r>
        <w:t xml:space="preserve"> </w:t>
      </w:r>
      <w:r>
        <w:t xml:space="preserve"> </w:t>
      </w:r>
      <w:r>
        <w:t xml:space="preserve">the per-head IPCC coefficients (Cfi, Ca, Ym, Bo, MCF, EF3, EF4, EF5, …). Two modes are available:</w:t>
      </w:r>
    </w:p>
    <w:p>
      <w:r>
        <w:br w:type="page"/>
      </w:r>
    </w:p>
    <w:bookmarkEnd w:id="40"/>
    <w:bookmarkEnd w:id="41"/>
    <w:bookmarkStart w:id="46" w:name="running-the-simulation-tab-5-simulate"/>
    <w:p>
      <w:pPr>
        <w:pStyle w:val="Heading1"/>
      </w:pPr>
      <w:r>
        <w:t xml:space="preserve">Running the simulation (Tab 5: Simulate)</w:t>
      </w:r>
    </w:p>
    <w:bookmarkStart w:id="42" w:name="settings"/>
    <w:p>
      <w:pPr>
        <w:pStyle w:val="Heading2"/>
      </w:pPr>
      <w:r>
        <w:t xml:space="preserve">Settings</w:t>
      </w:r>
    </w:p>
    <w:p>
      <w:pPr>
        <w:pStyle w:val="FirstParagraph"/>
      </w:pPr>
      <w:r>
        <w:t xml:space="preserve">Before clicking Run, configure:</w:t>
      </w:r>
    </w:p>
    <w:p>
      <w:pPr>
        <w:pStyle w:val="BodyText"/>
      </w:pPr>
      <w:r>
        <w:t xml:space="preserve">: The number of Monte Carlo samples.</w:t>
      </w:r>
    </w:p>
    <w:p>
      <w:pPr>
        <w:pStyle w:val="BodyText"/>
      </w:pPr>
      <w:r>
        <w:t xml:space="preserve">: Choose between AR4 (CH</w:t>
      </w:r>
      <w:r>
        <w:t xml:space="preserve"> </w:t>
      </w:r>
      <w:r>
        <w:t xml:space="preserve">GWP = 25, N</w:t>
      </w:r>
      <w:r>
        <w:t xml:space="preserve">O = 298), AR5 (CH</w:t>
      </w:r>
      <w:r>
        <w:t xml:space="preserve"> </w:t>
      </w:r>
      <w:r>
        <w:t xml:space="preserve">GWP = 28, N</w:t>
      </w:r>
      <w:r>
        <w:t xml:space="preserve">O = 265) and AR6 (CH</w:t>
      </w:r>
      <w:r>
        <w:t xml:space="preserve"> </w:t>
      </w:r>
      <w:r>
        <w:t xml:space="preserve">GWP = 27, N</w:t>
      </w:r>
      <w:r>
        <w:t xml:space="preserve">O = 273; the 27 is the non-fossil/biogenic methane value, appropriate for cattle). The default is AR5. Select the version required by your national inventory reporting guidelines.</w:t>
      </w:r>
    </w:p>
    <w:p>
      <w:pPr>
        <w:pStyle w:val="BodyText"/>
      </w:pPr>
      <w:r>
        <w:t xml:space="preserve">: Fixing the seed ensures results are exactly reproducible. Change the seed to verify convergence: if the 95% CI changes substantially between runs, increase the number of iterations.</w:t>
      </w:r>
    </w:p>
    <w:p>
      <w:pPr>
        <w:pStyle w:val="BodyText"/>
      </w:pPr>
      <w:r>
        <w:t xml:space="preserve">: Single-year (e.g. simulation run only on the latest year in your inventory time series) or Trend (multi-year time series).</w:t>
      </w:r>
    </w:p>
    <w:p>
      <w:pPr>
        <w:pStyle w:val="BodyText"/>
      </w:pPr>
      <w:r>
        <w:t xml:space="preserve">: Tick all sources applicable to your inventory. Unticked sources contribute zero emissions to the total. (Note: you can choose not to select enteric fermentation, but the Tier 2 input data for enteric fermentation should be supplied. Not selecting enteric fermentation means that the emissions and uncertainty of this emission source will not be reported in the results.)</w:t>
      </w:r>
    </w:p>
    <w:bookmarkEnd w:id="42"/>
    <w:bookmarkStart w:id="43" w:name="X18e631fcb5b21c13cd2a1ff2b22c533ae0ca5c3"/>
    <w:p>
      <w:pPr>
        <w:pStyle w:val="Heading2"/>
      </w:pPr>
      <w:r>
        <w:t xml:space="preserve">Trend mode: year-to-year coefficient correlation</w:t>
      </w:r>
    </w:p>
    <w:p>
      <w:pPr>
        <w:pStyle w:val="FirstParagraph"/>
      </w:pPr>
      <w:r>
        <w:t xml:space="preserve">If you picked</w:t>
      </w:r>
      <w:r>
        <w:t xml:space="preserve"> </w:t>
      </w:r>
      <w:r>
        <w:t xml:space="preserve"> </w:t>
      </w:r>
      <w:r>
        <w:t xml:space="preserve">analysis mode on Tab 1, an extra control appears on Tab 5:</w:t>
      </w:r>
      <w:r>
        <w:t xml:space="preserve"> </w:t>
      </w:r>
      <w:r>
        <w:t xml:space="preserve">. It governs how the IPCC coefficients (Cfi, Ca, Ym, Bo, MCF, EF3, EF4, EF5,</w:t>
      </w:r>
      <w:r>
        <w:t xml:space="preserve"> </w:t>
      </w:r>
      <w:r>
        <w:t xml:space="preserve">) move from one year to the next</w:t>
      </w:r>
      <w:r>
        <w:t xml:space="preserve"> </w:t>
      </w:r>
      <w:r>
        <w:t xml:space="preserve">. Activity data (N, BW, Milk,</w:t>
      </w:r>
      <w:r>
        <w:t xml:space="preserve"> </w:t>
      </w:r>
      <w:r>
        <w:t xml:space="preserve">) is always re-sampled fresh each year, this setting only affects the per-head coefficients.</w:t>
      </w:r>
    </w:p>
    <w:p>
      <w:pPr>
        <w:pStyle w:val="BodyText"/>
      </w:pPr>
      <w:r>
        <w:t xml:space="preserve"> </w:t>
      </w:r>
      <w:r>
        <w:t xml:space="preserve">If your country uses the same emission factors for the whole inventory time series (e.g. when Tier 2 EFs were estimated using one dataset and applied to all inventory years), then a high-Ym draw in your base year should also be a high-Ym draw in the current year. The coefficient uncertainty then cancels when you compare the two years, so the trend uncertainty reflects only the activity-data changes. This is what IPCC Vol.1 Ch.3 §3.2.3 calls a ``Type A’’ sensitivity. If you instead treated EFs as independent across years, you would artificially inflate the trend uncertainty.</w:t>
      </w:r>
    </w:p>
    <w:p>
      <w:pPr>
        <w:pStyle w:val="BodyText"/>
      </w:pPr>
      <w:r>
        <w:t xml:space="preserve">The three options:</w:t>
      </w:r>
    </w:p>
    <w:p>
      <w:pPr>
        <w:pStyle w:val="BodyText"/>
      </w:pPr>
      <w:r>
        <w:t xml:space="preserve">A practical sanity check: re-run your trend with</w:t>
      </w:r>
      <w:r>
        <w:t xml:space="preserve"> </w:t>
      </w:r>
      <w:r>
        <w:rPr>
          <w:rStyle w:val="VerbatimChar"/>
        </w:rPr>
        <w:t xml:space="preserve">Fully correlated'' and again with</w:t>
      </w:r>
      <w:r>
        <w:t xml:space="preserve">Independent’’. If the two trend uncertainties are similar, your result is robust to this choice. If they are very different, your trend uncertainty is dominated by the EF block and you need to be explicit about which assumption you’re making in your inventory documentation.</w:t>
      </w:r>
    </w:p>
    <w:p>
      <w:pPr>
        <w:pStyle w:val="BodyText"/>
      </w:pPr>
      <w:r>
        <w:t xml:space="preserve"> </w:t>
      </w:r>
      <w:r>
        <w:t xml:space="preserve">, so total compute = n_iter</w:t>
      </w:r>
      <w:r>
        <w:t xml:space="preserve"> </w:t>
      </w:r>
      <m:oMath>
        <m:r>
          <m:rPr>
            <m:sty m:val="p"/>
          </m:rPr>
          <m:t>×</m:t>
        </m:r>
      </m:oMath>
      <w:r>
        <w:t xml:space="preserve"> </w:t>
      </w:r>
      <w:r>
        <w:t xml:space="preserve">number of years. Use 5{,}000–10{,}000 iterations for trend runs in development and 25{,}000–30{,}000 for final reporting.</w:t>
      </w:r>
    </w:p>
    <w:bookmarkEnd w:id="43"/>
    <w:bookmarkStart w:id="44" w:name="running-the-simulation"/>
    <w:p>
      <w:pPr>
        <w:pStyle w:val="Heading2"/>
      </w:pPr>
      <w:r>
        <w:t xml:space="preserve">Running the simulation</w:t>
      </w:r>
    </w:p>
    <w:p>
      <w:pPr>
        <w:pStyle w:val="FirstParagraph"/>
      </w:pPr>
      <w:r>
        <w:t xml:space="preserve">Click</w:t>
      </w:r>
      <w:r>
        <w:t xml:space="preserve"> </w:t>
      </w:r>
      <w:r>
        <w:t xml:space="preserve">. A progress bar shows the simulation steps. For 10,000 iterations and a single production system, typical run time is 15–60 seconds, but may be longer for inventories with large numbers of sub-categories.</w:t>
      </w:r>
    </w:p>
    <w:p>
      <w:pPr>
        <w:pStyle w:val="BodyText"/>
      </w:pPr>
      <w:r>
        <w:t xml:space="preserve">When complete, results appear in the lower section of the same tab.</w:t>
      </w:r>
    </w:p>
    <w:p>
      <w:pPr>
        <w:pStyle w:val="BodyText"/>
      </w:pPr>
      <w:r>
        <w:t xml:space="preserve">: All settings (iterations, GWP, seed, emission sources) remain active in the upper section of Tab 5, simply adjust any setting and click</w:t>
      </w:r>
      <w:r>
        <w:t xml:space="preserve"> </w:t>
      </w:r>
      <w:r>
        <w:t xml:space="preserve"> </w:t>
      </w:r>
      <w:r>
        <w:t xml:space="preserve">again. The previous results are replaced automatically. If you need to change your input data (parameters, distributions, or correlations), go back to the relevant tab (Tab 1–4), make the change, then return to Tab 5 and re-run.</w:t>
      </w:r>
    </w:p>
    <w:bookmarkEnd w:id="44"/>
    <w:bookmarkStart w:id="45" w:name="convergence-diagnostics"/>
    <w:p>
      <w:pPr>
        <w:pStyle w:val="Heading2"/>
      </w:pPr>
      <w:r>
        <w:t xml:space="preserve">Convergence diagnostics</w:t>
      </w:r>
    </w:p>
    <w:p>
      <w:pPr>
        <w:pStyle w:val="FirstParagraph"/>
      </w:pPr>
      <w:r>
        <w:t xml:space="preserve">Click</w:t>
      </w:r>
      <w:r>
        <w:t xml:space="preserve"> </w:t>
      </w:r>
      <w:r>
        <w:t xml:space="preserve">“Run Diagnostic”</w:t>
      </w:r>
      <w:r>
        <w:t xml:space="preserve"> </w:t>
      </w:r>
      <w:r>
        <w:t xml:space="preserve">(magnifying glass button) after a simulation to assess whether enough iterations were run for stable results:</w:t>
      </w:r>
    </w:p>
    <w:p>
      <w:pPr>
        <w:pStyle w:val="BodyText"/>
      </w:pPr>
      <w:r>
        <w:t xml:space="preserve">Note: this tool uses</w:t>
      </w:r>
      <w:r>
        <w:t xml:space="preserve"> </w:t>
      </w:r>
      <w:r>
        <w:t xml:space="preserve">, not MCMC. Each iteration is drawn independently, there are no chains, no warmup, and no burn-in.</w:t>
      </w:r>
    </w:p>
    <w:p>
      <w:r>
        <w:br w:type="page"/>
      </w:r>
    </w:p>
    <w:bookmarkEnd w:id="45"/>
    <w:bookmarkEnd w:id="46"/>
    <w:bookmarkStart w:id="50" w:name="understanding-results-tab-5-results"/>
    <w:p>
      <w:pPr>
        <w:pStyle w:val="Heading1"/>
      </w:pPr>
      <w:r>
        <w:t xml:space="preserve">Understanding results (Tab 5: Results)</w:t>
      </w:r>
    </w:p>
    <w:bookmarkStart w:id="47" w:name="headline-metrics"/>
    <w:p>
      <w:pPr>
        <w:pStyle w:val="Heading2"/>
      </w:pPr>
      <w:r>
        <w:t xml:space="preserve">Headline metrics</w:t>
      </w:r>
    </w:p>
    <w:p>
      <w:pPr>
        <w:pStyle w:val="FirstParagraph"/>
      </w:pPr>
      <w:r>
        <w:t xml:space="preserve">After a successful run, five value boxes show:</w:t>
      </w:r>
    </w:p>
    <w:p>
      <w:pPr>
        <w:pStyle w:val="BodyText"/>
      </w:pPr>
      <w:r>
        <w:t xml:space="preserve"> </w:t>
      </w:r>
      <w:r>
        <w:t xml:space="preserve">Directly below the value boxes, a</w:t>
      </w:r>
      <w:r>
        <w:t xml:space="preserve"> </w:t>
      </w:r>
      <w:r>
        <w:t xml:space="preserve">“Headline by cattle type”</w:t>
      </w:r>
      <w:r>
        <w:t xml:space="preserve"> </w:t>
      </w:r>
      <w:r>
        <w:t xml:space="preserve">card appears whenever your inventory contains more than one</w:t>
      </w:r>
      <w:r>
        <w:t xml:space="preserve"> </w:t>
      </w:r>
      <w:r>
        <w:t xml:space="preserve"> </w:t>
      </w:r>
      <w:r>
        <w:t xml:space="preserve">on the Parameters sheet (typically</w:t>
      </w:r>
      <w:r>
        <w:t xml:space="preserve"> </w:t>
      </w:r>
      <w:r>
        <w:t xml:space="preserve"> </w:t>
      </w:r>
      <w:r>
        <w:t xml:space="preserve">and</w:t>
      </w:r>
      <w:r>
        <w:t xml:space="preserve"> </w:t>
      </w:r>
      <w:r>
        <w:t xml:space="preserve">). It shows one row per cattle type with mean ± 95% MoE for each of the four headline sources plus the total CO</w:t>
      </w:r>
      <w:r>
        <w:t xml:space="preserve">eq. Single-cattle-type runs do not see this card.</w:t>
      </w:r>
    </w:p>
    <w:bookmarkEnd w:id="47"/>
    <w:bookmarkStart w:id="48" w:name="uncertainty-decomposition-ad-vs-ef"/>
    <w:p>
      <w:pPr>
        <w:pStyle w:val="Heading2"/>
      </w:pPr>
      <w:r>
        <w:t xml:space="preserve">Uncertainty decomposition (AD vs EF)</w:t>
      </w:r>
    </w:p>
    <w:p>
      <w:pPr>
        <w:pStyle w:val="FirstParagraph"/>
      </w:pPr>
      <w:r>
        <w:t xml:space="preserve">If</w:t>
      </w:r>
      <w:r>
        <w:t xml:space="preserve"> </w:t>
      </w:r>
      <w:r>
        <w:t xml:space="preserve">“Run uncertainty decomposition (AD/EF/Combined)”</w:t>
      </w:r>
      <w:r>
        <w:t xml:space="preserve"> </w:t>
      </w:r>
      <w:r>
        <w:t xml:space="preserve">was checked, the results include a bar chart with the 95% MoE on the y-axis (IPCC reporting convention) under three configurations:</w:t>
      </w:r>
    </w:p>
    <w:p>
      <w:pPr>
        <w:pStyle w:val="BodyText"/>
      </w:pPr>
      <w:r>
        <w:t xml:space="preserve">If AD uncertainty dominates, improving livestock population surveys would most effectively reduce total uncertainty. If EF uncertainty dominates, investing in country-specific EF measurement studies would be more impactful.</w:t>
      </w:r>
    </w:p>
    <w:bookmarkEnd w:id="48"/>
    <w:bookmarkStart w:id="49" w:name="by-system-and-by-category-breakdown"/>
    <w:p>
      <w:pPr>
        <w:pStyle w:val="Heading2"/>
      </w:pPr>
      <w:r>
        <w:t xml:space="preserve">By-system and by-category breakdown</w:t>
      </w:r>
    </w:p>
    <w:p>
      <w:r>
        <w:br w:type="page"/>
      </w:r>
    </w:p>
    <w:bookmarkEnd w:id="49"/>
    <w:bookmarkEnd w:id="50"/>
    <w:bookmarkStart w:id="53" w:name="sensitivity-analysis-tab-6"/>
    <w:p>
      <w:pPr>
        <w:pStyle w:val="Heading1"/>
      </w:pPr>
      <w:r>
        <w:t xml:space="preserve">Sensitivity analysis (Tab 6)</w:t>
      </w:r>
    </w:p>
    <w:bookmarkStart w:id="51" w:name="reading-the-tornado-chart"/>
    <w:p>
      <w:pPr>
        <w:pStyle w:val="Heading2"/>
      </w:pPr>
      <w:r>
        <w:t xml:space="preserve">Reading the tornado chart</w:t>
      </w:r>
    </w:p>
    <w:p>
      <w:pPr>
        <w:pStyle w:val="FirstParagraph"/>
      </w:pPr>
      <w:r>
        <w:t xml:space="preserve">The tornado chart ranks parameters by their contribution to total uncertainty. The longest bars indicate the parameters that, if better constrained, would most reduce the 95% CI.</w:t>
      </w:r>
    </w:p>
    <w:p>
      <w:pPr>
        <w:pStyle w:val="BodyText"/>
      </w:pPr>
      <w:r>
        <w:t xml:space="preserve">Each bar is labelled as</w:t>
      </w:r>
      <w:r>
        <w:t xml:space="preserve"> </w:t>
      </w:r>
      <w:r>
        <w:t xml:space="preserve">: for example</w:t>
      </w:r>
      <w:r>
        <w:t xml:space="preserve"> </w:t>
      </w:r>
      <w:r>
        <w:t xml:space="preserve"> </w:t>
      </w:r>
      <w:r>
        <w:t xml:space="preserve">vs</w:t>
      </w:r>
      <w:r>
        <w:t xml:space="preserve"> </w:t>
      </w:r>
      <w:r>
        <w:t xml:space="preserve">. The sub-category in parentheses identifies which animal group the influential parameter belongs to, so you can target research at the specific sub-category driving uncertainty rather than at the parameter in general. The same labels appear in the rank-correlation table, the Excel SRC / PRCC sheets, and the Word report’s sensitivity section. Per-MMS sampled parameters carry their MMS in the parameter name and the sub-category in parentheses, e.g. </w:t>
      </w:r>
      <w:r>
        <w:t xml:space="preserve"> </w:t>
      </w:r>
      <w:r>
        <w:t xml:space="preserve">or</w:t>
      </w:r>
      <w:r>
        <w:t xml:space="preserve"> </w:t>
      </w:r>
      <w:r>
        <w:t xml:space="preserve">.</w:t>
      </w:r>
    </w:p>
    <w:p>
      <w:pPr>
        <w:pStyle w:val="BodyText"/>
      </w:pPr>
      <w:r>
        <w:t xml:space="preserve"> </w:t>
      </w:r>
      <w:r>
        <w:t xml:space="preserve">The</w:t>
      </w:r>
      <w:r>
        <w:t xml:space="preserve"> </w:t>
      </w:r>
      <w:r>
        <w:t xml:space="preserve">“Output”</w:t>
      </w:r>
      <w:r>
        <w:t xml:space="preserve"> </w:t>
      </w:r>
      <w:r>
        <w:t xml:space="preserve">dropdown above the tornado lets you re-rank parameters for a single emission source (Enteric CH</w:t>
      </w:r>
      <w:r>
        <w:t xml:space="preserve">, Manure CH</w:t>
      </w:r>
      <w:r>
        <w:t xml:space="preserve">, etc.). The per-source view aggregates across ALL sub-categories: earlier versions of the tool silently restricted the per-source view to the first sub-category only, dropping every other sub-category’s contribution; that has been fixed.</w:t>
      </w:r>
    </w:p>
    <w:p>
      <w:pPr>
        <w:pStyle w:val="BodyText"/>
      </w:pPr>
      <w:r>
        <w:t xml:space="preserve">Bars are coloured by reducibility:</w:t>
      </w:r>
    </w:p>
    <w:bookmarkEnd w:id="51"/>
    <w:bookmarkStart w:id="52" w:name="src-vs-prcc"/>
    <w:p>
      <w:pPr>
        <w:pStyle w:val="Heading2"/>
      </w:pPr>
      <w:r>
        <w:t xml:space="preserve">SRC vs PRCC</w:t>
      </w:r>
    </w:p>
    <w:p>
      <w:pPr>
        <w:pStyle w:val="FirstParagraph"/>
      </w:pPr>
      <w:r>
        <w:t xml:space="preserve">Two sensitivity methods are computed:</w:t>
      </w:r>
    </w:p>
    <w:p>
      <w:pPr>
        <w:pStyle w:val="BodyText"/>
      </w:pPr>
      <w:r>
        <w:t xml:space="preserve">Both are shown; they typically agree on the top-ranked parameters. If they disagree significantly, the emission pathway may be strongly non-linear.</w:t>
      </w:r>
    </w:p>
    <w:p>
      <w:r>
        <w:br w:type="page"/>
      </w:r>
    </w:p>
    <w:bookmarkEnd w:id="52"/>
    <w:bookmarkEnd w:id="53"/>
    <w:bookmarkStart w:id="56" w:name="X2ba54ca5884145abcad3c99bb30ed5bdc2bac4a"/>
    <w:p>
      <w:pPr>
        <w:pStyle w:val="Heading1"/>
      </w:pPr>
      <w:r>
        <w:t xml:space="preserve">Generating the IPCC report (Tab 7: IPCC Report)</w:t>
      </w:r>
    </w:p>
    <w:bookmarkStart w:id="54" w:name="ipcc-table-3.3"/>
    <w:p>
      <w:pPr>
        <w:pStyle w:val="Heading2"/>
      </w:pPr>
      <w:r>
        <w:t xml:space="preserve">IPCC Table 3.3</w:t>
      </w:r>
    </w:p>
    <w:p>
      <w:pPr>
        <w:pStyle w:val="FirstParagraph"/>
      </w:pPr>
      <w:r>
        <w:t xml:space="preserve">The IPCC Report tab shows your results formatted as IPCC 2006 Vol. 1 Ch. 3 Table 3.3. The three uncertainty columns in the downloadable Excel sheet are:</w:t>
      </w:r>
    </w:p>
    <w:p>
      <w:pPr>
        <w:pStyle w:val="BodyText"/>
      </w:pPr>
      <w:r>
        <w:t xml:space="preserve">: Following IPCC Table 3.3 conventions, all values are expressed as the half-width of the 95% confidence interval divided by the mean, multiplied by 100, i.e. </w:t>
      </w:r>
      <w:r>
        <w:t xml:space="preserve">.</w:t>
      </w:r>
    </w:p>
    <w:p>
      <w:pPr>
        <w:pStyle w:val="BodyText"/>
      </w:pPr>
    </w:p>
    <w:bookmarkEnd w:id="54"/>
    <w:bookmarkStart w:id="55" w:name="downloads"/>
    <w:p>
      <w:pPr>
        <w:pStyle w:val="Heading2"/>
      </w:pPr>
      <w:r>
        <w:t xml:space="preserve">Downloads</w:t>
      </w:r>
    </w:p>
    <w:p>
      <w:pPr>
        <w:pStyle w:val="FirstParagraph"/>
      </w:pPr>
      <w:r>
        <w:t xml:space="preserve">Three download formats are available:</w:t>
      </w:r>
    </w:p>
    <w:p>
      <w:r>
        <w:br w:type="page"/>
      </w:r>
    </w:p>
    <w:bookmarkEnd w:id="55"/>
    <w:bookmarkEnd w:id="56"/>
    <w:bookmarkStart w:id="59" w:name="ipcc-reporting-conventions"/>
    <w:p>
      <w:pPr>
        <w:pStyle w:val="Heading1"/>
      </w:pPr>
      <w:r>
        <w:t xml:space="preserve">IPCC reporting conventions</w:t>
      </w:r>
    </w:p>
    <w:bookmarkStart w:id="57" w:name="X692dfd781b148508861911884c67f0528714cad"/>
    <w:p>
      <w:pPr>
        <w:pStyle w:val="Heading2"/>
      </w:pPr>
      <w:r>
        <w:t xml:space="preserve">Where uncertainty results go in the national inventory report</w:t>
      </w:r>
    </w:p>
    <w:p>
      <w:pPr>
        <w:pStyle w:val="FirstParagraph"/>
      </w:pPr>
      <w:r>
        <w:t xml:space="preserve">IPCC 2006 Vol. 1 Ch. 3 §3.3 describes the standard approach for Approach 2 (Monte Carlo):</w:t>
      </w:r>
    </w:p>
    <w:p>
      <w:pPr>
        <w:pStyle w:val="BodyText"/>
      </w:pPr>
      <w:r>
        <w:t xml:space="preserve">The methodology PDF (available on the Resources tab) provides a complete technical description of the equations, sampling approach, and convergence assessment that can be referenced in your national inventory report.</w:t>
      </w:r>
    </w:p>
    <w:bookmarkEnd w:id="57"/>
    <w:bookmarkStart w:id="58" w:name="what-ipcc-expert-reviewers-will-check"/>
    <w:p>
      <w:pPr>
        <w:pStyle w:val="Heading2"/>
      </w:pPr>
      <w:r>
        <w:t xml:space="preserve">What IPCC expert reviewers will check</w:t>
      </w:r>
    </w:p>
    <w:p>
      <w:pPr>
        <w:pStyle w:val="FirstParagraph"/>
      </w:pPr>
      <w:r>
        <w:t xml:space="preserve">Based on experience with IPCC expert reviews, reviewers typically focus on:</w:t>
      </w:r>
    </w:p>
    <w:p>
      <w:r>
        <w:br w:type="page"/>
      </w:r>
    </w:p>
    <w:bookmarkEnd w:id="58"/>
    <w:bookmarkEnd w:id="59"/>
    <w:bookmarkStart w:id="60" w:name="X53b8655afe9f6f962a77d331658f1061377ceb0"/>
    <w:p>
      <w:pPr>
        <w:pStyle w:val="Heading1"/>
      </w:pPr>
      <w:r>
        <w:t xml:space="preserve">Worked example: Country X (hypothetical dairy)</w:t>
      </w:r>
    </w:p>
    <w:p>
      <w:pPr>
        <w:pStyle w:val="FirstParagraph"/>
      </w:pPr>
      <w:r>
        <w:t xml:space="preserve">To illustrate the workflow, the following example uses the Country X built-in dataset.</w:t>
      </w:r>
    </w:p>
    <w:p>
      <w:pPr>
        <w:pStyle w:val="BodyText"/>
      </w:pPr>
      <w:r>
        <w:rPr>
          <w:b/>
          <w:bCs/>
        </w:rPr>
        <w:t xml:space="preserve">Step 1: Load data</w:t>
      </w:r>
      <w:r>
        <w:t xml:space="preserve">: Select</w:t>
      </w:r>
      <w:r>
        <w:t xml:space="preserve"> </w:t>
      </w:r>
      <w:r>
        <w:t xml:space="preserve">“Country X (hypothetical dairy)”</w:t>
      </w:r>
      <w:r>
        <w:t xml:space="preserve"> </w:t>
      </w:r>
      <w:r>
        <w:t xml:space="preserve">from the dropdown on Tab 1. The data loads automatically (12 parameters, dairy smallholder system).</w:t>
      </w:r>
    </w:p>
    <w:p>
      <w:pPr>
        <w:pStyle w:val="BodyText"/>
      </w:pPr>
      <w:r>
        <w:rPr>
          <w:b/>
          <w:bCs/>
        </w:rPr>
        <w:t xml:space="preserve">Step 2: QA/QC</w:t>
      </w:r>
      <w:r>
        <w:t xml:space="preserve">: Go to Tab 2. All parameters should pass; any Warn flags on</w:t>
      </w:r>
      <w:r>
        <w:t xml:space="preserve"> </w:t>
      </w:r>
      <w:r>
        <w:t xml:space="preserve"> </w:t>
      </w:r>
      <w:r>
        <w:t xml:space="preserve">would compare against the continental IPCC default (Annex Tables 10A.1 / 10A.2 / 10A.3), and Warn flags on other parameters reflect non-fatal structural conditions (asymmetric-bounds reminder, sub-category auto-match, etc.), a deliberate country-specific value can be documented in the inventory report rather than corrected.</w:t>
      </w:r>
    </w:p>
    <w:p>
      <w:pPr>
        <w:pStyle w:val="BodyText"/>
      </w:pPr>
      <w:r>
        <w:rPr>
          <w:b/>
          <w:bCs/>
        </w:rPr>
        <w:t xml:space="preserve">Step 3: Uncertainty</w:t>
      </w:r>
      <w:r>
        <w:t xml:space="preserve">: Go to Tab 3. Note that activity data (N, BW, Milk, WG, Fat) use Normal distributions and coefficients (Ym, DE, Bo, etc.) use PERT or lognormal distributions.</w:t>
      </w:r>
    </w:p>
    <w:p>
      <w:pPr>
        <w:pStyle w:val="BodyText"/>
      </w:pPr>
      <w:r>
        <w:rPr>
          <w:b/>
          <w:bCs/>
        </w:rPr>
        <w:t xml:space="preserve">Step 4: Correlations</w:t>
      </w:r>
      <w:r>
        <w:t xml:space="preserve">: Go to Tab 4. Select</w:t>
      </w:r>
      <w:r>
        <w:t xml:space="preserve"> </w:t>
      </w:r>
      <w:r>
        <w:t xml:space="preserve">“From template (auto, time-series)”</w:t>
      </w:r>
      <w:r>
        <w:t xml:space="preserve">, the example dataset includes a 5-year time series from which a Spearman rank correlation matrix is computed automatically (first-difference detrending is applied internally to strip shared long-run growth). The matrix is sampled using Iman–Conover restricted pairing. Leave the right-hand card at</w:t>
      </w:r>
      <w:r>
        <w:t xml:space="preserve"> </w:t>
      </w:r>
      <w:r>
        <w:t xml:space="preserve">“No EF correlations”</w:t>
      </w:r>
      <w:r>
        <w:t xml:space="preserve"> </w:t>
      </w:r>
      <w:r>
        <w:t xml:space="preserve">for the default run.</w:t>
      </w:r>
    </w:p>
    <w:p>
      <w:pPr>
        <w:pStyle w:val="BodyText"/>
      </w:pPr>
      <w:r>
        <w:rPr>
          <w:b/>
          <w:bCs/>
        </w:rPr>
        <w:t xml:space="preserve">Step 5: Simulate</w:t>
      </w:r>
      <w:r>
        <w:t xml:space="preserve">: Go to Tab 5. Set iterations to 10,000, GWP to AR6, seed to 42. Click</w:t>
      </w:r>
      <w:r>
        <w:t xml:space="preserve"> </w:t>
      </w:r>
      <w:r>
        <w:t xml:space="preserve">“Run Monte Carlo Simulation”</w:t>
      </w:r>
      <w:r>
        <w:t xml:space="preserve">.</w:t>
      </w:r>
    </w:p>
    <w:p>
      <w:pPr>
        <w:pStyle w:val="BodyText"/>
      </w:pPr>
      <w:r>
        <w:rPr>
          <w:b/>
          <w:bCs/>
        </w:rPr>
        <w:t xml:space="preserve">Step 6: Results</w:t>
      </w:r>
      <w:r>
        <w:t xml:space="preserve">: After about 30 seconds, results appear. Note the 95% CI and MoE%. Click</w:t>
      </w:r>
      <w:r>
        <w:t xml:space="preserve"> </w:t>
      </w:r>
      <w:r>
        <w:t xml:space="preserve">“Run Diagnostic”</w:t>
      </w:r>
      <w:r>
        <w:t xml:space="preserve"> </w:t>
      </w:r>
      <w:r>
        <w:t xml:space="preserve">to confirm convergence.</w:t>
      </w:r>
    </w:p>
    <w:p>
      <w:pPr>
        <w:pStyle w:val="BodyText"/>
      </w:pPr>
      <w:r>
        <w:rPr>
          <w:b/>
          <w:bCs/>
        </w:rPr>
        <w:t xml:space="preserve">Step 7: Sensitivity</w:t>
      </w:r>
      <w:r>
        <w:t xml:space="preserve">: Go to Tab 6. The tornado chart shows which parameters drive most uncertainty. In this example, Ym and BW for cows are typically the dominant contributors.</w:t>
      </w:r>
    </w:p>
    <w:p>
      <w:pPr>
        <w:pStyle w:val="BodyText"/>
      </w:pPr>
      <w:r>
        <w:rPr>
          <w:b/>
          <w:bCs/>
        </w:rPr>
        <w:t xml:space="preserve">Step 8: Report</w:t>
      </w:r>
      <w:r>
        <w:t xml:space="preserve">: Go to Tab 7. Download the Excel report to see the full IPCC Table 3.3 output.</w:t>
      </w:r>
    </w:p>
    <w:p>
      <w:pPr>
        <w:pStyle w:val="BodyText"/>
      </w:pP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2D9EC1B1-1934-48AD-AAF7-0DBB78B42FC1}"/>
</file>

<file path=customXml/itemProps2.xml><?xml version="1.0" encoding="utf-8"?>
<ds:datastoreItem xmlns:ds="http://schemas.openxmlformats.org/officeDocument/2006/customXml" ds:itemID="{4E097EFF-9666-4C05-8F1D-BE29F59EC013}"/>
</file>

<file path=customXml/itemProps3.xml><?xml version="1.0" encoding="utf-8"?>
<ds:datastoreItem xmlns:ds="http://schemas.openxmlformats.org/officeDocument/2006/customXml" ds:itemID="{630ED0C7-F62F-4D16-80B1-63010EFAAB0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 Tier 2 Livestock GHG Uncertainty Calculator</dc:title>
  <dc:creator>CIAT / CGIAR Alliance, ClimateActionNetZero</dc:creator>
  <cp:keywords/>
  <dcterms:created xsi:type="dcterms:W3CDTF">2026-10-12T10:47:25Z</dcterms:created>
  <dcterms:modified xsi:type="dcterms:W3CDTF">2026-10-12T10:47:25Z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top=3cm, bottom=2.5cm, left=2.5cm, right=2.5cm</vt:lpwstr>
  </property>
  <property fmtid="{D5CDD505-2E9C-101B-9397-08002B2CF9AE}" pid="4" name="header-includes">
    <vt:lpwstr/>
  </property>
  <property fmtid="{D5CDD505-2E9C-101B-9397-08002B2CF9AE}" pid="5" name="linestretch">
    <vt:lpwstr>1.15</vt:lpwstr>
  </property>
  <property fmtid="{D5CDD505-2E9C-101B-9397-08002B2CF9AE}" pid="6" name="output">
    <vt:lpwstr/>
  </property>
  <property fmtid="{D5CDD505-2E9C-101B-9397-08002B2CF9AE}" pid="7" name="subtitle">
    <vt:lpwstr>User Guide</vt:lpwstr>
  </property>
  <property fmtid="{D5CDD505-2E9C-101B-9397-08002B2CF9AE}" pid="8" name="MediaServiceImageTags">
    <vt:lpwstr/>
  </property>
  <property fmtid="{D5CDD505-2E9C-101B-9397-08002B2CF9AE}" pid="9" name="ContentTypeId">
    <vt:lpwstr>0x0101006AAA32E7549EE6449AC68337FF671C5A</vt:lpwstr>
  </property>
</Properties>
</file>